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0D62" w14:textId="77777777" w:rsidR="003E7F78" w:rsidRDefault="00741AB5">
      <w:pPr>
        <w:tabs>
          <w:tab w:val="left" w:pos="1843"/>
        </w:tabs>
        <w:spacing w:line="360" w:lineRule="auto"/>
        <w:jc w:val="center"/>
        <w:rPr>
          <w:rFonts w:ascii="方正仿宋_GBK" w:eastAsia="方正仿宋_GBK" w:hAnsi="方正仿宋_GBK" w:cs="方正仿宋_GBK"/>
          <w:b/>
          <w:sz w:val="32"/>
          <w:szCs w:val="32"/>
        </w:rPr>
      </w:pPr>
      <w:r>
        <w:rPr>
          <w:rFonts w:ascii="方正仿宋_GBK" w:eastAsia="方正仿宋_GBK" w:hAnsi="方正仿宋_GBK" w:cs="方正仿宋_GBK" w:hint="eastAsia"/>
          <w:b/>
          <w:sz w:val="32"/>
          <w:szCs w:val="32"/>
        </w:rPr>
        <w:t>理财非存款、产品有风险、投资须谨慎！</w:t>
      </w:r>
    </w:p>
    <w:p w14:paraId="55DD22D2" w14:textId="77777777" w:rsidR="003E7F78" w:rsidRDefault="003E7F78">
      <w:pPr>
        <w:spacing w:line="360" w:lineRule="auto"/>
        <w:rPr>
          <w:rFonts w:ascii="Arial" w:hAnsi="Arial" w:cs="Arial"/>
          <w:b/>
          <w:sz w:val="28"/>
          <w:szCs w:val="28"/>
        </w:rPr>
      </w:pPr>
    </w:p>
    <w:p w14:paraId="1F8DB14D" w14:textId="77777777" w:rsidR="003E7F78" w:rsidRDefault="003E7F78">
      <w:pPr>
        <w:spacing w:line="360" w:lineRule="auto"/>
        <w:rPr>
          <w:rFonts w:ascii="Arial" w:hAnsi="Arial" w:cs="Arial"/>
          <w:b/>
          <w:sz w:val="28"/>
          <w:szCs w:val="28"/>
        </w:rPr>
      </w:pPr>
    </w:p>
    <w:p w14:paraId="19D796BD" w14:textId="77777777" w:rsidR="003E7F78" w:rsidRDefault="003E7F78">
      <w:pPr>
        <w:spacing w:line="360" w:lineRule="auto"/>
        <w:rPr>
          <w:rFonts w:ascii="Arial" w:hAnsi="Arial" w:cs="Arial"/>
          <w:b/>
          <w:sz w:val="44"/>
          <w:szCs w:val="44"/>
        </w:rPr>
      </w:pPr>
    </w:p>
    <w:p w14:paraId="7EBE9A3C" w14:textId="77777777" w:rsidR="003E7F78" w:rsidRDefault="003E7F78">
      <w:pPr>
        <w:spacing w:line="360" w:lineRule="auto"/>
        <w:jc w:val="center"/>
        <w:rPr>
          <w:rFonts w:ascii="方正小标宋_GBK" w:eastAsia="方正小标宋_GBK" w:hAnsi="Arial" w:cs="Arial"/>
          <w:b/>
          <w:sz w:val="44"/>
          <w:szCs w:val="44"/>
        </w:rPr>
      </w:pPr>
    </w:p>
    <w:p w14:paraId="712FFE3C" w14:textId="77777777" w:rsidR="003E7F78" w:rsidRDefault="003E7F78">
      <w:pPr>
        <w:spacing w:line="360" w:lineRule="auto"/>
        <w:jc w:val="center"/>
        <w:rPr>
          <w:rFonts w:ascii="方正小标宋_GBK" w:eastAsia="方正小标宋_GBK" w:hAnsi="Arial" w:cs="Arial"/>
          <w:b/>
          <w:sz w:val="44"/>
          <w:szCs w:val="44"/>
        </w:rPr>
      </w:pPr>
    </w:p>
    <w:p w14:paraId="5939292C" w14:textId="77777777" w:rsidR="003E7F78" w:rsidRDefault="00741AB5">
      <w:pPr>
        <w:spacing w:line="360" w:lineRule="auto"/>
        <w:jc w:val="center"/>
        <w:rPr>
          <w:rFonts w:ascii="方正小标宋_GBK" w:eastAsia="方正小标宋_GBK" w:hAnsi="Arial" w:cs="Arial"/>
          <w:b/>
          <w:sz w:val="44"/>
          <w:szCs w:val="44"/>
        </w:rPr>
      </w:pPr>
      <w:r>
        <w:rPr>
          <w:rFonts w:ascii="方正小标宋_GBK" w:eastAsia="方正小标宋_GBK" w:hAnsi="Arial" w:cs="Arial" w:hint="eastAsia"/>
          <w:b/>
          <w:sz w:val="44"/>
          <w:szCs w:val="44"/>
        </w:rPr>
        <w:t>交银理财稳享鑫荣日日开</w:t>
      </w:r>
      <w:r>
        <w:rPr>
          <w:rFonts w:ascii="方正小标宋_GBK" w:eastAsia="方正小标宋_GBK" w:hAnsi="Arial" w:cs="Arial" w:hint="eastAsia"/>
          <w:b/>
          <w:sz w:val="44"/>
          <w:szCs w:val="44"/>
        </w:rPr>
        <w:t>3</w:t>
      </w:r>
      <w:r>
        <w:rPr>
          <w:rFonts w:ascii="方正小标宋_GBK" w:eastAsia="方正小标宋_GBK" w:hAnsi="Arial" w:cs="Arial" w:hint="eastAsia"/>
          <w:b/>
          <w:sz w:val="44"/>
          <w:szCs w:val="44"/>
        </w:rPr>
        <w:t>号理财产品</w:t>
      </w:r>
      <w:r>
        <w:rPr>
          <w:rFonts w:ascii="方正小标宋_GBK" w:eastAsia="方正小标宋_GBK" w:hAnsi="Arial" w:cs="Arial" w:hint="eastAsia"/>
          <w:b/>
          <w:sz w:val="44"/>
          <w:szCs w:val="44"/>
        </w:rPr>
        <w:t>合同</w:t>
      </w:r>
    </w:p>
    <w:p w14:paraId="00ED740D" w14:textId="77777777" w:rsidR="003E7F78" w:rsidRDefault="00741AB5">
      <w:pPr>
        <w:spacing w:line="360" w:lineRule="auto"/>
        <w:jc w:val="center"/>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t>产品</w:t>
      </w:r>
      <w:r>
        <w:rPr>
          <w:rFonts w:ascii="方正黑体_GBK" w:eastAsia="方正黑体_GBK" w:hAnsi="方正黑体_GBK" w:cs="方正黑体_GBK"/>
          <w:b/>
          <w:sz w:val="28"/>
          <w:szCs w:val="28"/>
        </w:rPr>
        <w:t>销售</w:t>
      </w:r>
      <w:r>
        <w:rPr>
          <w:rFonts w:ascii="方正黑体_GBK" w:eastAsia="方正黑体_GBK" w:hAnsi="方正黑体_GBK" w:cs="方正黑体_GBK" w:hint="eastAsia"/>
          <w:b/>
          <w:sz w:val="28"/>
          <w:szCs w:val="28"/>
        </w:rPr>
        <w:t>名称</w:t>
      </w:r>
      <w:r>
        <w:rPr>
          <w:rFonts w:ascii="方正黑体_GBK" w:eastAsia="方正黑体_GBK" w:hAnsi="方正黑体_GBK" w:cs="方正黑体_GBK"/>
          <w:b/>
          <w:sz w:val="28"/>
          <w:szCs w:val="28"/>
        </w:rPr>
        <w:t xml:space="preserve">: </w:t>
      </w:r>
      <w:r>
        <w:rPr>
          <w:rFonts w:ascii="方正黑体_GBK" w:eastAsia="方正黑体_GBK" w:hAnsi="方正黑体_GBK" w:cs="方正黑体_GBK" w:hint="eastAsia"/>
          <w:b/>
          <w:sz w:val="28"/>
          <w:szCs w:val="28"/>
        </w:rPr>
        <w:t>交银理财稳享鑫荣日日开</w:t>
      </w:r>
      <w:r>
        <w:rPr>
          <w:rFonts w:ascii="方正黑体_GBK" w:eastAsia="方正黑体_GBK" w:hAnsi="方正黑体_GBK" w:cs="方正黑体_GBK" w:hint="eastAsia"/>
          <w:b/>
          <w:sz w:val="28"/>
          <w:szCs w:val="28"/>
        </w:rPr>
        <w:t>3</w:t>
      </w:r>
      <w:r>
        <w:rPr>
          <w:rFonts w:ascii="方正黑体_GBK" w:eastAsia="方正黑体_GBK" w:hAnsi="方正黑体_GBK" w:cs="方正黑体_GBK" w:hint="eastAsia"/>
          <w:b/>
          <w:sz w:val="28"/>
          <w:szCs w:val="28"/>
        </w:rPr>
        <w:t>号（华夏银行专属）理财产品</w:t>
      </w:r>
    </w:p>
    <w:p w14:paraId="3089BBE3" w14:textId="77777777" w:rsidR="003E7F78" w:rsidRDefault="00741AB5">
      <w:pPr>
        <w:spacing w:line="360" w:lineRule="auto"/>
        <w:jc w:val="center"/>
        <w:rPr>
          <w:rFonts w:ascii="Arial" w:eastAsia="方正黑体_GBK" w:hAnsi="Arial" w:cs="Arial"/>
          <w:b/>
          <w:sz w:val="44"/>
          <w:szCs w:val="44"/>
        </w:rPr>
      </w:pPr>
      <w:r>
        <w:rPr>
          <w:rFonts w:ascii="方正黑体_GBK" w:eastAsia="方正黑体_GBK" w:hAnsi="方正黑体_GBK" w:cs="方正黑体_GBK" w:hint="eastAsia"/>
          <w:b/>
          <w:sz w:val="28"/>
          <w:szCs w:val="28"/>
        </w:rPr>
        <w:t>产品销售代码</w:t>
      </w:r>
      <w:r>
        <w:rPr>
          <w:rFonts w:ascii="方正黑体_GBK" w:eastAsia="方正黑体_GBK" w:hAnsi="方正黑体_GBK" w:cs="方正黑体_GBK"/>
          <w:b/>
          <w:sz w:val="28"/>
          <w:szCs w:val="28"/>
        </w:rPr>
        <w:t>:</w:t>
      </w:r>
      <w:r>
        <w:rPr>
          <w:rFonts w:ascii="方正黑体_GBK" w:eastAsia="方正黑体_GBK" w:hAnsi="方正黑体_GBK" w:cs="方正黑体_GBK" w:hint="eastAsia"/>
          <w:b/>
          <w:sz w:val="28"/>
          <w:szCs w:val="28"/>
        </w:rPr>
        <w:t>5811</w:t>
      </w:r>
      <w:r>
        <w:rPr>
          <w:rFonts w:ascii="方正黑体_GBK" w:eastAsia="方正黑体_GBK" w:hAnsi="方正黑体_GBK" w:cs="方正黑体_GBK" w:hint="eastAsia"/>
          <w:b/>
          <w:sz w:val="28"/>
          <w:szCs w:val="28"/>
        </w:rPr>
        <w:t>2240</w:t>
      </w:r>
      <w:r>
        <w:rPr>
          <w:rFonts w:ascii="方正黑体_GBK" w:eastAsia="方正黑体_GBK" w:hAnsi="方正黑体_GBK" w:cs="方正黑体_GBK" w:hint="eastAsia"/>
          <w:b/>
          <w:sz w:val="28"/>
          <w:szCs w:val="28"/>
        </w:rPr>
        <w:t>83</w:t>
      </w:r>
    </w:p>
    <w:p w14:paraId="2EF9D0E7" w14:textId="77777777" w:rsidR="003E7F78" w:rsidRDefault="003E7F78">
      <w:pPr>
        <w:spacing w:line="360" w:lineRule="auto"/>
        <w:jc w:val="center"/>
        <w:rPr>
          <w:rFonts w:ascii="Arial" w:hAnsi="Arial" w:cs="Arial"/>
          <w:b/>
          <w:sz w:val="44"/>
          <w:szCs w:val="44"/>
        </w:rPr>
      </w:pPr>
    </w:p>
    <w:p w14:paraId="40D0004D" w14:textId="77777777" w:rsidR="003E7F78" w:rsidRDefault="003E7F78">
      <w:pPr>
        <w:spacing w:line="360" w:lineRule="auto"/>
        <w:jc w:val="center"/>
        <w:rPr>
          <w:rFonts w:ascii="Arial" w:hAnsi="Arial" w:cs="Arial"/>
          <w:b/>
          <w:sz w:val="44"/>
          <w:szCs w:val="44"/>
        </w:rPr>
      </w:pPr>
    </w:p>
    <w:p w14:paraId="06A86C05" w14:textId="77777777" w:rsidR="003E7F78" w:rsidRDefault="003E7F78">
      <w:pPr>
        <w:spacing w:line="360" w:lineRule="auto"/>
        <w:jc w:val="center"/>
        <w:rPr>
          <w:rFonts w:ascii="Arial" w:hAnsi="Arial" w:cs="Arial"/>
          <w:b/>
          <w:sz w:val="44"/>
          <w:szCs w:val="44"/>
        </w:rPr>
      </w:pPr>
    </w:p>
    <w:p w14:paraId="0644B61D" w14:textId="77777777" w:rsidR="003E7F78" w:rsidRDefault="003E7F78">
      <w:pPr>
        <w:spacing w:line="360" w:lineRule="auto"/>
        <w:jc w:val="center"/>
        <w:rPr>
          <w:rFonts w:ascii="Arial" w:hAnsi="Arial" w:cs="Arial"/>
          <w:b/>
          <w:sz w:val="44"/>
          <w:szCs w:val="44"/>
        </w:rPr>
      </w:pPr>
    </w:p>
    <w:p w14:paraId="150B3627" w14:textId="77777777" w:rsidR="003E7F78" w:rsidRDefault="003E7F78">
      <w:pPr>
        <w:spacing w:line="360" w:lineRule="auto"/>
        <w:jc w:val="center"/>
        <w:rPr>
          <w:rFonts w:ascii="Arial" w:hAnsi="Arial" w:cs="Arial"/>
          <w:b/>
          <w:szCs w:val="21"/>
        </w:rPr>
      </w:pPr>
    </w:p>
    <w:p w14:paraId="6A2931CF" w14:textId="77777777" w:rsidR="003E7F78" w:rsidRDefault="003E7F78">
      <w:pPr>
        <w:spacing w:line="360" w:lineRule="auto"/>
        <w:rPr>
          <w:rFonts w:ascii="Arial" w:hAnsi="Arial" w:cs="Arial"/>
          <w:b/>
          <w:szCs w:val="21"/>
        </w:rPr>
      </w:pPr>
    </w:p>
    <w:p w14:paraId="4968C284" w14:textId="77777777" w:rsidR="003E7F78" w:rsidRDefault="003E7F78">
      <w:pPr>
        <w:spacing w:line="360" w:lineRule="auto"/>
        <w:rPr>
          <w:rFonts w:ascii="Arial" w:hAnsi="Arial" w:cs="Arial"/>
          <w:b/>
          <w:szCs w:val="21"/>
        </w:rPr>
      </w:pPr>
    </w:p>
    <w:p w14:paraId="52FB2682" w14:textId="77777777" w:rsidR="003E7F78" w:rsidRDefault="003E7F78">
      <w:pPr>
        <w:spacing w:line="360" w:lineRule="auto"/>
        <w:rPr>
          <w:rFonts w:ascii="Arial" w:hAnsi="Arial" w:cs="Arial"/>
          <w:b/>
          <w:szCs w:val="21"/>
        </w:rPr>
      </w:pPr>
    </w:p>
    <w:p w14:paraId="080119EE" w14:textId="77777777" w:rsidR="003E7F78" w:rsidRDefault="00741AB5">
      <w:pPr>
        <w:snapToGrid w:val="0"/>
        <w:spacing w:line="360" w:lineRule="auto"/>
        <w:ind w:firstLineChars="200" w:firstLine="422"/>
        <w:jc w:val="center"/>
        <w:rPr>
          <w:rFonts w:ascii="方正黑体_GBK" w:eastAsia="方正黑体_GBK" w:hAnsi="方正黑体_GBK" w:cs="方正黑体_GBK"/>
          <w:b/>
          <w:sz w:val="28"/>
          <w:szCs w:val="28"/>
        </w:rPr>
      </w:pPr>
      <w:r>
        <w:rPr>
          <w:rFonts w:ascii="Arial" w:hAnsi="Arial" w:cs="Arial"/>
          <w:b/>
          <w:noProof/>
          <w:szCs w:val="21"/>
        </w:rPr>
        <w:drawing>
          <wp:inline distT="0" distB="0" distL="0" distR="0" wp14:anchorId="385713DC" wp14:editId="7FA1AE0B">
            <wp:extent cx="4309745" cy="946150"/>
            <wp:effectExtent l="0" t="0" r="0" b="0"/>
            <wp:docPr id="1" name="图片 3" descr="子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子公司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309745" cy="946150"/>
                    </a:xfrm>
                    <a:prstGeom prst="rect">
                      <a:avLst/>
                    </a:prstGeom>
                    <a:noFill/>
                    <a:ln>
                      <a:noFill/>
                    </a:ln>
                  </pic:spPr>
                </pic:pic>
              </a:graphicData>
            </a:graphic>
          </wp:inline>
        </w:drawing>
      </w:r>
    </w:p>
    <w:p w14:paraId="2D4C64A0" w14:textId="77777777" w:rsidR="003E7F78" w:rsidRDefault="00741AB5">
      <w:pPr>
        <w:widowControl/>
        <w:jc w:val="left"/>
        <w:rPr>
          <w:rFonts w:ascii="方正黑体_GBK" w:eastAsia="方正黑体_GBK" w:hAnsi="方正黑体_GBK" w:cs="方正黑体_GBK"/>
          <w:b/>
          <w:sz w:val="28"/>
          <w:szCs w:val="28"/>
        </w:rPr>
      </w:pPr>
      <w:r>
        <w:rPr>
          <w:rFonts w:ascii="方正黑体_GBK" w:eastAsia="方正黑体_GBK" w:hAnsi="方正黑体_GBK" w:cs="方正黑体_GBK"/>
          <w:b/>
          <w:sz w:val="28"/>
          <w:szCs w:val="28"/>
        </w:rPr>
        <w:br w:type="page"/>
      </w:r>
    </w:p>
    <w:p w14:paraId="66BD2B8F" w14:textId="77777777" w:rsidR="003E7F78" w:rsidRDefault="00741AB5">
      <w:pPr>
        <w:snapToGrid w:val="0"/>
        <w:spacing w:line="360" w:lineRule="auto"/>
        <w:jc w:val="center"/>
        <w:outlineLvl w:val="0"/>
        <w:rPr>
          <w:rFonts w:ascii="方正黑体_GBK" w:eastAsia="方正黑体_GBK" w:hAnsi="方正黑体_GBK" w:cs="方正黑体_GBK"/>
          <w:b/>
          <w:sz w:val="28"/>
          <w:szCs w:val="28"/>
        </w:rPr>
      </w:pPr>
      <w:bookmarkStart w:id="0" w:name="风险揭示书1"/>
      <w:r>
        <w:rPr>
          <w:rFonts w:ascii="方正黑体_GBK" w:eastAsia="方正黑体_GBK" w:hAnsi="方正黑体_GBK" w:cs="方正黑体_GBK" w:hint="eastAsia"/>
          <w:b/>
          <w:sz w:val="28"/>
          <w:szCs w:val="28"/>
        </w:rPr>
        <w:lastRenderedPageBreak/>
        <w:t>交银理财稳享鑫荣日日开</w:t>
      </w:r>
      <w:r>
        <w:rPr>
          <w:rFonts w:ascii="方正黑体_GBK" w:eastAsia="方正黑体_GBK" w:hAnsi="方正黑体_GBK" w:cs="方正黑体_GBK" w:hint="eastAsia"/>
          <w:b/>
          <w:sz w:val="28"/>
          <w:szCs w:val="28"/>
        </w:rPr>
        <w:t>3</w:t>
      </w:r>
      <w:r>
        <w:rPr>
          <w:rFonts w:ascii="方正黑体_GBK" w:eastAsia="方正黑体_GBK" w:hAnsi="方正黑体_GBK" w:cs="方正黑体_GBK" w:hint="eastAsia"/>
          <w:b/>
          <w:sz w:val="28"/>
          <w:szCs w:val="28"/>
        </w:rPr>
        <w:t>号理财产品</w:t>
      </w:r>
      <w:r>
        <w:rPr>
          <w:rFonts w:ascii="方正黑体_GBK" w:eastAsia="方正黑体_GBK" w:hAnsi="方正黑体_GBK" w:cs="方正黑体_GBK"/>
          <w:b/>
          <w:sz w:val="28"/>
          <w:szCs w:val="28"/>
        </w:rPr>
        <w:br/>
      </w:r>
      <w:r>
        <w:rPr>
          <w:rFonts w:ascii="方正黑体_GBK" w:eastAsia="方正黑体_GBK" w:hAnsi="方正黑体_GBK" w:cs="方正黑体_GBK"/>
          <w:b/>
          <w:sz w:val="28"/>
          <w:szCs w:val="28"/>
        </w:rPr>
        <w:t>风险揭示书</w:t>
      </w:r>
    </w:p>
    <w:bookmarkEnd w:id="0"/>
    <w:p w14:paraId="023CFA33" w14:textId="77777777" w:rsidR="003E7F78" w:rsidRDefault="00741AB5">
      <w:pPr>
        <w:snapToGrid w:val="0"/>
        <w:spacing w:line="360" w:lineRule="auto"/>
        <w:rPr>
          <w:rFonts w:ascii="仿宋_GB2312" w:eastAsia="仿宋_GB2312" w:hAnsi="宋体"/>
          <w:b/>
          <w:sz w:val="24"/>
          <w:szCs w:val="24"/>
        </w:rPr>
      </w:pPr>
      <w:r>
        <w:rPr>
          <w:rFonts w:ascii="仿宋_GB2312" w:eastAsia="仿宋_GB2312" w:hAnsi="宋体" w:hint="eastAsia"/>
          <w:b/>
          <w:sz w:val="24"/>
          <w:szCs w:val="24"/>
        </w:rPr>
        <w:t>尊敬的投资者：</w:t>
      </w:r>
    </w:p>
    <w:p w14:paraId="7857238E" w14:textId="77777777" w:rsidR="003E7F78" w:rsidRDefault="00741AB5">
      <w:pPr>
        <w:snapToGrid w:val="0"/>
        <w:spacing w:line="360" w:lineRule="auto"/>
        <w:ind w:firstLineChars="200" w:firstLine="480"/>
        <w:rPr>
          <w:rFonts w:ascii="仿宋_GB2312" w:eastAsia="仿宋_GB2312" w:hAnsi="方正楷体_GBK" w:cs="方正楷体_GBK"/>
          <w:sz w:val="24"/>
          <w:szCs w:val="24"/>
        </w:rPr>
      </w:pPr>
      <w:r>
        <w:rPr>
          <w:rFonts w:ascii="仿宋_GB2312" w:eastAsia="仿宋_GB2312" w:hAnsi="方正楷体_GBK" w:cs="方正楷体_GBK" w:hint="eastAsia"/>
          <w:sz w:val="24"/>
          <w:szCs w:val="24"/>
        </w:rPr>
        <w:t>理财资金管理运用可能面临多种风险因素，根据国家金融监督管理总局（即原中国银行保险监督管理委员会，以下统称国家金融监督管理总局）相关监管规定的要求，交银理财有限责任公司（以下简称交银理财）郑重提示您：在选择购买理财产品前，请注意投资风险，仔细阅读本产品风险揭示书及本产品对应的理财产品合同，了解理财产品具体情况；在购买理财产品后，请关注理财产品的信息披露情况，及时获取相关信息。</w:t>
      </w:r>
    </w:p>
    <w:p w14:paraId="41FC0529" w14:textId="77777777" w:rsidR="003E7F78" w:rsidRDefault="00741AB5">
      <w:pPr>
        <w:snapToGrid w:val="0"/>
        <w:spacing w:line="360" w:lineRule="auto"/>
        <w:ind w:firstLineChars="200" w:firstLine="482"/>
        <w:outlineLvl w:val="1"/>
        <w:rPr>
          <w:rFonts w:ascii="仿宋_GB2312" w:eastAsia="仿宋_GB2312" w:hAnsi="宋体"/>
          <w:b/>
          <w:sz w:val="24"/>
          <w:szCs w:val="24"/>
        </w:rPr>
      </w:pPr>
      <w:r>
        <w:rPr>
          <w:rFonts w:ascii="仿宋_GB2312" w:eastAsia="仿宋_GB2312" w:hAnsi="宋体" w:hint="eastAsia"/>
          <w:b/>
          <w:sz w:val="24"/>
          <w:szCs w:val="24"/>
        </w:rPr>
        <w:t>▲▲一、风险揭示</w:t>
      </w:r>
    </w:p>
    <w:p w14:paraId="7C5EC923" w14:textId="77777777" w:rsidR="003E7F78" w:rsidRDefault="00741AB5">
      <w:pPr>
        <w:snapToGrid w:val="0"/>
        <w:spacing w:line="360" w:lineRule="auto"/>
        <w:ind w:firstLineChars="200" w:firstLine="482"/>
        <w:rPr>
          <w:rFonts w:ascii="仿宋_GB2312" w:eastAsia="仿宋_GB2312" w:hAnsi="宋体"/>
          <w:b/>
          <w:sz w:val="24"/>
          <w:szCs w:val="24"/>
        </w:rPr>
      </w:pPr>
      <w:r>
        <w:rPr>
          <w:rFonts w:ascii="仿宋_GB2312" w:eastAsia="仿宋_GB2312" w:hAnsi="方正楷体_GBK" w:cs="方正楷体_GBK" w:hint="eastAsia"/>
          <w:b/>
          <w:sz w:val="24"/>
          <w:szCs w:val="24"/>
        </w:rPr>
        <w:t>本理财产品不保证本金和收益，请投资者</w:t>
      </w:r>
      <w:r>
        <w:rPr>
          <w:rFonts w:ascii="仿宋_GB2312" w:eastAsia="仿宋_GB2312" w:hAnsi="方正黑体_GBK" w:cs="方正黑体_GBK" w:hint="eastAsia"/>
          <w:b/>
          <w:sz w:val="24"/>
          <w:szCs w:val="24"/>
        </w:rPr>
        <w:t>根据自身理财目标、投资经验、财务状况、风险承受能力以及其他相关情况慎重考虑购买</w:t>
      </w:r>
      <w:r>
        <w:rPr>
          <w:rFonts w:ascii="仿宋_GB2312" w:eastAsia="仿宋_GB2312" w:hAnsi="方正楷体_GBK" w:cs="方正楷体_GBK" w:hint="eastAsia"/>
          <w:b/>
          <w:sz w:val="24"/>
          <w:szCs w:val="24"/>
        </w:rPr>
        <w:t>本</w:t>
      </w:r>
      <w:r>
        <w:rPr>
          <w:rFonts w:ascii="仿宋_GB2312" w:eastAsia="仿宋_GB2312" w:hAnsi="方正黑体_GBK" w:cs="方正黑体_GBK" w:hint="eastAsia"/>
          <w:b/>
          <w:sz w:val="24"/>
          <w:szCs w:val="24"/>
        </w:rPr>
        <w:t>理财产品。</w:t>
      </w:r>
      <w:r>
        <w:rPr>
          <w:rFonts w:ascii="仿宋_GB2312" w:eastAsia="仿宋_GB2312" w:hint="eastAsia"/>
          <w:b/>
          <w:sz w:val="24"/>
          <w:szCs w:val="24"/>
        </w:rPr>
        <w:t>本风险揭示书列示的风险指</w:t>
      </w:r>
      <w:r>
        <w:rPr>
          <w:rFonts w:ascii="仿宋_GB2312" w:eastAsia="仿宋_GB2312" w:hAnsi="方正楷体_GBK" w:cs="方正楷体_GBK" w:hint="eastAsia"/>
          <w:b/>
          <w:sz w:val="24"/>
          <w:szCs w:val="24"/>
        </w:rPr>
        <w:t>本</w:t>
      </w:r>
      <w:r>
        <w:rPr>
          <w:rFonts w:ascii="仿宋_GB2312" w:eastAsia="仿宋_GB2312" w:hint="eastAsia"/>
          <w:b/>
          <w:sz w:val="24"/>
          <w:szCs w:val="24"/>
        </w:rPr>
        <w:t>理财产品项下可能涉及的风险，包括但不限于：</w:t>
      </w:r>
    </w:p>
    <w:p w14:paraId="5B573C59" w14:textId="77777777" w:rsidR="003E7F78" w:rsidRDefault="00741AB5">
      <w:pPr>
        <w:snapToGrid w:val="0"/>
        <w:spacing w:line="360" w:lineRule="auto"/>
        <w:ind w:firstLineChars="200" w:firstLine="482"/>
        <w:rPr>
          <w:rFonts w:ascii="仿宋_GB2312" w:eastAsia="仿宋_GB2312" w:hAnsi="方正仿宋_GBK" w:cs="方正仿宋_GBK"/>
          <w:b/>
          <w:sz w:val="24"/>
          <w:szCs w:val="24"/>
        </w:rPr>
      </w:pPr>
      <w:r>
        <w:rPr>
          <w:rFonts w:ascii="仿宋_GB2312" w:eastAsia="仿宋_GB2312" w:hAnsi="Arial" w:cs="Arial" w:hint="eastAsia"/>
          <w:b/>
          <w:color w:val="000000"/>
          <w:kern w:val="0"/>
          <w:sz w:val="24"/>
          <w:szCs w:val="24"/>
        </w:rPr>
        <w:t>（一）政策风险：本理财产品是根据当前的相关法律法规、监管规定和政策设计的，如国家宏观政策以及市场相关法律法规、监管规定发生变化，可能影响理财产品的发行、投资、兑付等流程的正常进行，影响本产品的投资运作和收益，甚至导致本金遭受损失。</w:t>
      </w:r>
    </w:p>
    <w:p w14:paraId="3CB30D41"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宋体" w:hint="eastAsia"/>
          <w:b/>
          <w:sz w:val="24"/>
          <w:szCs w:val="24"/>
        </w:rPr>
        <w:t>（二）市场风险：本理财产品投资收益来源于理财产品对应投资组合的运作和回报，因国家政策、经济周期、利率、汇率等因素可能发生变化，导致投资品</w:t>
      </w:r>
      <w:r>
        <w:rPr>
          <w:rFonts w:ascii="仿宋_GB2312" w:eastAsia="仿宋_GB2312" w:hAnsi="方正楷体_GBK" w:cs="方正楷体_GBK" w:hint="eastAsia"/>
          <w:b/>
          <w:sz w:val="24"/>
          <w:szCs w:val="24"/>
        </w:rPr>
        <w:t>种的市场价格发生波动，由此可能导致本理财产品的本金及收益遭受损失</w:t>
      </w:r>
      <w:r>
        <w:rPr>
          <w:rFonts w:ascii="仿宋_GB2312" w:eastAsia="仿宋_GB2312" w:hAnsi="方正楷体_GBK" w:cs="方正楷体_GBK" w:hint="eastAsia"/>
          <w:b/>
          <w:sz w:val="24"/>
          <w:szCs w:val="24"/>
        </w:rPr>
        <w:t>。</w:t>
      </w:r>
    </w:p>
    <w:p w14:paraId="3C10582C"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（三）信用风险：本理财产品所投资的标准化资产，可能因债务人违约或者其他原因在投资期限届满时不能足额变现，由此可能导致本理财产品的本金及收益遭受损失。</w:t>
      </w:r>
    </w:p>
    <w:p w14:paraId="5A13567E"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四）流动性风险：除理财产品合同另有约定外，投资者只能在产品开放期的交易时间内进行申购、赎回，如果投资者产生流动性需求，可能面临理财产品不能随时变现、持有期与资金需求日不匹配的流动性风险。本理财产品的产品开放期内，若发生大额赎回，投资者将面临不能及时赎回理财产品的流动性风险。</w:t>
      </w:r>
    </w:p>
    <w:p w14:paraId="32E9F6B1"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若本产品出现流动性风险，管理人可以依照法律法规及理财产品合同的约定，综合运用理财</w:t>
      </w:r>
      <w:r>
        <w:rPr>
          <w:rFonts w:ascii="仿宋_GB2312" w:eastAsia="仿宋_GB2312" w:hAnsi="方正楷体_GBK" w:cs="方正楷体_GBK" w:hint="eastAsia"/>
          <w:b/>
          <w:sz w:val="24"/>
          <w:szCs w:val="24"/>
        </w:rPr>
        <w:t>产品流动性风险应对措施，包括但不限于：设定单一投资者认购金额上限、设定理财产品单日净认购比例上限、拒绝大额认购、暂停认购、设置赎回上限、延期办理大额赎回申请、暂停接受赎回申请、延缓支付赎回款项、收取短期赎回费、暂停理财产品估值以及</w:t>
      </w:r>
      <w:r>
        <w:rPr>
          <w:rFonts w:ascii="仿宋_GB2312" w:eastAsia="仿宋_GB2312" w:hAnsi="方正楷体_GBK" w:cs="方正楷体_GBK" w:hint="eastAsia"/>
          <w:b/>
          <w:bCs/>
          <w:sz w:val="24"/>
          <w:szCs w:val="24"/>
        </w:rPr>
        <w:t>国家金融监督管理总局</w:t>
      </w:r>
      <w:r>
        <w:rPr>
          <w:rFonts w:ascii="仿宋_GB2312" w:eastAsia="仿宋_GB2312" w:hAnsi="方正楷体_GBK" w:cs="方正楷体_GBK" w:hint="eastAsia"/>
          <w:b/>
          <w:sz w:val="24"/>
          <w:szCs w:val="24"/>
        </w:rPr>
        <w:t>规定的其他措施；</w:t>
      </w:r>
    </w:p>
    <w:p w14:paraId="54A9B2C0"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若本理财产品连续</w:t>
      </w:r>
      <w:r>
        <w:rPr>
          <w:rFonts w:ascii="仿宋_GB2312" w:eastAsia="仿宋_GB2312" w:hAnsi="方正楷体_GBK" w:cs="方正楷体_GBK"/>
          <w:b/>
          <w:sz w:val="24"/>
          <w:szCs w:val="24"/>
        </w:rPr>
        <w:t>2</w:t>
      </w:r>
      <w:r>
        <w:rPr>
          <w:rFonts w:ascii="仿宋_GB2312" w:eastAsia="仿宋_GB2312" w:hAnsi="方正楷体_GBK" w:cs="方正楷体_GBK"/>
          <w:b/>
          <w:sz w:val="24"/>
          <w:szCs w:val="24"/>
        </w:rPr>
        <w:t>个以上开放日发生大额赎回，对于已经接受的投资者赎回申请，管理人可以延缓支付赎回款项，延缓期限不超过</w:t>
      </w:r>
      <w:r>
        <w:rPr>
          <w:rFonts w:ascii="仿宋_GB2312" w:eastAsia="仿宋_GB2312" w:hAnsi="方正楷体_GBK" w:cs="方正楷体_GBK"/>
          <w:b/>
          <w:sz w:val="24"/>
          <w:szCs w:val="24"/>
        </w:rPr>
        <w:t>20</w:t>
      </w:r>
      <w:r>
        <w:rPr>
          <w:rFonts w:ascii="仿宋_GB2312" w:eastAsia="仿宋_GB2312" w:hAnsi="方正楷体_GBK" w:cs="方正楷体_GBK"/>
          <w:b/>
          <w:sz w:val="24"/>
          <w:szCs w:val="24"/>
        </w:rPr>
        <w:t>个工作日；</w:t>
      </w:r>
    </w:p>
    <w:p w14:paraId="0D3B5069"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当管理人实施前述理财产品流动性风险应对措施时，均可能导致出现无法满足本理财产品的投资者赎回需求、履行其他支付义务</w:t>
      </w:r>
      <w:r>
        <w:rPr>
          <w:rFonts w:ascii="仿宋_GB2312" w:eastAsia="仿宋_GB2312" w:hAnsi="方正楷体_GBK" w:cs="方正楷体_GBK" w:hint="eastAsia"/>
          <w:b/>
          <w:sz w:val="24"/>
          <w:szCs w:val="24"/>
        </w:rPr>
        <w:t>的流动性风险。</w:t>
      </w:r>
    </w:p>
    <w:p w14:paraId="37888BC2"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（五）管理风险：由于本理财产品管理人、所投资的信托计划</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资管计划的受托人</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资产管理人（若有）、投资顾问（若有）等，受经验、技能等因素的限制，会影响其对信息的获取和对经济形势、金融市场价格走势的判断，如管理人判断有误、获取信息不全或对投资工具使用不当等，可能导致本理财产品的本金及收益遭受损失。</w:t>
      </w:r>
    </w:p>
    <w:p w14:paraId="0C66737C"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（六）操作风险：如本理财产品管理人由于内部作业、人员管理、系统操作及事务处理不当或失误等，可能导致本理财产品的本金及收益遭受损失。</w:t>
      </w:r>
    </w:p>
    <w:p w14:paraId="51692600"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（七）代销风险：本理财产品通过代销渠道销售，投资者购买理财产品的资金由</w:t>
      </w:r>
      <w:r>
        <w:rPr>
          <w:rFonts w:ascii="仿宋_GB2312" w:eastAsia="仿宋_GB2312" w:hAnsi="方正楷体_GBK" w:cs="方正楷体_GBK" w:hint="eastAsia"/>
          <w:b/>
          <w:sz w:val="24"/>
          <w:szCs w:val="24"/>
        </w:rPr>
        <w:t>代销机构从投资者清算账户扣收并划付管理人，投资者赎回及理财产品到期</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终止时理财本金及收益相应款项由管理人按理财产品合同约定划付至代销机构清算账户，并由代销机构向投资者支付投资者应得理财本金及收益。如因代销机构清算账户余额不足，或代销机构未及时足额划付资金，或代销机构清算账户内资金被依法冻结或扣划、账户处于被挂失、冻结、注销或其他非正常状态等原因而导致交易失败，由代销机构与投资者依法协商解决，管理人对此不承担责任，但前述约定不免除因管理人过错依法应由管理人承担的责任。</w:t>
      </w:r>
    </w:p>
    <w:p w14:paraId="49E3B28E"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（八）兑付延期风险：因市场成交量不足、资</w:t>
      </w:r>
      <w:r>
        <w:rPr>
          <w:rFonts w:ascii="仿宋_GB2312" w:eastAsia="仿宋_GB2312" w:hAnsi="方正楷体_GBK" w:cs="方正楷体_GBK" w:hint="eastAsia"/>
          <w:b/>
          <w:sz w:val="24"/>
          <w:szCs w:val="24"/>
        </w:rPr>
        <w:t>产限制赎回、暂停交易、缺乏意愿交易对手等原因，管理人未能及时完成资产变现而导致理财产品不能及时变现、持有期与资金需求日不匹配或不能按时支付清算分配金额，则投资者面临产品期限延期或延缓支付</w:t>
      </w:r>
      <w:r>
        <w:rPr>
          <w:rFonts w:ascii="仿宋_GB2312" w:eastAsia="仿宋_GB2312" w:hAnsi="方正楷体_GBK" w:cs="方正楷体_GBK"/>
          <w:b/>
          <w:sz w:val="24"/>
          <w:szCs w:val="24"/>
        </w:rPr>
        <w:t>/</w:t>
      </w:r>
      <w:r>
        <w:rPr>
          <w:rFonts w:ascii="仿宋_GB2312" w:eastAsia="仿宋_GB2312" w:hAnsi="方正楷体_GBK" w:cs="方正楷体_GBK"/>
          <w:b/>
          <w:sz w:val="24"/>
          <w:szCs w:val="24"/>
        </w:rPr>
        <w:t>延迟兑付等风险</w:t>
      </w:r>
      <w:r>
        <w:rPr>
          <w:rFonts w:ascii="仿宋_GB2312" w:eastAsia="仿宋_GB2312" w:hAnsi="方正楷体_GBK" w:cs="方正楷体_GBK" w:hint="eastAsia"/>
          <w:b/>
          <w:sz w:val="24"/>
          <w:szCs w:val="24"/>
        </w:rPr>
        <w:t>，甚至由此可能导致本理财产品的本金及收益遭受损失。</w:t>
      </w:r>
    </w:p>
    <w:p w14:paraId="3F45C249"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（九）信息传递风险：投资者需要通过</w:t>
      </w:r>
      <w:r>
        <w:rPr>
          <w:rFonts w:ascii="仿宋_GB2312" w:eastAsia="仿宋_GB2312" w:hAnsi="Arial" w:cs="Arial" w:hint="eastAsia"/>
          <w:b/>
          <w:bCs/>
          <w:color w:val="000000"/>
          <w:kern w:val="0"/>
          <w:sz w:val="24"/>
          <w:szCs w:val="24"/>
        </w:rPr>
        <w:t>代销机构网站（</w:t>
      </w:r>
      <w:r>
        <w:rPr>
          <w:rFonts w:ascii="仿宋_GB2312" w:eastAsia="仿宋_GB2312" w:hAnsi="Arial" w:cs="Arial"/>
          <w:b/>
          <w:bCs/>
          <w:color w:val="000000"/>
          <w:kern w:val="0"/>
          <w:sz w:val="24"/>
          <w:szCs w:val="24"/>
        </w:rPr>
        <w:t>www.hxb.com.cn</w:t>
      </w:r>
      <w:r>
        <w:rPr>
          <w:rFonts w:ascii="仿宋_GB2312" w:eastAsia="仿宋_GB2312" w:hAnsi="Arial" w:cs="Arial"/>
          <w:b/>
          <w:bCs/>
          <w:color w:val="000000"/>
          <w:kern w:val="0"/>
          <w:sz w:val="24"/>
          <w:szCs w:val="24"/>
        </w:rPr>
        <w:t>，下同）或</w:t>
      </w:r>
      <w:r>
        <w:rPr>
          <w:rFonts w:ascii="仿宋_GB2312" w:eastAsia="仿宋_GB2312" w:hAnsi="Arial" w:cs="Arial" w:hint="eastAsia"/>
          <w:b/>
          <w:bCs/>
          <w:color w:val="000000"/>
          <w:kern w:val="0"/>
          <w:sz w:val="24"/>
          <w:szCs w:val="24"/>
        </w:rPr>
        <w:t>管理人网站（</w:t>
      </w:r>
      <w:r>
        <w:rPr>
          <w:rFonts w:ascii="仿宋_GB2312" w:eastAsia="仿宋_GB2312" w:hAnsi="Arial" w:cs="Arial"/>
          <w:b/>
          <w:bCs/>
          <w:color w:val="000000"/>
          <w:kern w:val="0"/>
          <w:sz w:val="24"/>
          <w:szCs w:val="24"/>
        </w:rPr>
        <w:t>www.bocommwm.cn</w:t>
      </w:r>
      <w:r>
        <w:rPr>
          <w:rFonts w:ascii="仿宋_GB2312" w:eastAsia="仿宋_GB2312" w:hAnsi="Arial" w:cs="Arial" w:hint="eastAsia"/>
          <w:b/>
          <w:bCs/>
          <w:color w:val="000000"/>
          <w:kern w:val="0"/>
          <w:sz w:val="24"/>
          <w:szCs w:val="24"/>
        </w:rPr>
        <w:t>，下同）</w:t>
      </w:r>
      <w:r>
        <w:rPr>
          <w:rFonts w:ascii="仿宋_GB2312" w:eastAsia="仿宋_GB2312" w:hAnsi="方正楷体_GBK" w:cs="方正楷体_GBK" w:hint="eastAsia"/>
          <w:b/>
          <w:sz w:val="24"/>
          <w:szCs w:val="24"/>
        </w:rPr>
        <w:t>，了解产品相关信息公告。具体公告方式以理财产品合同所载明的公告方式为准。投资者应根据理财产品合同所载明的公告方式及时查询本理财产品的相关信息。</w:t>
      </w:r>
      <w:r>
        <w:rPr>
          <w:rFonts w:ascii="仿宋_GB2312" w:eastAsia="仿宋_GB2312" w:hAnsi="宋体" w:hint="eastAsia"/>
          <w:b/>
          <w:bCs/>
          <w:sz w:val="24"/>
          <w:szCs w:val="24"/>
        </w:rPr>
        <w:t>▲▲</w:t>
      </w:r>
      <w:r>
        <w:rPr>
          <w:rFonts w:ascii="仿宋_GB2312" w:eastAsia="仿宋_GB2312" w:hAnsi="方正楷体_GBK" w:cs="方正楷体_GBK" w:hint="eastAsia"/>
          <w:b/>
          <w:sz w:val="24"/>
          <w:szCs w:val="24"/>
        </w:rPr>
        <w:t>如果投资者未及时查询或由于不可抗力及</w:t>
      </w:r>
      <w:r>
        <w:rPr>
          <w:rFonts w:ascii="仿宋_GB2312" w:eastAsia="仿宋_GB2312" w:hAnsi="方正楷体_GBK" w:cs="方正楷体_GBK"/>
          <w:b/>
          <w:sz w:val="24"/>
          <w:szCs w:val="24"/>
        </w:rPr>
        <w:t>/</w:t>
      </w:r>
      <w:r>
        <w:rPr>
          <w:rFonts w:ascii="仿宋_GB2312" w:eastAsia="仿宋_GB2312" w:hAnsi="方正楷体_GBK" w:cs="方正楷体_GBK"/>
          <w:b/>
          <w:sz w:val="24"/>
          <w:szCs w:val="24"/>
        </w:rPr>
        <w:t>或意外事件的影响使得投资者无法及时了解理财产品信息，进而影响投资者的投资决策，由此产生的责任和风险由投资者自行承担。</w:t>
      </w:r>
      <w:r>
        <w:rPr>
          <w:rFonts w:ascii="仿宋_GB2312" w:eastAsia="仿宋_GB2312" w:hAnsi="方正楷体_GBK" w:cs="方正楷体_GBK" w:hint="eastAsia"/>
          <w:b/>
          <w:sz w:val="24"/>
          <w:szCs w:val="24"/>
        </w:rPr>
        <w:t>投资者预留在产品管理人处的有效联系方式变更的，应及时通知产品管理人。除双方在补充协议</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补充条款中另有约定外，如投资者未及时告知产品管理人联系方式变更或因其他原因导致产品管理人在需要联系投资者时无法及时联系上，可能</w:t>
      </w:r>
      <w:r>
        <w:rPr>
          <w:rFonts w:ascii="仿宋_GB2312" w:eastAsia="仿宋_GB2312" w:hAnsi="方正楷体_GBK" w:cs="方正楷体_GBK" w:hint="eastAsia"/>
          <w:b/>
          <w:sz w:val="24"/>
          <w:szCs w:val="24"/>
        </w:rPr>
        <w:t>会由此影响投资者的投资决策，因此产生的责任和风险由投资者自行承担，但前述约定不免除因产品管理人过错导致依法应由产品管理人承担的责任。</w:t>
      </w:r>
    </w:p>
    <w:p w14:paraId="723B360B"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（十）不可抗力及意外事件风险：由于不可抗力及</w:t>
      </w:r>
      <w:r>
        <w:rPr>
          <w:rFonts w:ascii="仿宋_GB2312" w:eastAsia="仿宋_GB2312" w:hAnsi="方正楷体_GBK" w:cs="方正楷体_GBK"/>
          <w:b/>
          <w:sz w:val="24"/>
          <w:szCs w:val="24"/>
        </w:rPr>
        <w:t>/</w:t>
      </w:r>
      <w:r>
        <w:rPr>
          <w:rFonts w:ascii="仿宋_GB2312" w:eastAsia="仿宋_GB2312" w:hAnsi="方正楷体_GBK" w:cs="方正楷体_GBK"/>
          <w:b/>
          <w:sz w:val="24"/>
          <w:szCs w:val="24"/>
        </w:rPr>
        <w:t>或国家政策变化、</w:t>
      </w:r>
      <w:r>
        <w:rPr>
          <w:rFonts w:ascii="仿宋_GB2312" w:eastAsia="仿宋_GB2312" w:hAnsi="方正楷体_GBK" w:cs="方正楷体_GBK"/>
          <w:b/>
          <w:sz w:val="24"/>
          <w:szCs w:val="24"/>
        </w:rPr>
        <w:t>IT</w:t>
      </w:r>
      <w:r>
        <w:rPr>
          <w:rFonts w:ascii="仿宋_GB2312" w:eastAsia="仿宋_GB2312" w:hAnsi="方正楷体_GBK" w:cs="方正楷体_GBK"/>
          <w:b/>
          <w:sz w:val="24"/>
          <w:szCs w:val="24"/>
        </w:rPr>
        <w:t>系统故障、通讯系统故障、电力系统故障、金融危机、投资市场停止交易等非产品管理人所能控制的原因，可能对理财产品的产品成立、投资运作、资金划付、信息披露、公告通知造成影响，可能导致产品收益降低乃至理财产品本金遭受损失。</w:t>
      </w:r>
      <w:r>
        <w:rPr>
          <w:rFonts w:ascii="仿宋_GB2312" w:eastAsia="仿宋_GB2312" w:hAnsi="宋体" w:hint="eastAsia"/>
          <w:b/>
          <w:bCs/>
          <w:sz w:val="24"/>
          <w:szCs w:val="24"/>
        </w:rPr>
        <w:t>▲▲</w:t>
      </w:r>
      <w:r>
        <w:rPr>
          <w:rFonts w:ascii="仿宋_GB2312" w:eastAsia="仿宋_GB2312" w:hAnsi="方正楷体_GBK" w:cs="方正楷体_GBK" w:hint="eastAsia"/>
          <w:b/>
          <w:sz w:val="24"/>
          <w:szCs w:val="24"/>
        </w:rPr>
        <w:t>对于由不可抗力及意外事件导致的损失，投资者须自行承担，产品管理人对此不承担责任，双方在补充协议</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补充条款中另有约定的除外，但前述约定不免除因产品管理人过错导致依法应由产品管理人承担的责任。</w:t>
      </w:r>
    </w:p>
    <w:p w14:paraId="649547CB"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因不可抗力及</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或意外事件导致产品管理人无法继续履行理财产品合同的，产品管理人有权提前解除理财产品合同，并将发生不可抗力及</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或意外事件后剩余的投资者应得理财本金及收益</w:t>
      </w:r>
      <w:r>
        <w:rPr>
          <w:rFonts w:ascii="仿宋_GB2312" w:eastAsia="仿宋_GB2312" w:hAnsi="方正楷体_GBK" w:cs="方正楷体_GBK"/>
          <w:b/>
          <w:sz w:val="24"/>
          <w:szCs w:val="24"/>
        </w:rPr>
        <w:t>划付至</w:t>
      </w:r>
      <w:r>
        <w:rPr>
          <w:rFonts w:ascii="仿宋_GB2312" w:eastAsia="仿宋_GB2312" w:hAnsi="方正楷体_GBK" w:cs="方正楷体_GBK" w:hint="eastAsia"/>
          <w:b/>
          <w:sz w:val="24"/>
          <w:szCs w:val="24"/>
        </w:rPr>
        <w:t>代销机构清算账户，由代销机构划付至投资者清算账户。</w:t>
      </w:r>
    </w:p>
    <w:p w14:paraId="4DF02411"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一）税务风险：根据国家相关法律法规，理财产品运营过程中发生的应由理财产品承担的增值税应税行为，由产品管理人申报和缴纳增值税及附加税费。该等税款将直接从理财产品中扣付缴纳，本理财产品将因为前述</w:t>
      </w:r>
      <w:r>
        <w:rPr>
          <w:rFonts w:ascii="仿宋_GB2312" w:eastAsia="仿宋_GB2312" w:hAnsi="方正楷体_GBK" w:cs="方正楷体_GBK" w:hint="eastAsia"/>
          <w:b/>
          <w:sz w:val="24"/>
          <w:szCs w:val="24"/>
        </w:rPr>
        <w:t>增值税等税负承担导致税费支出增加、理财产品净值或实际收益降低，从而降低投资者的收益水平。</w:t>
      </w:r>
    </w:p>
    <w:p w14:paraId="10A47A8B"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二）未知价风险：净值型产品采用“金额申购、份额赎回”原则，即产品申购以金额申请，赎回以份额申请，申购与赎回以“未知价原则”受理申请。“未知价原则”，即理财产品申购申请和赎回申请提出时，适用的产品单位净值都是未知的。</w:t>
      </w:r>
    </w:p>
    <w:p w14:paraId="10FDDC39"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三）不同理财产品份额类别存在差异的风险：管理人有权根据投资者购买理财产品的金额、适合的投资者、代销机构等因素，对投资者所持有的理财产品份额设置不同的理财产品份额类别。不同类别的理财产品份额可能在产</w:t>
      </w:r>
      <w:r>
        <w:rPr>
          <w:rFonts w:ascii="仿宋_GB2312" w:eastAsia="仿宋_GB2312" w:hAnsi="方正楷体_GBK" w:cs="方正楷体_GBK" w:hint="eastAsia"/>
          <w:b/>
          <w:sz w:val="24"/>
          <w:szCs w:val="24"/>
        </w:rPr>
        <w:t>品销售名称、产品销售代码、钞汇标志、代销机构、适合的投资者、销售手续费率、业绩比较基准、认购</w:t>
      </w:r>
      <w:r>
        <w:rPr>
          <w:rFonts w:ascii="仿宋_GB2312" w:eastAsia="仿宋_GB2312" w:hAnsi="方正楷体_GBK" w:cs="方正楷体_GBK"/>
          <w:b/>
          <w:sz w:val="24"/>
          <w:szCs w:val="24"/>
        </w:rPr>
        <w:t>/</w:t>
      </w:r>
      <w:r>
        <w:rPr>
          <w:rFonts w:ascii="仿宋_GB2312" w:eastAsia="仿宋_GB2312" w:hAnsi="方正楷体_GBK" w:cs="方正楷体_GBK"/>
          <w:b/>
          <w:sz w:val="24"/>
          <w:szCs w:val="24"/>
        </w:rPr>
        <w:t>申购投资起点金额及递增金额、单笔最大购买金额、累计购买金额、最少赎回份额、最低持有份额、产品规模上限、产品份额净值的计算结果及信息披露渠道等方面存在差异。</w:t>
      </w:r>
    </w:p>
    <w:p w14:paraId="75F6333F" w14:textId="77777777" w:rsidR="003E7F78" w:rsidRDefault="00741AB5">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四）投资者合规风险：根据相关法律法规、监管规定和因此落实的管理人或销售机构的风控制度，投资者在投资理财产品时以及理财产品运营过程中，需配合产品管理人满足包括但不限于反洗钱、反恐怖融资、制裁合规、反电信网络诈骗、非居民金融账户涉税尽职调查等合规要求。为适当履行</w:t>
      </w:r>
      <w:r>
        <w:rPr>
          <w:rFonts w:ascii="仿宋_GB2312" w:eastAsia="仿宋_GB2312" w:hAnsi="方正楷体_GBK" w:cs="方正楷体_GBK" w:hint="eastAsia"/>
          <w:b/>
          <w:sz w:val="24"/>
          <w:szCs w:val="24"/>
        </w:rPr>
        <w:t>上述合规义务，投资者需配合管理人或销售机构要求提供、更新身份资料、资金来源等各项所需信息，如遇高风险情形、事件或其他根据法律法规或管理人内控要求需采取相应措施的其他情形，管理人可能会对相关投资者采取包括但不限于拒绝或暂停接受认购申请、拒绝或暂停接受申购申请、暂停接受赎回申请、冻结份额、提前终止理财产品销售文件等交易限制措施，由此产生的任何损失及责任需由投资者自行承担。</w:t>
      </w:r>
    </w:p>
    <w:p w14:paraId="0118EF1A" w14:textId="77777777" w:rsidR="003E7F78" w:rsidRDefault="00741AB5">
      <w:pPr>
        <w:autoSpaceDE w:val="0"/>
        <w:autoSpaceDN w:val="0"/>
        <w:adjustRightInd w:val="0"/>
        <w:spacing w:line="360" w:lineRule="auto"/>
        <w:ind w:firstLineChars="200" w:firstLine="482"/>
        <w:outlineLvl w:val="1"/>
        <w:rPr>
          <w:rFonts w:ascii="仿宋_GB2312" w:eastAsia="仿宋_GB2312" w:hAnsi="宋体"/>
          <w:sz w:val="24"/>
          <w:szCs w:val="24"/>
        </w:rPr>
      </w:pPr>
      <w:r>
        <w:rPr>
          <w:rFonts w:ascii="仿宋_GB2312" w:eastAsia="仿宋_GB2312" w:hAnsi="方正楷体_GBK" w:cs="方正楷体_GBK" w:hint="eastAsia"/>
          <w:b/>
          <w:sz w:val="24"/>
          <w:szCs w:val="24"/>
        </w:rPr>
        <w:t>二、投资者提示</w:t>
      </w:r>
    </w:p>
    <w:p w14:paraId="34996B9F" w14:textId="77777777" w:rsidR="003E7F78" w:rsidRDefault="00741AB5">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▲▲（一）理财非存款、产品有风险、投资须谨慎。</w:t>
      </w:r>
    </w:p>
    <w:p w14:paraId="7CC28EEC" w14:textId="77777777" w:rsidR="003E7F78" w:rsidRDefault="00741AB5">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▲▲（二）理财产品过往业绩不代表其未来表现，不等于理财产品实际收益，投资须谨慎。</w:t>
      </w:r>
    </w:p>
    <w:p w14:paraId="4EF1E91C" w14:textId="77777777" w:rsidR="003E7F78" w:rsidRDefault="00741AB5">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▲▲（三）如影响您风险承受能力的因素发生变化，请及时完成风险承受能力评估。</w:t>
      </w:r>
    </w:p>
    <w:p w14:paraId="3188B2A9" w14:textId="77777777" w:rsidR="003E7F78" w:rsidRDefault="00741AB5">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▲▲（四）本理财产品类型为【固定收益类】，期限为【持续运作】。（实际运作受限于本理财产品终止条款）</w:t>
      </w:r>
    </w:p>
    <w:p w14:paraId="643ACEEA" w14:textId="77777777" w:rsidR="003E7F78" w:rsidRDefault="00741AB5">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▲▲（五）产品管理人对本理财产品风险评级为【</w:t>
      </w:r>
      <w:r>
        <w:rPr>
          <w:rFonts w:ascii="仿宋_GB2312" w:eastAsia="仿宋_GB2312" w:hAnsi="宋体"/>
          <w:b/>
          <w:sz w:val="24"/>
          <w:szCs w:val="24"/>
        </w:rPr>
        <w:t>R2</w:t>
      </w:r>
      <w:r>
        <w:rPr>
          <w:rFonts w:ascii="仿宋_GB2312" w:eastAsia="仿宋_GB2312" w:hAnsi="宋体"/>
          <w:b/>
          <w:sz w:val="24"/>
          <w:szCs w:val="24"/>
        </w:rPr>
        <w:t>】。本理财产品通过代销机构渠道销售的，理财产品评级应当以代销机构最终披露的评级结果为准。</w:t>
      </w:r>
    </w:p>
    <w:p w14:paraId="3F20D8D3" w14:textId="77777777" w:rsidR="003E7F78" w:rsidRDefault="00741AB5">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▲▲（六</w:t>
      </w:r>
      <w:r>
        <w:rPr>
          <w:rFonts w:ascii="仿宋_GB2312" w:eastAsia="仿宋_GB2312" w:hAnsi="宋体"/>
          <w:b/>
          <w:sz w:val="24"/>
          <w:szCs w:val="24"/>
        </w:rPr>
        <w:t>）</w:t>
      </w:r>
      <w:r>
        <w:rPr>
          <w:rFonts w:ascii="仿宋_GB2312" w:eastAsia="仿宋_GB2312" w:hAnsi="宋体" w:hint="eastAsia"/>
          <w:b/>
          <w:sz w:val="24"/>
          <w:szCs w:val="24"/>
        </w:rPr>
        <w:t>根据本理财产品评级结果，投资者可能会因市场变动而蒙受损失的程度为【本理财产品的总体风险程度较低，管理人不承诺本金和收益保障，净值波动较小。虽然存在一些可能对产品本金安全产生不利影响的因素，但产品本金出现损失的可能性较小】。</w:t>
      </w:r>
    </w:p>
    <w:p w14:paraId="6A2AED1E" w14:textId="77777777" w:rsidR="003E7F78" w:rsidRDefault="00741AB5">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▲▲（七</w:t>
      </w:r>
      <w:r>
        <w:rPr>
          <w:rFonts w:ascii="仿宋_GB2312" w:eastAsia="仿宋_GB2312" w:hAnsi="宋体"/>
          <w:b/>
          <w:sz w:val="24"/>
          <w:szCs w:val="24"/>
        </w:rPr>
        <w:t>）</w:t>
      </w:r>
      <w:r>
        <w:rPr>
          <w:rFonts w:ascii="仿宋_GB2312" w:eastAsia="仿宋_GB2312" w:hAnsi="宋体" w:hint="eastAsia"/>
          <w:b/>
          <w:sz w:val="24"/>
          <w:szCs w:val="24"/>
        </w:rPr>
        <w:t>经代销机构评估的适合的投资者为【</w:t>
      </w:r>
      <w:r>
        <w:rPr>
          <w:rFonts w:ascii="仿宋_GB2312" w:eastAsia="仿宋_GB2312" w:hAnsi="宋体" w:hint="eastAsia"/>
          <w:b/>
          <w:sz w:val="24"/>
          <w:szCs w:val="24"/>
        </w:rPr>
        <w:t>/</w:t>
      </w:r>
      <w:r>
        <w:rPr>
          <w:rFonts w:ascii="仿宋_GB2312" w:eastAsia="仿宋_GB2312" w:hAnsi="宋体" w:hint="eastAsia"/>
          <w:b/>
          <w:sz w:val="24"/>
          <w:szCs w:val="24"/>
        </w:rPr>
        <w:t>】。（机构投资者不适用</w:t>
      </w:r>
      <w:r>
        <w:rPr>
          <w:rFonts w:ascii="仿宋_GB2312" w:eastAsia="仿宋_GB2312" w:hAnsi="宋体"/>
          <w:b/>
          <w:sz w:val="24"/>
          <w:szCs w:val="24"/>
        </w:rPr>
        <w:t>）</w:t>
      </w:r>
    </w:p>
    <w:p w14:paraId="0BD78945" w14:textId="77777777" w:rsidR="003E7F78" w:rsidRDefault="00741AB5">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▲▲（八）在最不利情况下，投资者甚至可能损失全部本金。投资者应充分认识投资风险，谨慎投资。</w:t>
      </w:r>
    </w:p>
    <w:p w14:paraId="66B9C8B9" w14:textId="77777777" w:rsidR="003E7F78" w:rsidRDefault="00741AB5">
      <w:pPr>
        <w:autoSpaceDE w:val="0"/>
        <w:autoSpaceDN w:val="0"/>
        <w:adjustRightInd w:val="0"/>
        <w:spacing w:line="360" w:lineRule="auto"/>
        <w:ind w:firstLineChars="200" w:firstLine="480"/>
        <w:rPr>
          <w:rFonts w:ascii="仿宋_GB2312" w:eastAsia="仿宋_GB2312" w:hAnsi="宋体"/>
          <w:sz w:val="24"/>
        </w:rPr>
      </w:pPr>
      <w:r>
        <w:rPr>
          <w:rFonts w:ascii="仿宋_GB2312" w:eastAsia="仿宋_GB2312" w:hAnsi="宋体" w:hint="eastAsia"/>
          <w:sz w:val="24"/>
          <w:szCs w:val="24"/>
        </w:rPr>
        <w:t>示例：如投资者购买本理财产品，本金为</w:t>
      </w:r>
      <w:r>
        <w:rPr>
          <w:rFonts w:ascii="仿宋_GB2312" w:eastAsia="仿宋_GB2312" w:hAnsi="宋体"/>
          <w:sz w:val="24"/>
          <w:szCs w:val="24"/>
        </w:rPr>
        <w:t>10,000.00</w:t>
      </w:r>
      <w:r>
        <w:rPr>
          <w:rFonts w:ascii="仿宋_GB2312" w:eastAsia="仿宋_GB2312" w:hAnsi="宋体" w:hint="eastAsia"/>
          <w:sz w:val="24"/>
          <w:szCs w:val="24"/>
        </w:rPr>
        <w:t>元，在理财产品资产组合项下资产全部亏损的最不利情况下，理财产品</w:t>
      </w:r>
      <w:r>
        <w:rPr>
          <w:rFonts w:ascii="仿宋_GB2312" w:eastAsia="仿宋_GB2312" w:hAnsi="宋体" w:hint="eastAsia"/>
          <w:sz w:val="24"/>
          <w:szCs w:val="24"/>
        </w:rPr>
        <w:t>10,00</w:t>
      </w:r>
      <w:r>
        <w:rPr>
          <w:rFonts w:ascii="仿宋_GB2312" w:eastAsia="仿宋_GB2312" w:hAnsi="宋体" w:hint="eastAsia"/>
          <w:sz w:val="24"/>
          <w:szCs w:val="24"/>
        </w:rPr>
        <w:t>0.00</w:t>
      </w:r>
      <w:r>
        <w:rPr>
          <w:rFonts w:ascii="仿宋_GB2312" w:eastAsia="仿宋_GB2312" w:hAnsi="宋体" w:hint="eastAsia"/>
          <w:sz w:val="24"/>
          <w:szCs w:val="24"/>
        </w:rPr>
        <w:t>元本金将全部损失。</w:t>
      </w:r>
    </w:p>
    <w:p w14:paraId="005644F1" w14:textId="77777777" w:rsidR="003E7F78" w:rsidRDefault="003E7F78">
      <w:pPr>
        <w:spacing w:line="360" w:lineRule="auto"/>
        <w:jc w:val="center"/>
        <w:rPr>
          <w:rFonts w:ascii="方正黑体_GBK" w:eastAsia="方正黑体_GBK" w:hAnsi="方正黑体_GBK" w:cs="方正黑体_GBK"/>
          <w:b/>
          <w:sz w:val="28"/>
          <w:szCs w:val="28"/>
        </w:rPr>
      </w:pPr>
    </w:p>
    <w:p w14:paraId="089F7BF7" w14:textId="77777777" w:rsidR="003E7F78" w:rsidRDefault="00741AB5">
      <w:pPr>
        <w:spacing w:line="360" w:lineRule="auto"/>
        <w:jc w:val="center"/>
        <w:outlineLvl w:val="1"/>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t>确认函</w:t>
      </w:r>
    </w:p>
    <w:p w14:paraId="69635EDD" w14:textId="77777777" w:rsidR="003E7F78" w:rsidRDefault="003E7F78">
      <w:pPr>
        <w:spacing w:line="360" w:lineRule="auto"/>
        <w:jc w:val="center"/>
        <w:rPr>
          <w:rFonts w:ascii="方正黑体_GBK" w:eastAsia="方正黑体_GBK" w:hAnsi="方正黑体_GBK" w:cs="方正黑体_GBK"/>
          <w:b/>
          <w:sz w:val="28"/>
          <w:szCs w:val="28"/>
        </w:rPr>
      </w:pPr>
    </w:p>
    <w:p w14:paraId="243B2BFB" w14:textId="77777777" w:rsidR="003E7F78" w:rsidRDefault="00741AB5">
      <w:pPr>
        <w:spacing w:line="360" w:lineRule="auto"/>
        <w:ind w:firstLineChars="200" w:firstLine="482"/>
        <w:rPr>
          <w:rFonts w:ascii="仿宋_GB2312" w:eastAsia="仿宋_GB2312" w:hAnsi="宋体"/>
          <w:b/>
          <w:sz w:val="24"/>
        </w:rPr>
      </w:pPr>
      <w:r>
        <w:rPr>
          <w:rFonts w:ascii="仿宋_GB2312" w:eastAsia="仿宋_GB2312" w:hAnsi="宋体" w:hint="eastAsia"/>
          <w:b/>
          <w:sz w:val="24"/>
        </w:rPr>
        <w:t>本人</w:t>
      </w:r>
      <w:r>
        <w:rPr>
          <w:rFonts w:ascii="仿宋_GB2312" w:eastAsia="仿宋_GB2312" w:hAnsi="宋体"/>
          <w:b/>
          <w:sz w:val="24"/>
        </w:rPr>
        <w:t>/</w:t>
      </w:r>
      <w:r>
        <w:rPr>
          <w:rFonts w:ascii="仿宋_GB2312" w:eastAsia="仿宋_GB2312" w:hAnsi="宋体"/>
          <w:b/>
          <w:sz w:val="24"/>
        </w:rPr>
        <w:t>本公司（单位）确认已经收到</w:t>
      </w:r>
      <w:r>
        <w:rPr>
          <w:rFonts w:ascii="仿宋_GB2312" w:eastAsia="仿宋_GB2312" w:hAnsi="宋体" w:hint="eastAsia"/>
          <w:b/>
          <w:sz w:val="24"/>
        </w:rPr>
        <w:t>本风险揭示书，且已经认真阅读本风险揭示书、</w:t>
      </w:r>
      <w:r>
        <w:rPr>
          <w:rFonts w:ascii="仿宋_GB2312" w:eastAsia="仿宋_GB2312" w:hAnsi="宋体" w:hint="eastAsia"/>
          <w:b/>
          <w:sz w:val="24"/>
        </w:rPr>
        <w:t>交银理财稳享鑫荣日日开</w:t>
      </w:r>
      <w:r>
        <w:rPr>
          <w:rFonts w:ascii="仿宋_GB2312" w:eastAsia="仿宋_GB2312" w:hAnsi="宋体" w:hint="eastAsia"/>
          <w:b/>
          <w:sz w:val="24"/>
        </w:rPr>
        <w:t>3</w:t>
      </w:r>
      <w:r>
        <w:rPr>
          <w:rFonts w:ascii="仿宋_GB2312" w:eastAsia="仿宋_GB2312" w:hAnsi="宋体" w:hint="eastAsia"/>
          <w:b/>
          <w:sz w:val="24"/>
        </w:rPr>
        <w:t>号理财产品</w:t>
      </w:r>
      <w:r>
        <w:rPr>
          <w:rFonts w:ascii="仿宋_GB2312" w:eastAsia="仿宋_GB2312" w:hAnsi="宋体" w:hint="eastAsia"/>
          <w:b/>
          <w:sz w:val="24"/>
          <w:szCs w:val="24"/>
        </w:rPr>
        <w:t>投资协议书</w:t>
      </w:r>
      <w:r>
        <w:rPr>
          <w:rFonts w:ascii="仿宋_GB2312" w:eastAsia="仿宋_GB2312" w:hAnsi="宋体" w:hint="eastAsia"/>
          <w:b/>
          <w:sz w:val="24"/>
        </w:rPr>
        <w:t>（以下简称“投资协议书”）、</w:t>
      </w:r>
      <w:r>
        <w:rPr>
          <w:rFonts w:ascii="仿宋_GB2312" w:eastAsia="仿宋_GB2312" w:hAnsi="宋体" w:hint="eastAsia"/>
          <w:b/>
          <w:sz w:val="24"/>
        </w:rPr>
        <w:t>交银理财稳享鑫荣日日开</w:t>
      </w:r>
      <w:r>
        <w:rPr>
          <w:rFonts w:ascii="仿宋_GB2312" w:eastAsia="仿宋_GB2312" w:hAnsi="宋体" w:hint="eastAsia"/>
          <w:b/>
          <w:sz w:val="24"/>
        </w:rPr>
        <w:t>3</w:t>
      </w:r>
      <w:r>
        <w:rPr>
          <w:rFonts w:ascii="仿宋_GB2312" w:eastAsia="仿宋_GB2312" w:hAnsi="宋体" w:hint="eastAsia"/>
          <w:b/>
          <w:sz w:val="24"/>
        </w:rPr>
        <w:t>号理财产品</w:t>
      </w:r>
      <w:r>
        <w:rPr>
          <w:rFonts w:ascii="仿宋_GB2312" w:eastAsia="仿宋_GB2312" w:hAnsi="宋体" w:hint="eastAsia"/>
          <w:b/>
          <w:sz w:val="24"/>
        </w:rPr>
        <w:t>说明书（以下简称“产品说明书”）及本产品对应的投资者权益须知（适用于机构投资者）（以下简称“投资者权益须知”）等《</w:t>
      </w:r>
      <w:r>
        <w:rPr>
          <w:rFonts w:ascii="仿宋_GB2312" w:eastAsia="仿宋_GB2312" w:hAnsi="宋体" w:hint="eastAsia"/>
          <w:b/>
          <w:sz w:val="24"/>
        </w:rPr>
        <w:t>交银理财稳享鑫荣日日开</w:t>
      </w:r>
      <w:r>
        <w:rPr>
          <w:rFonts w:ascii="仿宋_GB2312" w:eastAsia="仿宋_GB2312" w:hAnsi="宋体" w:hint="eastAsia"/>
          <w:b/>
          <w:sz w:val="24"/>
        </w:rPr>
        <w:t>3</w:t>
      </w:r>
      <w:r>
        <w:rPr>
          <w:rFonts w:ascii="仿宋_GB2312" w:eastAsia="仿宋_GB2312" w:hAnsi="宋体" w:hint="eastAsia"/>
          <w:b/>
          <w:sz w:val="24"/>
        </w:rPr>
        <w:t>号理财产品</w:t>
      </w:r>
      <w:r>
        <w:rPr>
          <w:rFonts w:ascii="仿宋_GB2312" w:eastAsia="仿宋_GB2312" w:hAnsi="宋体" w:hint="eastAsia"/>
          <w:b/>
          <w:sz w:val="24"/>
        </w:rPr>
        <w:t>合同</w:t>
      </w:r>
      <w:r>
        <w:rPr>
          <w:rFonts w:ascii="仿宋_GB2312" w:eastAsia="仿宋_GB2312" w:hAnsi="宋体"/>
          <w:b/>
          <w:sz w:val="24"/>
        </w:rPr>
        <w:t>》</w:t>
      </w:r>
      <w:r>
        <w:rPr>
          <w:rFonts w:ascii="仿宋_GB2312" w:eastAsia="仿宋_GB2312" w:hAnsi="宋体" w:hint="eastAsia"/>
          <w:b/>
          <w:sz w:val="24"/>
        </w:rPr>
        <w:t>全部文件，充分了解并清楚知晓理财产品的风险，愿意承担相关风险，接受本风险揭示书、投资协议书、产品说明书及本产品对应的投资者权益须知等</w:t>
      </w:r>
      <w:r>
        <w:rPr>
          <w:rFonts w:ascii="仿宋_GB2312" w:eastAsia="仿宋_GB2312" w:hAnsi="宋体" w:hint="eastAsia"/>
          <w:b/>
          <w:sz w:val="24"/>
        </w:rPr>
        <w:t>交银理</w:t>
      </w:r>
      <w:r>
        <w:rPr>
          <w:rFonts w:ascii="仿宋_GB2312" w:eastAsia="仿宋_GB2312" w:hAnsi="宋体" w:hint="eastAsia"/>
          <w:b/>
          <w:sz w:val="24"/>
        </w:rPr>
        <w:t>财稳享鑫荣日日开</w:t>
      </w:r>
      <w:r>
        <w:rPr>
          <w:rFonts w:ascii="仿宋_GB2312" w:eastAsia="仿宋_GB2312" w:hAnsi="宋体" w:hint="eastAsia"/>
          <w:b/>
          <w:sz w:val="24"/>
        </w:rPr>
        <w:t>3</w:t>
      </w:r>
      <w:r>
        <w:rPr>
          <w:rFonts w:ascii="仿宋_GB2312" w:eastAsia="仿宋_GB2312" w:hAnsi="宋体" w:hint="eastAsia"/>
          <w:b/>
          <w:sz w:val="24"/>
        </w:rPr>
        <w:t>号理财产品</w:t>
      </w:r>
      <w:r>
        <w:rPr>
          <w:rFonts w:ascii="仿宋_GB2312" w:eastAsia="仿宋_GB2312" w:hAnsi="宋体" w:hint="eastAsia"/>
          <w:b/>
          <w:sz w:val="24"/>
        </w:rPr>
        <w:t>合同全部文件的内容。本人</w:t>
      </w:r>
      <w:r>
        <w:rPr>
          <w:rFonts w:ascii="仿宋_GB2312" w:eastAsia="仿宋_GB2312" w:hAnsi="宋体"/>
          <w:b/>
          <w:sz w:val="24"/>
        </w:rPr>
        <w:t>/</w:t>
      </w:r>
      <w:r>
        <w:rPr>
          <w:rFonts w:ascii="仿宋_GB2312" w:eastAsia="仿宋_GB2312" w:hAnsi="宋体"/>
          <w:b/>
          <w:sz w:val="24"/>
        </w:rPr>
        <w:t>本公司（单位）确认理解投资本理财产品将涉及的所有风险，并</w:t>
      </w:r>
      <w:r>
        <w:rPr>
          <w:rFonts w:ascii="仿宋_GB2312" w:eastAsia="仿宋_GB2312" w:hAnsi="宋体" w:hint="eastAsia"/>
          <w:b/>
          <w:sz w:val="24"/>
        </w:rPr>
        <w:t>将承担且有能力承担该等风险。</w:t>
      </w:r>
    </w:p>
    <w:p w14:paraId="0D12EF5D" w14:textId="77777777" w:rsidR="003E7F78" w:rsidRDefault="00741AB5">
      <w:pPr>
        <w:spacing w:line="360" w:lineRule="auto"/>
        <w:ind w:firstLineChars="200" w:firstLine="482"/>
        <w:rPr>
          <w:rFonts w:ascii="仿宋_GB2312" w:eastAsia="仿宋_GB2312" w:hAnsi="宋体"/>
          <w:b/>
          <w:sz w:val="24"/>
        </w:rPr>
      </w:pPr>
      <w:r>
        <w:rPr>
          <w:rFonts w:ascii="仿宋_GB2312" w:eastAsia="仿宋_GB2312" w:hAnsi="宋体" w:hint="eastAsia"/>
          <w:b/>
          <w:sz w:val="24"/>
        </w:rPr>
        <w:t>本人</w:t>
      </w:r>
      <w:r>
        <w:rPr>
          <w:rFonts w:ascii="仿宋_GB2312" w:eastAsia="仿宋_GB2312" w:hAnsi="宋体"/>
          <w:b/>
          <w:sz w:val="24"/>
        </w:rPr>
        <w:t>/</w:t>
      </w:r>
      <w:r>
        <w:rPr>
          <w:rFonts w:ascii="仿宋_GB2312" w:eastAsia="仿宋_GB2312" w:hAnsi="宋体"/>
          <w:b/>
          <w:sz w:val="24"/>
        </w:rPr>
        <w:t>本公司（单位）购买本理财产品的资金为合法自有资金，不存在使用贷款、发行债券等筹集的非自有资金投资理财产品的情形，本人</w:t>
      </w:r>
      <w:r>
        <w:rPr>
          <w:rFonts w:ascii="仿宋_GB2312" w:eastAsia="仿宋_GB2312" w:hAnsi="宋体"/>
          <w:b/>
          <w:sz w:val="24"/>
        </w:rPr>
        <w:t>/</w:t>
      </w:r>
      <w:r>
        <w:rPr>
          <w:rFonts w:ascii="仿宋_GB2312" w:eastAsia="仿宋_GB2312" w:hAnsi="宋体"/>
          <w:b/>
          <w:sz w:val="24"/>
        </w:rPr>
        <w:t>本公司（单位）承诺投资于本理财产品使用的资金来源合法合规，并且系为合法之目的投资本理财产品，而非为洗钱等违法违规之目的，本人</w:t>
      </w:r>
      <w:r>
        <w:rPr>
          <w:rFonts w:ascii="仿宋_GB2312" w:eastAsia="仿宋_GB2312" w:hAnsi="宋体"/>
          <w:b/>
          <w:sz w:val="24"/>
        </w:rPr>
        <w:t>/</w:t>
      </w:r>
      <w:r>
        <w:rPr>
          <w:rFonts w:ascii="仿宋_GB2312" w:eastAsia="仿宋_GB2312" w:hAnsi="宋体"/>
          <w:b/>
          <w:sz w:val="24"/>
        </w:rPr>
        <w:t>本公司（单位）将配合管理人或者销售机构为反洗钱、反恐怖融资、制裁合规、反电信网络诈骗等合规管理以及非居民金融账户涉税等开展</w:t>
      </w:r>
      <w:r>
        <w:rPr>
          <w:rFonts w:ascii="仿宋_GB2312" w:eastAsia="仿宋_GB2312" w:hAnsi="宋体"/>
          <w:b/>
          <w:sz w:val="24"/>
        </w:rPr>
        <w:t>的尽职调查等措施，包括但不限于管理人或销售机构为前述目的所进行的客户身份识别、风险评估与管理、大额交易与可疑</w:t>
      </w:r>
      <w:r>
        <w:rPr>
          <w:rFonts w:ascii="仿宋_GB2312" w:eastAsia="仿宋_GB2312" w:hAnsi="宋体" w:hint="eastAsia"/>
          <w:b/>
          <w:sz w:val="24"/>
        </w:rPr>
        <w:t>交易报告、尽职调查等，并且本人</w:t>
      </w:r>
      <w:r>
        <w:rPr>
          <w:rFonts w:ascii="仿宋_GB2312" w:eastAsia="仿宋_GB2312" w:hAnsi="宋体"/>
          <w:b/>
          <w:sz w:val="24"/>
        </w:rPr>
        <w:t>/</w:t>
      </w:r>
      <w:r>
        <w:rPr>
          <w:rFonts w:ascii="仿宋_GB2312" w:eastAsia="仿宋_GB2312" w:hAnsi="宋体"/>
          <w:b/>
          <w:sz w:val="24"/>
        </w:rPr>
        <w:t>本公司（单位）将及时、真实、准确、完整地向管理人或销售机构提供身份信息、资金来源信息以及前述措施所需要的各项信息。</w:t>
      </w:r>
    </w:p>
    <w:p w14:paraId="2A757896" w14:textId="77777777" w:rsidR="003E7F78" w:rsidRDefault="00741AB5">
      <w:pPr>
        <w:spacing w:line="360" w:lineRule="auto"/>
        <w:ind w:firstLineChars="200" w:firstLine="482"/>
        <w:rPr>
          <w:rFonts w:ascii="仿宋_GB2312" w:eastAsia="仿宋_GB2312" w:hAnsi="宋体"/>
          <w:b/>
          <w:sz w:val="24"/>
        </w:rPr>
      </w:pPr>
      <w:r>
        <w:rPr>
          <w:rFonts w:ascii="仿宋_GB2312" w:eastAsia="仿宋_GB2312" w:hAnsi="宋体" w:hint="eastAsia"/>
          <w:b/>
          <w:sz w:val="24"/>
        </w:rPr>
        <w:t>本人</w:t>
      </w:r>
      <w:r>
        <w:rPr>
          <w:rFonts w:ascii="仿宋_GB2312" w:eastAsia="仿宋_GB2312" w:hAnsi="宋体"/>
          <w:b/>
          <w:sz w:val="24"/>
        </w:rPr>
        <w:t>/</w:t>
      </w:r>
      <w:r>
        <w:rPr>
          <w:rFonts w:ascii="仿宋_GB2312" w:eastAsia="仿宋_GB2312" w:hAnsi="宋体"/>
          <w:b/>
          <w:sz w:val="24"/>
        </w:rPr>
        <w:t>本公司（单位）知晓并确认，管理人或销售机构有权根据法律法规、监管政策的变化而不时更新反洗钱、反恐怖融资、制裁合规、反电信网络诈骗等合规管理相关措施以及非居民金融账户涉税尽职调查要求，本人</w:t>
      </w:r>
      <w:r>
        <w:rPr>
          <w:rFonts w:ascii="仿宋_GB2312" w:eastAsia="仿宋_GB2312" w:hAnsi="宋体"/>
          <w:b/>
          <w:sz w:val="24"/>
        </w:rPr>
        <w:t>/</w:t>
      </w:r>
      <w:r>
        <w:rPr>
          <w:rFonts w:ascii="仿宋_GB2312" w:eastAsia="仿宋_GB2312" w:hAnsi="宋体"/>
          <w:b/>
          <w:sz w:val="24"/>
        </w:rPr>
        <w:t>本公司（单位）将持续配合管理人或销售机构不时更新的措施和要求。若本人</w:t>
      </w:r>
      <w:r>
        <w:rPr>
          <w:rFonts w:ascii="仿宋_GB2312" w:eastAsia="仿宋_GB2312" w:hAnsi="宋体"/>
          <w:b/>
          <w:sz w:val="24"/>
        </w:rPr>
        <w:t>/</w:t>
      </w:r>
      <w:r>
        <w:rPr>
          <w:rFonts w:ascii="仿宋_GB2312" w:eastAsia="仿宋_GB2312" w:hAnsi="宋体"/>
          <w:b/>
          <w:sz w:val="24"/>
        </w:rPr>
        <w:t>本公司（单位）未遵守前述各项承诺，或触发根据前述法律法规或监管政策要求认定的风险事项，管理人有权依</w:t>
      </w:r>
      <w:r>
        <w:rPr>
          <w:rFonts w:ascii="仿宋_GB2312" w:eastAsia="仿宋_GB2312" w:hAnsi="宋体" w:hint="eastAsia"/>
          <w:b/>
          <w:sz w:val="24"/>
        </w:rPr>
        <w:t>据法律法规或监管政策要求采取相应措施，并有权提前终止理财产品销售文件、单方面赎回本人</w:t>
      </w:r>
      <w:r>
        <w:rPr>
          <w:rFonts w:ascii="仿宋_GB2312" w:eastAsia="仿宋_GB2312" w:hAnsi="宋体"/>
          <w:b/>
          <w:sz w:val="24"/>
        </w:rPr>
        <w:t>/</w:t>
      </w:r>
      <w:r>
        <w:rPr>
          <w:rFonts w:ascii="仿宋_GB2312" w:eastAsia="仿宋_GB2312" w:hAnsi="宋体"/>
          <w:b/>
          <w:sz w:val="24"/>
        </w:rPr>
        <w:t>本公司（单位）届时持有的理财产品而无需事先通知本人</w:t>
      </w:r>
      <w:r>
        <w:rPr>
          <w:rFonts w:ascii="仿宋_GB2312" w:eastAsia="仿宋_GB2312" w:hAnsi="宋体"/>
          <w:b/>
          <w:sz w:val="24"/>
        </w:rPr>
        <w:t>/</w:t>
      </w:r>
      <w:r>
        <w:rPr>
          <w:rFonts w:ascii="仿宋_GB2312" w:eastAsia="仿宋_GB2312" w:hAnsi="宋体"/>
          <w:b/>
          <w:sz w:val="24"/>
        </w:rPr>
        <w:t>本公司（单位）或</w:t>
      </w:r>
      <w:r>
        <w:rPr>
          <w:rFonts w:ascii="仿宋_GB2312" w:eastAsia="仿宋_GB2312" w:hAnsi="宋体"/>
          <w:b/>
          <w:sz w:val="24"/>
        </w:rPr>
        <w:t>征得本人</w:t>
      </w:r>
      <w:r>
        <w:rPr>
          <w:rFonts w:ascii="仿宋_GB2312" w:eastAsia="仿宋_GB2312" w:hAnsi="宋体"/>
          <w:b/>
          <w:sz w:val="24"/>
        </w:rPr>
        <w:t>/</w:t>
      </w:r>
      <w:r>
        <w:rPr>
          <w:rFonts w:ascii="仿宋_GB2312" w:eastAsia="仿宋_GB2312" w:hAnsi="宋体"/>
          <w:b/>
          <w:sz w:val="24"/>
        </w:rPr>
        <w:t>本公司（单位）的同意，本人</w:t>
      </w:r>
      <w:r>
        <w:rPr>
          <w:rFonts w:ascii="仿宋_GB2312" w:eastAsia="仿宋_GB2312" w:hAnsi="宋体"/>
          <w:b/>
          <w:sz w:val="24"/>
        </w:rPr>
        <w:t>/</w:t>
      </w:r>
      <w:r>
        <w:rPr>
          <w:rFonts w:ascii="仿宋_GB2312" w:eastAsia="仿宋_GB2312" w:hAnsi="宋体"/>
          <w:b/>
          <w:sz w:val="24"/>
        </w:rPr>
        <w:t>本公司（单位）将自行承担该等后果（包括遭受本金损失并丧失获得投资回报的机会等）。</w:t>
      </w:r>
    </w:p>
    <w:p w14:paraId="779FD600" w14:textId="77777777" w:rsidR="003E7F78" w:rsidRDefault="003E7F78">
      <w:pPr>
        <w:spacing w:line="360" w:lineRule="auto"/>
        <w:ind w:firstLineChars="200" w:firstLine="482"/>
        <w:rPr>
          <w:rFonts w:ascii="仿宋_GB2312" w:eastAsia="仿宋_GB2312" w:hAnsi="宋体"/>
          <w:b/>
          <w:sz w:val="24"/>
        </w:rPr>
      </w:pPr>
    </w:p>
    <w:p w14:paraId="49E1B117" w14:textId="77777777" w:rsidR="003E7F78" w:rsidRDefault="00741AB5">
      <w:pPr>
        <w:spacing w:line="360" w:lineRule="auto"/>
        <w:ind w:firstLineChars="200" w:firstLine="482"/>
        <w:rPr>
          <w:rFonts w:ascii="仿宋_GB2312" w:eastAsia="仿宋_GB2312" w:hAnsi="宋体"/>
          <w:sz w:val="24"/>
        </w:rPr>
      </w:pPr>
      <w:r>
        <w:rPr>
          <w:rFonts w:ascii="仿宋_GB2312" w:eastAsia="仿宋_GB2312" w:hAnsi="宋体" w:hint="eastAsia"/>
          <w:b/>
          <w:sz w:val="24"/>
        </w:rPr>
        <w:t>▲▲</w:t>
      </w:r>
      <w:r>
        <w:rPr>
          <w:rFonts w:ascii="仿宋_GB2312" w:eastAsia="仿宋_GB2312" w:hAnsi="宋体" w:hint="eastAsia"/>
          <w:sz w:val="24"/>
          <w:szCs w:val="22"/>
        </w:rPr>
        <w:t>经代销机构评估，</w:t>
      </w:r>
      <w:r>
        <w:rPr>
          <w:rFonts w:ascii="仿宋_GB2312" w:eastAsia="仿宋_GB2312" w:hAnsi="宋体" w:hint="eastAsia"/>
          <w:sz w:val="24"/>
        </w:rPr>
        <w:t>本人的风险承受能力评级结果为</w:t>
      </w:r>
      <w:r>
        <w:rPr>
          <w:rFonts w:ascii="仿宋_GB2312" w:eastAsia="仿宋_GB2312" w:hAnsi="宋体" w:hint="eastAsia"/>
          <w:sz w:val="24"/>
        </w:rPr>
        <w:t>:__________</w:t>
      </w:r>
      <w:r>
        <w:rPr>
          <w:rFonts w:ascii="仿宋_GB2312" w:eastAsia="仿宋_GB2312" w:hAnsi="宋体" w:hint="eastAsia"/>
          <w:sz w:val="24"/>
        </w:rPr>
        <w:t>，如超过一年未进行风险承受能力评估或影响本人风险承受能力的因素发生变化，本人将于再次购买理财产品时及时完成风险承受能力评估</w:t>
      </w:r>
      <w:r>
        <w:rPr>
          <w:rFonts w:ascii="仿宋_GB2312" w:eastAsia="仿宋_GB2312" w:hAnsi="宋体"/>
          <w:sz w:val="24"/>
        </w:rPr>
        <w:t>。</w:t>
      </w:r>
      <w:r>
        <w:rPr>
          <w:rFonts w:ascii="仿宋_GB2312" w:eastAsia="仿宋_GB2312" w:hAnsi="宋体" w:hint="eastAsia"/>
          <w:sz w:val="24"/>
        </w:rPr>
        <w:t>（个人投资者填写，机构投资者无需填写）</w:t>
      </w:r>
    </w:p>
    <w:p w14:paraId="72539931" w14:textId="77777777" w:rsidR="003E7F78" w:rsidRDefault="00741AB5">
      <w:pPr>
        <w:spacing w:line="360" w:lineRule="auto"/>
        <w:ind w:firstLineChars="200" w:firstLine="482"/>
        <w:rPr>
          <w:rFonts w:ascii="仿宋_GB2312" w:eastAsia="仿宋_GB2312"/>
          <w:sz w:val="24"/>
          <w:szCs w:val="24"/>
        </w:rPr>
      </w:pPr>
      <w:r>
        <w:rPr>
          <w:rFonts w:ascii="仿宋_GB2312" w:eastAsia="仿宋_GB2312" w:hAnsi="宋体" w:hint="eastAsia"/>
          <w:b/>
          <w:sz w:val="24"/>
          <w:szCs w:val="24"/>
        </w:rPr>
        <w:t>▲▲</w:t>
      </w:r>
      <w:r>
        <w:rPr>
          <w:rFonts w:ascii="仿宋_GB2312" w:eastAsia="仿宋_GB2312" w:hint="eastAsia"/>
          <w:sz w:val="24"/>
          <w:szCs w:val="24"/>
        </w:rPr>
        <w:t>须投资者亲笔抄录以下内容：</w:t>
      </w:r>
      <w:r>
        <w:rPr>
          <w:rFonts w:ascii="仿宋_GB2312" w:eastAsia="仿宋_GB2312" w:hint="eastAsia"/>
          <w:b/>
          <w:bCs/>
          <w:sz w:val="24"/>
          <w:szCs w:val="24"/>
        </w:rPr>
        <w:t>“本人</w:t>
      </w:r>
      <w:r>
        <w:rPr>
          <w:rFonts w:ascii="仿宋_GB2312" w:eastAsia="仿宋_GB2312" w:hint="eastAsia"/>
          <w:b/>
          <w:bCs/>
          <w:sz w:val="24"/>
          <w:szCs w:val="24"/>
        </w:rPr>
        <w:t>/</w:t>
      </w:r>
      <w:r>
        <w:rPr>
          <w:rFonts w:ascii="仿宋_GB2312" w:eastAsia="仿宋_GB2312" w:hint="eastAsia"/>
          <w:b/>
          <w:bCs/>
          <w:sz w:val="24"/>
          <w:szCs w:val="24"/>
        </w:rPr>
        <w:t>本公司</w:t>
      </w:r>
      <w:r>
        <w:rPr>
          <w:rFonts w:ascii="仿宋_GB2312" w:eastAsia="仿宋_GB2312" w:hAnsi="宋体" w:hint="eastAsia"/>
          <w:b/>
          <w:bCs/>
          <w:sz w:val="24"/>
        </w:rPr>
        <w:t>（单位）</w:t>
      </w:r>
      <w:r>
        <w:rPr>
          <w:rFonts w:ascii="仿宋_GB2312" w:eastAsia="仿宋_GB2312" w:hint="eastAsia"/>
          <w:b/>
          <w:bCs/>
          <w:sz w:val="24"/>
          <w:szCs w:val="24"/>
        </w:rPr>
        <w:t>已经阅读风险揭示，愿意承担投资风险。”</w:t>
      </w:r>
    </w:p>
    <w:p w14:paraId="0C28E4D7" w14:textId="77777777" w:rsidR="003E7F78" w:rsidRDefault="00741AB5">
      <w:pPr>
        <w:spacing w:line="360" w:lineRule="auto"/>
        <w:rPr>
          <w:rFonts w:ascii="仿宋_GB2312" w:eastAsia="仿宋_GB2312" w:hAnsi="Arial" w:cs="Arial"/>
          <w:color w:val="000000"/>
          <w:kern w:val="0"/>
          <w:sz w:val="24"/>
          <w:szCs w:val="24"/>
        </w:rPr>
      </w:pPr>
      <w:r>
        <w:rPr>
          <w:rFonts w:ascii="仿宋_GB2312" w:eastAsia="仿宋_GB2312" w:hint="eastAsia"/>
          <w:sz w:val="24"/>
          <w:szCs w:val="24"/>
        </w:rPr>
        <w:t>－－－－－－－－－－－－－－－－－－－－－－－－－－－－－－－－</w:t>
      </w:r>
      <w:r>
        <w:rPr>
          <w:rFonts w:ascii="仿宋_GB2312" w:eastAsia="仿宋_GB2312" w:hint="eastAsia"/>
          <w:sz w:val="24"/>
          <w:szCs w:val="24"/>
        </w:rPr>
        <w:t>－－</w:t>
      </w:r>
    </w:p>
    <w:p w14:paraId="17DFBF49" w14:textId="77777777" w:rsidR="003E7F78" w:rsidRDefault="00741AB5">
      <w:pPr>
        <w:autoSpaceDE w:val="0"/>
        <w:autoSpaceDN w:val="0"/>
        <w:adjustRightInd w:val="0"/>
        <w:spacing w:line="360" w:lineRule="auto"/>
        <w:ind w:firstLineChars="200" w:firstLine="480"/>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个人投资者（签名）：</w:t>
      </w:r>
    </w:p>
    <w:p w14:paraId="7DBA0951" w14:textId="77777777" w:rsidR="003E7F78" w:rsidRDefault="00741AB5">
      <w:pPr>
        <w:autoSpaceDE w:val="0"/>
        <w:autoSpaceDN w:val="0"/>
        <w:adjustRightInd w:val="0"/>
        <w:spacing w:line="360" w:lineRule="auto"/>
        <w:ind w:firstLineChars="200" w:firstLine="480"/>
        <w:jc w:val="left"/>
        <w:rPr>
          <w:rFonts w:ascii="仿宋_GB2312" w:eastAsia="仿宋_GB2312" w:hAnsi="Arial" w:cs="Arial"/>
          <w:kern w:val="0"/>
          <w:sz w:val="24"/>
          <w:szCs w:val="24"/>
        </w:rPr>
      </w:pPr>
      <w:r>
        <w:rPr>
          <w:rFonts w:ascii="仿宋_GB2312" w:eastAsia="仿宋_GB2312" w:hAnsi="Arial" w:cs="Arial"/>
          <w:kern w:val="0"/>
          <w:sz w:val="24"/>
          <w:szCs w:val="24"/>
        </w:rPr>
        <w:t>日期：</w:t>
      </w:r>
    </w:p>
    <w:p w14:paraId="6504524C" w14:textId="77777777" w:rsidR="003E7F78" w:rsidRDefault="00741AB5">
      <w:pPr>
        <w:autoSpaceDE w:val="0"/>
        <w:autoSpaceDN w:val="0"/>
        <w:adjustRightInd w:val="0"/>
        <w:spacing w:line="360" w:lineRule="auto"/>
        <w:ind w:firstLineChars="200" w:firstLine="480"/>
        <w:jc w:val="left"/>
        <w:rPr>
          <w:rFonts w:ascii="仿宋_GB2312" w:eastAsia="仿宋_GB2312"/>
          <w:sz w:val="24"/>
          <w:szCs w:val="24"/>
        </w:rPr>
      </w:pPr>
      <w:r>
        <w:rPr>
          <w:rFonts w:ascii="仿宋_GB2312" w:eastAsia="仿宋_GB2312" w:hAnsi="Arial" w:cs="Arial" w:hint="eastAsia"/>
          <w:color w:val="000000"/>
          <w:kern w:val="0"/>
          <w:sz w:val="24"/>
          <w:szCs w:val="24"/>
        </w:rPr>
        <w:t>机构投资者（盖章）</w:t>
      </w:r>
      <w:r>
        <w:rPr>
          <w:rFonts w:ascii="仿宋_GB2312" w:eastAsia="仿宋_GB2312" w:hint="eastAsia"/>
          <w:sz w:val="24"/>
          <w:szCs w:val="24"/>
        </w:rPr>
        <w:t>：</w:t>
      </w:r>
    </w:p>
    <w:p w14:paraId="71D620C5" w14:textId="77777777" w:rsidR="003E7F78" w:rsidRDefault="00741AB5">
      <w:pPr>
        <w:spacing w:line="360" w:lineRule="auto"/>
        <w:ind w:firstLineChars="200" w:firstLine="480"/>
        <w:jc w:val="left"/>
        <w:rPr>
          <w:rFonts w:ascii="仿宋_GB2312" w:eastAsia="仿宋_GB2312"/>
          <w:sz w:val="24"/>
          <w:szCs w:val="24"/>
        </w:rPr>
      </w:pPr>
      <w:r>
        <w:rPr>
          <w:rFonts w:ascii="仿宋_GB2312" w:eastAsia="仿宋_GB2312" w:hAnsi="Arial" w:cs="Arial" w:hint="eastAsia"/>
          <w:color w:val="000000"/>
          <w:kern w:val="0"/>
          <w:sz w:val="24"/>
          <w:szCs w:val="24"/>
        </w:rPr>
        <w:t>机构投资者</w:t>
      </w:r>
      <w:r>
        <w:rPr>
          <w:rFonts w:ascii="仿宋_GB2312" w:eastAsia="仿宋_GB2312" w:hint="eastAsia"/>
          <w:sz w:val="24"/>
          <w:szCs w:val="24"/>
        </w:rPr>
        <w:t>法定代表人或授权代表（</w:t>
      </w:r>
      <w:r>
        <w:rPr>
          <w:rFonts w:ascii="仿宋_GB2312" w:eastAsia="仿宋_GB2312" w:hAnsi="Arial" w:cs="Arial" w:hint="eastAsia"/>
          <w:color w:val="000000"/>
          <w:kern w:val="0"/>
          <w:sz w:val="24"/>
          <w:szCs w:val="24"/>
        </w:rPr>
        <w:t>签名</w:t>
      </w:r>
      <w:r>
        <w:rPr>
          <w:rFonts w:ascii="仿宋_GB2312" w:eastAsia="仿宋_GB2312" w:hint="eastAsia"/>
          <w:sz w:val="24"/>
          <w:szCs w:val="24"/>
        </w:rPr>
        <w:t>或盖章）：</w:t>
      </w:r>
    </w:p>
    <w:p w14:paraId="3EB42CBD" w14:textId="77777777" w:rsidR="003E7F78" w:rsidRDefault="00741AB5">
      <w:pPr>
        <w:spacing w:line="360" w:lineRule="auto"/>
        <w:ind w:firstLineChars="200" w:firstLine="480"/>
        <w:jc w:val="left"/>
        <w:rPr>
          <w:rFonts w:ascii="仿宋_GB2312" w:eastAsia="仿宋_GB2312"/>
          <w:sz w:val="24"/>
          <w:szCs w:val="24"/>
        </w:rPr>
      </w:pPr>
      <w:r>
        <w:rPr>
          <w:rFonts w:ascii="仿宋_GB2312" w:eastAsia="仿宋_GB2312" w:hint="eastAsia"/>
          <w:sz w:val="24"/>
          <w:szCs w:val="24"/>
        </w:rPr>
        <w:t>日期：</w:t>
      </w:r>
    </w:p>
    <w:p w14:paraId="21251C37" w14:textId="77777777" w:rsidR="003E7F78" w:rsidRDefault="00741AB5">
      <w:pPr>
        <w:widowControl/>
        <w:jc w:val="left"/>
        <w:rPr>
          <w:rFonts w:ascii="仿宋_GB2312" w:eastAsia="仿宋_GB2312" w:hAnsi="Arial" w:cs="Arial"/>
          <w:color w:val="000000"/>
          <w:kern w:val="0"/>
          <w:sz w:val="24"/>
          <w:szCs w:val="24"/>
        </w:rPr>
      </w:pPr>
      <w:r>
        <w:rPr>
          <w:rFonts w:ascii="仿宋_GB2312" w:eastAsia="仿宋_GB2312" w:hAnsi="宋体"/>
          <w:bCs/>
          <w:kern w:val="0"/>
          <w:szCs w:val="21"/>
        </w:rPr>
        <w:t xml:space="preserve">   </w:t>
      </w:r>
      <w:r>
        <w:rPr>
          <w:rFonts w:ascii="仿宋_GB2312" w:eastAsia="仿宋_GB2312" w:hAnsi="宋体" w:hint="eastAsia"/>
          <w:bCs/>
          <w:kern w:val="0"/>
          <w:szCs w:val="21"/>
        </w:rPr>
        <w:t>（本风险揭示书共有三份签名文本，第一联代销机构留存，第二联投资者留存，第三联产品管理人留存。）</w:t>
      </w:r>
      <w:r>
        <w:rPr>
          <w:rFonts w:ascii="仿宋_GB2312" w:eastAsia="仿宋_GB2312" w:hAnsi="Arial" w:cs="Arial"/>
          <w:color w:val="000000"/>
          <w:kern w:val="0"/>
          <w:sz w:val="24"/>
          <w:szCs w:val="24"/>
        </w:rPr>
        <w:br w:type="page"/>
      </w:r>
    </w:p>
    <w:p w14:paraId="27B81D62" w14:textId="77777777" w:rsidR="003E7F78" w:rsidRDefault="00741AB5">
      <w:pPr>
        <w:spacing w:line="360" w:lineRule="auto"/>
        <w:jc w:val="center"/>
        <w:outlineLvl w:val="0"/>
        <w:rPr>
          <w:rFonts w:ascii="方正黑体_GBK" w:eastAsia="方正黑体_GBK" w:hAnsi="方正黑体_GBK" w:cs="方正黑体_GBK"/>
          <w:b/>
          <w:sz w:val="28"/>
          <w:szCs w:val="28"/>
          <w:lang w:bidi="ar"/>
        </w:rPr>
      </w:pPr>
      <w:bookmarkStart w:id="1" w:name="投资协议书1"/>
      <w:r>
        <w:rPr>
          <w:rFonts w:ascii="方正黑体_GBK" w:eastAsia="方正黑体_GBK" w:hAnsi="方正黑体_GBK" w:cs="方正黑体_GBK" w:hint="eastAsia"/>
          <w:b/>
          <w:sz w:val="28"/>
          <w:szCs w:val="28"/>
        </w:rPr>
        <w:t>交银理财稳享鑫荣日日开</w:t>
      </w:r>
      <w:r>
        <w:rPr>
          <w:rFonts w:ascii="方正黑体_GBK" w:eastAsia="方正黑体_GBK" w:hAnsi="方正黑体_GBK" w:cs="方正黑体_GBK" w:hint="eastAsia"/>
          <w:b/>
          <w:sz w:val="28"/>
          <w:szCs w:val="28"/>
        </w:rPr>
        <w:t>3</w:t>
      </w:r>
      <w:r>
        <w:rPr>
          <w:rFonts w:ascii="方正黑体_GBK" w:eastAsia="方正黑体_GBK" w:hAnsi="方正黑体_GBK" w:cs="方正黑体_GBK" w:hint="eastAsia"/>
          <w:b/>
          <w:sz w:val="28"/>
          <w:szCs w:val="28"/>
        </w:rPr>
        <w:t>号理财产品</w:t>
      </w:r>
      <w:r>
        <w:rPr>
          <w:rFonts w:ascii="方正黑体_GBK" w:eastAsia="方正黑体_GBK" w:hAnsi="方正黑体_GBK" w:cs="方正黑体_GBK" w:hint="eastAsia"/>
          <w:b/>
          <w:sz w:val="28"/>
          <w:szCs w:val="28"/>
          <w:lang w:bidi="ar"/>
        </w:rPr>
        <w:t>投资协议书</w:t>
      </w:r>
    </w:p>
    <w:bookmarkEnd w:id="1"/>
    <w:p w14:paraId="5D4C034E" w14:textId="77777777" w:rsidR="003E7F78" w:rsidRDefault="003E7F78">
      <w:pPr>
        <w:spacing w:line="360" w:lineRule="auto"/>
        <w:ind w:firstLineChars="200" w:firstLine="440"/>
        <w:jc w:val="center"/>
        <w:rPr>
          <w:rFonts w:ascii="仿宋_GB2312" w:eastAsia="仿宋_GB2312"/>
          <w:sz w:val="22"/>
          <w:szCs w:val="22"/>
          <w:highlight w:val="yellow"/>
        </w:rPr>
      </w:pPr>
    </w:p>
    <w:p w14:paraId="4827A4D9"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交银理财有限责任公司（以下简称“交银理财”或“产品管理人”）与其发行理财产品的投资者</w:t>
      </w:r>
      <w:r>
        <w:rPr>
          <w:rFonts w:ascii="仿宋_GB2312" w:eastAsia="仿宋_GB2312" w:hAnsi="方正仿宋_GBK" w:cs="方正仿宋_GBK"/>
          <w:sz w:val="24"/>
          <w:szCs w:val="24"/>
        </w:rPr>
        <w:t>经平等友好协商，本着自愿、诚实信用的原则，就</w:t>
      </w:r>
      <w:r>
        <w:rPr>
          <w:rFonts w:ascii="仿宋_GB2312" w:eastAsia="仿宋_GB2312" w:hAnsi="方正仿宋_GBK" w:cs="方正仿宋_GBK" w:hint="eastAsia"/>
          <w:sz w:val="24"/>
          <w:szCs w:val="24"/>
        </w:rPr>
        <w:t>交银理财</w:t>
      </w:r>
      <w:r>
        <w:rPr>
          <w:rFonts w:ascii="仿宋_GB2312" w:eastAsia="仿宋_GB2312" w:hAnsi="方正仿宋_GBK" w:cs="方正仿宋_GBK"/>
          <w:sz w:val="24"/>
          <w:szCs w:val="24"/>
        </w:rPr>
        <w:t>向</w:t>
      </w:r>
      <w:r>
        <w:rPr>
          <w:rFonts w:ascii="仿宋_GB2312" w:eastAsia="仿宋_GB2312" w:hAnsi="方正仿宋_GBK" w:cs="方正仿宋_GBK" w:hint="eastAsia"/>
          <w:sz w:val="24"/>
          <w:szCs w:val="24"/>
        </w:rPr>
        <w:t>投资者</w:t>
      </w:r>
      <w:r>
        <w:rPr>
          <w:rFonts w:ascii="仿宋_GB2312" w:eastAsia="仿宋_GB2312" w:hAnsi="方正仿宋_GBK" w:cs="方正仿宋_GBK"/>
          <w:sz w:val="24"/>
          <w:szCs w:val="24"/>
        </w:rPr>
        <w:t>提供的理财产品，达成如下协议（以下简称</w:t>
      </w:r>
      <w:r>
        <w:rPr>
          <w:rFonts w:ascii="仿宋_GB2312" w:eastAsia="仿宋_GB2312" w:hAnsi="方正仿宋_GBK" w:cs="方正仿宋_GBK"/>
          <w:sz w:val="24"/>
          <w:szCs w:val="24"/>
        </w:rPr>
        <w:t>“</w:t>
      </w:r>
      <w:r>
        <w:rPr>
          <w:rFonts w:ascii="仿宋_GB2312" w:eastAsia="仿宋_GB2312" w:hAnsi="方正仿宋_GBK" w:cs="方正仿宋_GBK"/>
          <w:sz w:val="24"/>
          <w:szCs w:val="24"/>
        </w:rPr>
        <w:t>本协议</w:t>
      </w:r>
      <w:r>
        <w:rPr>
          <w:rFonts w:ascii="仿宋_GB2312" w:eastAsia="仿宋_GB2312" w:hAnsi="方正仿宋_GBK" w:cs="方正仿宋_GBK"/>
          <w:sz w:val="24"/>
          <w:szCs w:val="24"/>
        </w:rPr>
        <w:t>”</w:t>
      </w:r>
      <w:r>
        <w:rPr>
          <w:rFonts w:ascii="仿宋_GB2312" w:eastAsia="仿宋_GB2312" w:hAnsi="方正仿宋_GBK" w:cs="方正仿宋_GBK"/>
          <w:sz w:val="24"/>
          <w:szCs w:val="24"/>
        </w:rPr>
        <w:t>）。本协议为本理财产品</w:t>
      </w:r>
      <w:r>
        <w:rPr>
          <w:rFonts w:ascii="仿宋_GB2312" w:eastAsia="仿宋_GB2312" w:hAnsi="方正仿宋_GBK" w:cs="方正仿宋_GBK" w:hint="eastAsia"/>
          <w:sz w:val="24"/>
          <w:szCs w:val="24"/>
        </w:rPr>
        <w:t>合同</w:t>
      </w:r>
      <w:r>
        <w:rPr>
          <w:rFonts w:ascii="仿宋_GB2312" w:eastAsia="仿宋_GB2312" w:hAnsi="方正仿宋_GBK" w:cs="方正仿宋_GBK"/>
          <w:sz w:val="24"/>
          <w:szCs w:val="24"/>
        </w:rPr>
        <w:t>不可分割之组成部分：</w:t>
      </w:r>
    </w:p>
    <w:p w14:paraId="33EBE6AF" w14:textId="77777777" w:rsidR="003E7F78" w:rsidRDefault="00741AB5">
      <w:pPr>
        <w:autoSpaceDE w:val="0"/>
        <w:autoSpaceDN w:val="0"/>
        <w:adjustRightInd w:val="0"/>
        <w:spacing w:line="360" w:lineRule="auto"/>
        <w:ind w:firstLineChars="200" w:firstLine="480"/>
        <w:outlineLvl w:val="1"/>
        <w:rPr>
          <w:rFonts w:ascii="仿宋_GB2312" w:eastAsia="仿宋_GB2312" w:hAnsi="宋体"/>
          <w:sz w:val="24"/>
          <w:szCs w:val="24"/>
        </w:rPr>
      </w:pPr>
      <w:r>
        <w:rPr>
          <w:rFonts w:ascii="仿宋_GB2312" w:eastAsia="仿宋_GB2312" w:hAnsi="宋体" w:hint="eastAsia"/>
          <w:sz w:val="24"/>
          <w:szCs w:val="24"/>
        </w:rPr>
        <w:t>一、双方权利和义务</w:t>
      </w:r>
    </w:p>
    <w:p w14:paraId="7BFD96D8" w14:textId="77777777" w:rsidR="003E7F78" w:rsidRDefault="00741AB5">
      <w:pPr>
        <w:autoSpaceDE w:val="0"/>
        <w:autoSpaceDN w:val="0"/>
        <w:adjustRightInd w:val="0"/>
        <w:spacing w:line="360" w:lineRule="auto"/>
        <w:ind w:firstLineChars="200" w:firstLine="480"/>
        <w:rPr>
          <w:rFonts w:ascii="仿宋_GB2312" w:eastAsia="仿宋_GB2312" w:hAnsi="方正楷体_GBK" w:cs="方正楷体_GBK"/>
          <w:sz w:val="24"/>
          <w:szCs w:val="24"/>
        </w:rPr>
      </w:pPr>
      <w:r>
        <w:rPr>
          <w:rFonts w:ascii="仿宋_GB2312" w:eastAsia="仿宋_GB2312" w:hAnsi="方正楷体_GBK" w:cs="方正楷体_GBK" w:hint="eastAsia"/>
          <w:sz w:val="24"/>
          <w:szCs w:val="24"/>
        </w:rPr>
        <w:t>（一）产品管理人声明与保证</w:t>
      </w:r>
    </w:p>
    <w:p w14:paraId="4A90E36A"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sz w:val="24"/>
          <w:szCs w:val="24"/>
        </w:rPr>
        <w:t>1.</w:t>
      </w:r>
      <w:r>
        <w:rPr>
          <w:rFonts w:ascii="仿宋_GB2312" w:eastAsia="仿宋_GB2312" w:hAnsi="方正仿宋_GBK" w:cs="方正仿宋_GBK"/>
          <w:sz w:val="24"/>
          <w:szCs w:val="24"/>
        </w:rPr>
        <w:t>产品管理人具有开办理财业务的经营资质，保证以诚实信用、勤勉谨慎的原则管理和运用理财资金。</w:t>
      </w:r>
    </w:p>
    <w:p w14:paraId="33713898"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sz w:val="24"/>
          <w:szCs w:val="24"/>
        </w:rPr>
        <w:t>2.</w:t>
      </w:r>
      <w:r>
        <w:rPr>
          <w:rFonts w:ascii="仿宋_GB2312" w:eastAsia="仿宋_GB2312" w:hAnsi="方正仿宋_GBK" w:cs="方正仿宋_GBK"/>
          <w:sz w:val="24"/>
          <w:szCs w:val="24"/>
        </w:rPr>
        <w:t>产品管理人具有完全适当的资格和能力订立与履行本理财产品合同。</w:t>
      </w:r>
    </w:p>
    <w:p w14:paraId="1994E5F4"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sz w:val="24"/>
          <w:szCs w:val="24"/>
        </w:rPr>
      </w:pPr>
      <w:r>
        <w:rPr>
          <w:rFonts w:ascii="仿宋_GB2312" w:eastAsia="仿宋_GB2312" w:hAnsi="宋体" w:cs="Arial" w:hint="eastAsia"/>
          <w:sz w:val="24"/>
          <w:szCs w:val="24"/>
        </w:rPr>
        <w:t>▲▲</w:t>
      </w:r>
      <w:r>
        <w:rPr>
          <w:rFonts w:ascii="仿宋_GB2312" w:eastAsia="仿宋_GB2312" w:hAnsi="方正仿宋_GBK" w:cs="方正仿宋_GBK" w:hint="eastAsia"/>
          <w:sz w:val="24"/>
          <w:szCs w:val="24"/>
          <w:lang w:bidi="ar"/>
        </w:rPr>
        <w:t>3.</w:t>
      </w:r>
      <w:r>
        <w:rPr>
          <w:rFonts w:ascii="仿宋_GB2312" w:eastAsia="仿宋_GB2312" w:hAnsi="方正仿宋_GBK" w:cs="方正仿宋_GBK" w:hint="eastAsia"/>
          <w:sz w:val="24"/>
          <w:szCs w:val="24"/>
          <w:lang w:bidi="ar"/>
        </w:rPr>
        <w:t>代销机构</w:t>
      </w:r>
      <w:r>
        <w:rPr>
          <w:rFonts w:ascii="仿宋_GB2312" w:eastAsia="仿宋_GB2312" w:hAnsi="方正仿宋_GBK" w:cs="方正仿宋_GBK"/>
          <w:sz w:val="24"/>
          <w:szCs w:val="24"/>
          <w:lang w:bidi="ar"/>
        </w:rPr>
        <w:t>未经</w:t>
      </w:r>
      <w:r>
        <w:rPr>
          <w:rFonts w:ascii="仿宋_GB2312" w:eastAsia="仿宋_GB2312" w:hAnsi="方正仿宋_GBK" w:cs="方正仿宋_GBK" w:hint="eastAsia"/>
          <w:sz w:val="24"/>
          <w:szCs w:val="24"/>
          <w:lang w:bidi="ar"/>
        </w:rPr>
        <w:t>投资者</w:t>
      </w:r>
      <w:r>
        <w:rPr>
          <w:rFonts w:ascii="仿宋_GB2312" w:eastAsia="仿宋_GB2312" w:hAnsi="方正仿宋_GBK" w:cs="方正仿宋_GBK"/>
          <w:sz w:val="24"/>
          <w:szCs w:val="24"/>
          <w:lang w:bidi="ar"/>
        </w:rPr>
        <w:t>专门授权，不得将</w:t>
      </w:r>
      <w:r>
        <w:rPr>
          <w:rFonts w:ascii="仿宋_GB2312" w:eastAsia="仿宋_GB2312" w:hAnsi="方正仿宋_GBK" w:cs="方正仿宋_GBK" w:hint="eastAsia"/>
          <w:sz w:val="24"/>
          <w:szCs w:val="24"/>
          <w:lang w:bidi="ar"/>
        </w:rPr>
        <w:t>投资者</w:t>
      </w:r>
      <w:r>
        <w:rPr>
          <w:rFonts w:ascii="仿宋_GB2312" w:eastAsia="仿宋_GB2312" w:hAnsi="方正仿宋_GBK" w:cs="方正仿宋_GBK"/>
          <w:sz w:val="24"/>
          <w:szCs w:val="24"/>
          <w:lang w:bidi="ar"/>
        </w:rPr>
        <w:t>个人信息及相关理财产品销售信息提供其他第三方机构和个人，法律、行政法规和</w:t>
      </w:r>
      <w:r>
        <w:rPr>
          <w:rFonts w:ascii="仿宋_GB2312" w:eastAsia="仿宋_GB2312" w:hAnsi="方正仿宋_GBK" w:cs="方正仿宋_GBK" w:hint="eastAsia"/>
          <w:sz w:val="24"/>
          <w:szCs w:val="24"/>
          <w:lang w:bidi="ar"/>
        </w:rPr>
        <w:t>国家金融监督管理总局</w:t>
      </w:r>
      <w:r>
        <w:rPr>
          <w:rFonts w:ascii="仿宋_GB2312" w:eastAsia="仿宋_GB2312" w:hAnsi="方正仿宋_GBK" w:cs="方正仿宋_GBK"/>
          <w:sz w:val="24"/>
          <w:szCs w:val="24"/>
          <w:lang w:bidi="ar"/>
        </w:rPr>
        <w:t>另有规定的除外。</w:t>
      </w:r>
    </w:p>
    <w:p w14:paraId="0046871A" w14:textId="77777777" w:rsidR="003E7F78" w:rsidRDefault="00741AB5">
      <w:pPr>
        <w:autoSpaceDE w:val="0"/>
        <w:autoSpaceDN w:val="0"/>
        <w:adjustRightIn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（二）投资者声明与保证</w:t>
      </w:r>
    </w:p>
    <w:p w14:paraId="2CB9B289"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1.</w:t>
      </w:r>
      <w:r>
        <w:rPr>
          <w:rFonts w:ascii="仿宋_GB2312" w:eastAsia="仿宋_GB2312" w:hint="eastAsia"/>
          <w:b/>
          <w:bCs/>
          <w:sz w:val="24"/>
          <w:szCs w:val="24"/>
        </w:rPr>
        <w:t>投资者为符合法律法规和监管规定的不特定社会公众，能够自行识别、判断和承担理财产品的相关风险。</w:t>
      </w:r>
    </w:p>
    <w:p w14:paraId="6B02ED30"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2.</w:t>
      </w:r>
      <w:r>
        <w:rPr>
          <w:rFonts w:ascii="仿宋_GB2312" w:eastAsia="仿宋_GB2312" w:hint="eastAsia"/>
          <w:b/>
          <w:bCs/>
          <w:sz w:val="24"/>
          <w:szCs w:val="24"/>
        </w:rPr>
        <w:t>投资者具有完全民事行为能力，有完全适当的资格与能力订立并履行本</w:t>
      </w:r>
      <w:r>
        <w:rPr>
          <w:rFonts w:ascii="仿宋_GB2312" w:eastAsia="仿宋_GB2312" w:hAnsi="方正仿宋_GBK" w:cs="方正仿宋_GBK" w:hint="eastAsia"/>
          <w:b/>
          <w:bCs/>
          <w:sz w:val="24"/>
          <w:szCs w:val="24"/>
        </w:rPr>
        <w:t>理财产品合同</w:t>
      </w:r>
      <w:r>
        <w:rPr>
          <w:rFonts w:ascii="仿宋_GB2312" w:eastAsia="仿宋_GB2312" w:hint="eastAsia"/>
          <w:b/>
          <w:bCs/>
          <w:sz w:val="24"/>
          <w:szCs w:val="24"/>
        </w:rPr>
        <w:t>，不存在法律、行政法规有关规定禁止或限制投资理财产品的情形。（适用于个人投资者）</w:t>
      </w:r>
    </w:p>
    <w:p w14:paraId="6A52343C"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3.</w:t>
      </w:r>
      <w:r>
        <w:rPr>
          <w:rFonts w:ascii="仿宋_GB2312" w:eastAsia="仿宋_GB2312" w:hint="eastAsia"/>
          <w:b/>
          <w:sz w:val="24"/>
          <w:szCs w:val="24"/>
        </w:rPr>
        <w:t>投资者保证以真实身份投资本理财产品，保证提供给产品管理人和代销机构的信息和资料均真实、准确、完整、合法、有效。如投资者的信息和</w:t>
      </w:r>
      <w:r>
        <w:rPr>
          <w:rFonts w:ascii="仿宋_GB2312" w:eastAsia="仿宋_GB2312" w:hint="eastAsia"/>
          <w:b/>
          <w:sz w:val="24"/>
          <w:szCs w:val="24"/>
        </w:rPr>
        <w:t>/</w:t>
      </w:r>
      <w:r>
        <w:rPr>
          <w:rFonts w:ascii="仿宋_GB2312" w:eastAsia="仿宋_GB2312" w:hint="eastAsia"/>
          <w:b/>
          <w:sz w:val="24"/>
          <w:szCs w:val="24"/>
        </w:rPr>
        <w:t>或资料发生变更，应当及时书面告知产品管理人或代销机构。</w:t>
      </w:r>
    </w:p>
    <w:p w14:paraId="6EAACDEA"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4.</w:t>
      </w:r>
      <w:r>
        <w:rPr>
          <w:rFonts w:ascii="仿宋_GB2312" w:eastAsia="仿宋_GB2312" w:hint="eastAsia"/>
          <w:b/>
          <w:bCs/>
          <w:sz w:val="24"/>
          <w:szCs w:val="24"/>
        </w:rPr>
        <w:t>投资者确认签署和履行</w:t>
      </w:r>
      <w:r>
        <w:rPr>
          <w:rFonts w:ascii="仿宋_GB2312" w:eastAsia="仿宋_GB2312" w:hAnsi="宋体" w:hint="eastAsia"/>
          <w:b/>
          <w:bCs/>
          <w:sz w:val="24"/>
          <w:szCs w:val="24"/>
        </w:rPr>
        <w:t>理财产品合同</w:t>
      </w:r>
      <w:r>
        <w:rPr>
          <w:rFonts w:ascii="仿宋_GB2312" w:eastAsia="仿宋_GB2312" w:hint="eastAsia"/>
          <w:b/>
          <w:bCs/>
          <w:sz w:val="24"/>
          <w:szCs w:val="24"/>
        </w:rPr>
        <w:t>系其真实意思表示，已经按照其章程或者其它内部管理文件的要求取得合法、有效的授权（适用于机构投资者），且不会违反对其有约束力的任何合同和其他法律文件；投资者已经取得签订和履行</w:t>
      </w:r>
      <w:r>
        <w:rPr>
          <w:rFonts w:ascii="仿宋_GB2312" w:eastAsia="仿宋_GB2312" w:hAnsi="宋体" w:hint="eastAsia"/>
          <w:b/>
          <w:bCs/>
          <w:sz w:val="24"/>
          <w:szCs w:val="24"/>
        </w:rPr>
        <w:t>理财产品合同</w:t>
      </w:r>
      <w:r>
        <w:rPr>
          <w:rFonts w:ascii="仿宋_GB2312" w:eastAsia="仿宋_GB2312" w:hint="eastAsia"/>
          <w:b/>
          <w:bCs/>
          <w:sz w:val="24"/>
          <w:szCs w:val="24"/>
        </w:rPr>
        <w:t>所需的一切有关批准、许可、备案或者登记。</w:t>
      </w:r>
    </w:p>
    <w:p w14:paraId="29AA8E55"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5.</w:t>
      </w:r>
      <w:r>
        <w:rPr>
          <w:rFonts w:ascii="仿宋_GB2312" w:eastAsia="仿宋_GB2312" w:hint="eastAsia"/>
          <w:b/>
          <w:bCs/>
          <w:sz w:val="24"/>
          <w:szCs w:val="24"/>
        </w:rPr>
        <w:t>投资者声明熟悉理财产品类型特征及不同销售渠道的法律法规规定</w:t>
      </w:r>
      <w:r>
        <w:rPr>
          <w:rFonts w:ascii="仿宋_GB2312" w:eastAsia="仿宋_GB2312" w:hint="eastAsia"/>
          <w:b/>
          <w:bCs/>
          <w:sz w:val="24"/>
          <w:szCs w:val="24"/>
        </w:rPr>
        <w:t>。</w:t>
      </w:r>
    </w:p>
    <w:p w14:paraId="0F232454"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6.</w:t>
      </w:r>
      <w:r>
        <w:rPr>
          <w:rFonts w:ascii="仿宋_GB2312" w:eastAsia="仿宋_GB2312" w:hint="eastAsia"/>
          <w:b/>
          <w:bCs/>
          <w:sz w:val="24"/>
          <w:szCs w:val="24"/>
        </w:rPr>
        <w:t>投资者承诺：如委托他人购买本产品，代理人须出具具有法律效力的授权委托书。</w:t>
      </w:r>
    </w:p>
    <w:p w14:paraId="52356F00"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bCs/>
          <w:sz w:val="24"/>
          <w:szCs w:val="24"/>
        </w:rPr>
        <w:t>7.</w:t>
      </w:r>
      <w:r>
        <w:rPr>
          <w:rFonts w:ascii="仿宋_GB2312" w:eastAsia="仿宋_GB2312" w:hint="eastAsia"/>
          <w:b/>
          <w:bCs/>
          <w:sz w:val="24"/>
          <w:szCs w:val="24"/>
        </w:rPr>
        <w:t>投资者保证理财投资资金来源和用途合法，保证可向产品管理人和代销机构提供合法筹集的证明文件。</w:t>
      </w:r>
    </w:p>
    <w:p w14:paraId="66F02D96"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8.</w:t>
      </w:r>
      <w:r>
        <w:rPr>
          <w:rFonts w:ascii="仿宋_GB2312" w:eastAsia="仿宋_GB2312" w:hint="eastAsia"/>
          <w:bCs/>
          <w:sz w:val="24"/>
          <w:szCs w:val="24"/>
        </w:rPr>
        <w:t>投资者不利用本理财业务及本理财产品合同项下理财产品从事违法活动。</w:t>
      </w:r>
    </w:p>
    <w:p w14:paraId="2711C47C"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9.</w:t>
      </w:r>
      <w:r>
        <w:rPr>
          <w:rFonts w:ascii="仿宋_GB2312" w:eastAsia="仿宋_GB2312" w:hint="eastAsia"/>
          <w:bCs/>
          <w:sz w:val="24"/>
          <w:szCs w:val="24"/>
        </w:rPr>
        <w:t>投资者保证遵守国家反洗钱法律、法规及相关政策要求，不从事涉及洗钱、恐怖融资、逃税、逃废债务、套取现金等违法违规活动，积极配合管理人</w:t>
      </w:r>
      <w:r>
        <w:rPr>
          <w:rFonts w:ascii="仿宋_GB2312" w:eastAsia="仿宋_GB2312" w:hint="eastAsia"/>
          <w:bCs/>
          <w:sz w:val="24"/>
          <w:szCs w:val="24"/>
        </w:rPr>
        <w:t>/</w:t>
      </w:r>
      <w:r>
        <w:rPr>
          <w:rFonts w:ascii="仿宋_GB2312" w:eastAsia="仿宋_GB2312" w:hint="eastAsia"/>
          <w:bCs/>
          <w:sz w:val="24"/>
          <w:szCs w:val="24"/>
        </w:rPr>
        <w:t>销售机构根据反洗钱、反恐怖融资、制裁合规、反电信网络诈骗等合规管理及非居民金融账户涉税信息尽职调查等相关法律法规要求开展投资者身</w:t>
      </w:r>
      <w:r>
        <w:rPr>
          <w:rFonts w:ascii="仿宋_GB2312" w:eastAsia="仿宋_GB2312" w:hint="eastAsia"/>
          <w:bCs/>
          <w:sz w:val="24"/>
          <w:szCs w:val="24"/>
        </w:rPr>
        <w:t>份识别、交易记录保存、投资者身份及交易背景尽职调查、风险评估和管理、大额和可疑交易报告等各项反洗钱和反恐怖融资工作，并按要求提供相关信息和证明材料。</w:t>
      </w:r>
    </w:p>
    <w:p w14:paraId="6FAB9F96"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10.</w:t>
      </w:r>
      <w:r>
        <w:rPr>
          <w:rFonts w:ascii="仿宋_GB2312" w:eastAsia="仿宋_GB2312" w:hint="eastAsia"/>
          <w:b/>
          <w:sz w:val="24"/>
          <w:szCs w:val="24"/>
        </w:rPr>
        <w:t>投资者确认，投资者及其关联方（主要指企业投资者的授权办理人、法定代表人</w:t>
      </w:r>
      <w:r>
        <w:rPr>
          <w:rFonts w:ascii="仿宋_GB2312" w:eastAsia="仿宋_GB2312" w:hint="eastAsia"/>
          <w:b/>
          <w:sz w:val="24"/>
          <w:szCs w:val="24"/>
        </w:rPr>
        <w:t>/</w:t>
      </w:r>
      <w:r>
        <w:rPr>
          <w:rFonts w:ascii="仿宋_GB2312" w:eastAsia="仿宋_GB2312" w:hint="eastAsia"/>
          <w:b/>
          <w:sz w:val="24"/>
          <w:szCs w:val="24"/>
        </w:rPr>
        <w:t>负责人、董事、控股股东、实际控制人、受益所有人等直接或间接关联方）不属于联合国及有关国际组织、中国以及相关国家和地区、地区性组织</w:t>
      </w:r>
      <w:r>
        <w:rPr>
          <w:rFonts w:ascii="仿宋_GB2312" w:eastAsia="仿宋_GB2312" w:hint="eastAsia"/>
          <w:b/>
          <w:sz w:val="24"/>
          <w:szCs w:val="24"/>
        </w:rPr>
        <w:t>/</w:t>
      </w:r>
      <w:r>
        <w:rPr>
          <w:rFonts w:ascii="仿宋_GB2312" w:eastAsia="仿宋_GB2312" w:hint="eastAsia"/>
          <w:b/>
          <w:sz w:val="24"/>
          <w:szCs w:val="24"/>
        </w:rPr>
        <w:t>机构发布的制裁名单，不位于被上述国际组织、国家、组织</w:t>
      </w:r>
      <w:r>
        <w:rPr>
          <w:rFonts w:ascii="仿宋_GB2312" w:eastAsia="仿宋_GB2312" w:hint="eastAsia"/>
          <w:b/>
          <w:sz w:val="24"/>
          <w:szCs w:val="24"/>
        </w:rPr>
        <w:t>/</w:t>
      </w:r>
      <w:r>
        <w:rPr>
          <w:rFonts w:ascii="仿宋_GB2312" w:eastAsia="仿宋_GB2312" w:hint="eastAsia"/>
          <w:b/>
          <w:sz w:val="24"/>
          <w:szCs w:val="24"/>
        </w:rPr>
        <w:t>机构制裁的国家和地区；不属于联合国安理会及其他国际组织、国家和地区以及中国人民银行、中国公安部等中国</w:t>
      </w:r>
      <w:r>
        <w:rPr>
          <w:rFonts w:ascii="仿宋_GB2312" w:eastAsia="仿宋_GB2312" w:hint="eastAsia"/>
          <w:b/>
          <w:sz w:val="24"/>
          <w:szCs w:val="24"/>
        </w:rPr>
        <w:t>有权机关发布的洗钱和恐怖活动组织及人员名单；不位于上述国际组织、国家和地区发布的洗钱及恐怖融资高风险国家和地区。</w:t>
      </w:r>
    </w:p>
    <w:p w14:paraId="261635D4"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11.</w:t>
      </w:r>
      <w:r>
        <w:rPr>
          <w:rFonts w:ascii="仿宋_GB2312" w:eastAsia="仿宋_GB2312" w:hint="eastAsia"/>
          <w:bCs/>
          <w:sz w:val="24"/>
          <w:szCs w:val="24"/>
        </w:rPr>
        <w:t>▲▲投资者承诺投资资金为自有资金，投资者保证不使用贷款、发行债券等筹集的非自有资金投资理财产品，保证投资本理财产品不存在违反监管要求的产品嵌套，以及以投资本理财产品规避投资范围、杠杆约束等监管要求等违规行为。</w:t>
      </w:r>
    </w:p>
    <w:p w14:paraId="3D1BD511"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12.</w:t>
      </w:r>
      <w:r>
        <w:rPr>
          <w:rFonts w:ascii="仿宋_GB2312" w:eastAsia="仿宋_GB2312" w:hint="eastAsia"/>
          <w:b/>
          <w:sz w:val="24"/>
          <w:szCs w:val="24"/>
        </w:rPr>
        <w:t>▲▲投资者知晓并同意：产品管理人有权根据适用的法律法规、监管规定或要求，以及为投资者提供理财服务的目的，按照以下的方式处理投资者的个人信息：</w:t>
      </w:r>
    </w:p>
    <w:p w14:paraId="6FC9B8DA"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1</w:t>
      </w:r>
      <w:r>
        <w:rPr>
          <w:rFonts w:ascii="仿宋_GB2312" w:eastAsia="仿宋_GB2312" w:hint="eastAsia"/>
          <w:b/>
          <w:sz w:val="24"/>
          <w:szCs w:val="24"/>
        </w:rPr>
        <w:t>）为符合监管规定关于投资者尽职</w:t>
      </w:r>
      <w:r>
        <w:rPr>
          <w:rFonts w:ascii="仿宋_GB2312" w:eastAsia="仿宋_GB2312" w:hint="eastAsia"/>
          <w:b/>
          <w:sz w:val="24"/>
          <w:szCs w:val="24"/>
        </w:rPr>
        <w:t>调查、登记报送及反洗钱监管的要求，产品管理人将根据法律法规及监管部门的要求收集、存储、使用投资者个人身份信息、持有理财产品信息以及理财产品交易明细信息，并在法律法规或监管部门要求的情况下向有权机关进行登记或上报，由其对投资者的个人信息进行处理。</w:t>
      </w:r>
    </w:p>
    <w:p w14:paraId="28C56E92"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2</w:t>
      </w:r>
      <w:r>
        <w:rPr>
          <w:rFonts w:ascii="仿宋_GB2312" w:eastAsia="仿宋_GB2312" w:hint="eastAsia"/>
          <w:b/>
          <w:sz w:val="24"/>
          <w:szCs w:val="24"/>
        </w:rPr>
        <w:t>）为完成理财产品销售流程，产品管理人将向代销机构反馈投资者的理财账号信息，由其对投资者的个人信息进行存储、使用以完成上述流程。</w:t>
      </w:r>
    </w:p>
    <w:p w14:paraId="392F95C1"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3</w:t>
      </w:r>
      <w:r>
        <w:rPr>
          <w:rFonts w:ascii="仿宋_GB2312" w:eastAsia="仿宋_GB2312" w:hint="eastAsia"/>
          <w:b/>
          <w:sz w:val="24"/>
          <w:szCs w:val="24"/>
        </w:rPr>
        <w:t>）为及时、准确地响应投资者的投诉，并向投资者提供与产品有关的其他服务，产品管理人将收集、存储、使用投资者个人身份信息、持有理财产品</w:t>
      </w:r>
      <w:r>
        <w:rPr>
          <w:rFonts w:ascii="仿宋_GB2312" w:eastAsia="仿宋_GB2312" w:hint="eastAsia"/>
          <w:b/>
          <w:sz w:val="24"/>
          <w:szCs w:val="24"/>
        </w:rPr>
        <w:t>信息以及理财产品交易明细信息。</w:t>
      </w:r>
    </w:p>
    <w:p w14:paraId="7190E839"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如投资者向代销机构提出投诉的，为响应此类投诉请求，产品管理人还可能向代销机构提供投资者个人身份信息、持有理财产品信息以及理财产品交易明细信息，由其对投资者的个人信息进行存储、使用以响应相关投诉。</w:t>
      </w:r>
    </w:p>
    <w:p w14:paraId="5F29CE1D"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4</w:t>
      </w:r>
      <w:r>
        <w:rPr>
          <w:rFonts w:ascii="仿宋_GB2312" w:eastAsia="仿宋_GB2312" w:hint="eastAsia"/>
          <w:b/>
          <w:sz w:val="24"/>
          <w:szCs w:val="24"/>
        </w:rPr>
        <w:t>）根据适用的法律法规、监管规定、司法部门、监管机构及其他有权机关的要求，为完成相关司法或行政程序，产品管理人还可能需要按照相关规定或有权机关的指示，在必要范围内向有权机关或代销机构提供投资者的个人信息，由其对投资者的个人信息进行处理，以符合法律法规、监管规定、司法部门、监管机构或</w:t>
      </w:r>
      <w:r>
        <w:rPr>
          <w:rFonts w:ascii="仿宋_GB2312" w:eastAsia="仿宋_GB2312" w:hint="eastAsia"/>
          <w:b/>
          <w:sz w:val="24"/>
          <w:szCs w:val="24"/>
        </w:rPr>
        <w:t>其他有权机关的要求，完成相关司法或行政程序。</w:t>
      </w:r>
    </w:p>
    <w:p w14:paraId="61D50EAB"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在前述目的所需或法律法规允许的范围收集、使用、存储的投资者的个人信息，产品管理人仅会在为实现处理目的所必要的最短期限或法律法规要求的期限内对前述个人信息进行保存。如投资者拒绝提供前述个人信息，则可能会导致相应的处理目的无法实现，并可能影响与理财产品有关的服务。如投资者需就前述个人信息主张权利的，可以通过本理财产品合同所载明的联络方式联系产品管理人。就前述投资者个人信息，产品管理人确认将遵循《个人信息保护法》等法律法规的要求履行保护义务并承担保密责任。</w:t>
      </w:r>
    </w:p>
    <w:p w14:paraId="45A091AF"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（三）双方</w:t>
      </w:r>
      <w:r>
        <w:rPr>
          <w:rFonts w:ascii="仿宋_GB2312" w:eastAsia="仿宋_GB2312" w:hint="eastAsia"/>
          <w:b/>
          <w:sz w:val="24"/>
          <w:szCs w:val="24"/>
        </w:rPr>
        <w:t>同意</w:t>
      </w:r>
    </w:p>
    <w:p w14:paraId="3C01BF11"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1.</w:t>
      </w:r>
      <w:r>
        <w:rPr>
          <w:rFonts w:ascii="仿宋_GB2312" w:eastAsia="仿宋_GB2312" w:hint="eastAsia"/>
          <w:b/>
          <w:bCs/>
          <w:sz w:val="24"/>
          <w:szCs w:val="24"/>
        </w:rPr>
        <w:t>未经产品管理人同意，投资者不得以本理财产品合同或本理财产品合同项下的任何权利、利益、权益（包括单独和整体）为投资者和</w:t>
      </w:r>
      <w:r>
        <w:rPr>
          <w:rFonts w:ascii="仿宋_GB2312" w:eastAsia="仿宋_GB2312" w:hint="eastAsia"/>
          <w:b/>
          <w:bCs/>
          <w:sz w:val="24"/>
          <w:szCs w:val="24"/>
        </w:rPr>
        <w:t>/</w:t>
      </w:r>
      <w:r>
        <w:rPr>
          <w:rFonts w:ascii="仿宋_GB2312" w:eastAsia="仿宋_GB2312" w:hint="eastAsia"/>
          <w:b/>
          <w:bCs/>
          <w:sz w:val="24"/>
          <w:szCs w:val="24"/>
        </w:rPr>
        <w:t>或任何第三人的债务设定担保或其他权益。</w:t>
      </w:r>
    </w:p>
    <w:p w14:paraId="2A0BB682"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2.</w:t>
      </w:r>
      <w:r>
        <w:rPr>
          <w:rFonts w:ascii="仿宋_GB2312" w:eastAsia="仿宋_GB2312" w:hint="eastAsia"/>
          <w:b/>
          <w:bCs/>
          <w:sz w:val="24"/>
          <w:szCs w:val="24"/>
        </w:rPr>
        <w:t>未经产品管理人同意，投资者不得向任何第三人转让、赠与本理财产品合同或本理财产品合同项下的任何权利、利益、权益（包括单独和整体）。</w:t>
      </w:r>
    </w:p>
    <w:p w14:paraId="1E657012"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3.</w:t>
      </w:r>
      <w:r>
        <w:rPr>
          <w:rFonts w:ascii="仿宋_GB2312" w:eastAsia="仿宋_GB2312" w:hint="eastAsia"/>
          <w:b/>
          <w:bCs/>
          <w:sz w:val="24"/>
          <w:szCs w:val="24"/>
        </w:rPr>
        <w:t>产品管理人不承担对第三人支付本产品项下投资者应得清算分配金额以及相关权益的责任，法律法规另有规定的除外。</w:t>
      </w:r>
    </w:p>
    <w:p w14:paraId="34892A06"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4.</w:t>
      </w:r>
      <w:r>
        <w:rPr>
          <w:rFonts w:ascii="仿宋_GB2312" w:eastAsia="仿宋_GB2312" w:hint="eastAsia"/>
          <w:b/>
          <w:bCs/>
          <w:sz w:val="24"/>
          <w:szCs w:val="24"/>
        </w:rPr>
        <w:t>本理财产品合同项下理财业务不受代销机构存款保险机制或其他保障机制保障。</w:t>
      </w:r>
    </w:p>
    <w:p w14:paraId="0D1DE699" w14:textId="77777777" w:rsidR="003E7F78" w:rsidRDefault="00741AB5">
      <w:pPr>
        <w:spacing w:line="360" w:lineRule="auto"/>
        <w:ind w:firstLineChars="200" w:firstLine="482"/>
        <w:rPr>
          <w:rFonts w:ascii="仿宋_GB2312" w:eastAsia="仿宋_GB2312" w:hAnsi="方正仿宋_GBK" w:cs="方正仿宋_GBK"/>
          <w:b/>
          <w:bCs/>
          <w:color w:val="000000"/>
          <w:kern w:val="0"/>
          <w:sz w:val="24"/>
          <w:szCs w:val="24"/>
        </w:rPr>
      </w:pPr>
      <w:r>
        <w:rPr>
          <w:rFonts w:ascii="仿宋_GB2312" w:eastAsia="仿宋_GB2312" w:hAnsi="宋体" w:hint="eastAsia"/>
          <w:b/>
          <w:bCs/>
          <w:sz w:val="24"/>
          <w:szCs w:val="24"/>
        </w:rPr>
        <w:t>▲▲</w:t>
      </w:r>
      <w:r>
        <w:rPr>
          <w:rFonts w:ascii="仿宋_GB2312" w:eastAsia="仿宋_GB2312" w:hint="eastAsia"/>
          <w:b/>
          <w:bCs/>
          <w:sz w:val="24"/>
          <w:szCs w:val="24"/>
        </w:rPr>
        <w:t>5</w:t>
      </w:r>
      <w:r>
        <w:rPr>
          <w:rFonts w:ascii="仿宋_GB2312" w:eastAsia="仿宋_GB2312" w:hAnsi="方正仿宋_GBK" w:cs="方正仿宋_GBK"/>
          <w:b/>
          <w:color w:val="000000"/>
          <w:kern w:val="0"/>
          <w:sz w:val="24"/>
          <w:szCs w:val="24"/>
        </w:rPr>
        <w:t>.</w:t>
      </w:r>
      <w:r>
        <w:rPr>
          <w:rFonts w:ascii="仿宋_GB2312" w:eastAsia="仿宋_GB2312" w:hAnsi="方正仿宋_GBK" w:cs="方正仿宋_GBK" w:hint="eastAsia"/>
          <w:b/>
          <w:bCs/>
          <w:color w:val="000000"/>
          <w:kern w:val="0"/>
          <w:sz w:val="24"/>
          <w:szCs w:val="24"/>
        </w:rPr>
        <w:t>本理财产品运作过程中涉及的各纳税主体，其纳税义务按国家税收法律、法规执行。除法律法规特别要求外，投资者应缴纳的税收由投资者负责，</w:t>
      </w:r>
      <w:r>
        <w:rPr>
          <w:rFonts w:ascii="仿宋_GB2312" w:eastAsia="仿宋_GB2312" w:hint="eastAsia"/>
          <w:b/>
          <w:bCs/>
          <w:sz w:val="24"/>
          <w:szCs w:val="24"/>
        </w:rPr>
        <w:t>产品管理人</w:t>
      </w:r>
      <w:r>
        <w:rPr>
          <w:rFonts w:ascii="仿宋_GB2312" w:eastAsia="仿宋_GB2312" w:hAnsi="方正仿宋_GBK" w:cs="方正仿宋_GBK" w:hint="eastAsia"/>
          <w:b/>
          <w:bCs/>
          <w:color w:val="000000"/>
          <w:kern w:val="0"/>
          <w:sz w:val="24"/>
          <w:szCs w:val="24"/>
        </w:rPr>
        <w:t>不承担代扣代缴或纳税的义务。理财产品运营过程中发生的应由理财产品承担的增值税应税行为，由</w:t>
      </w:r>
      <w:r>
        <w:rPr>
          <w:rFonts w:ascii="仿宋_GB2312" w:eastAsia="仿宋_GB2312" w:hint="eastAsia"/>
          <w:b/>
          <w:bCs/>
          <w:sz w:val="24"/>
          <w:szCs w:val="24"/>
        </w:rPr>
        <w:t>产品管理人</w:t>
      </w:r>
      <w:r>
        <w:rPr>
          <w:rFonts w:ascii="仿宋_GB2312" w:eastAsia="仿宋_GB2312" w:hAnsi="方正仿宋_GBK" w:cs="方正仿宋_GBK" w:hint="eastAsia"/>
          <w:b/>
          <w:bCs/>
          <w:color w:val="000000"/>
          <w:kern w:val="0"/>
          <w:sz w:val="24"/>
          <w:szCs w:val="24"/>
        </w:rPr>
        <w:t>申报和缴纳增值税及附加税费，该等税款直接从理财产品账户中扣付缴纳。</w:t>
      </w:r>
    </w:p>
    <w:p w14:paraId="4F243AD2" w14:textId="77777777" w:rsidR="003E7F78" w:rsidRDefault="00741AB5">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color w:val="000000"/>
          <w:kern w:val="0"/>
          <w:sz w:val="24"/>
          <w:szCs w:val="24"/>
        </w:rPr>
        <w:t>6</w:t>
      </w:r>
      <w:r>
        <w:rPr>
          <w:rFonts w:ascii="仿宋_GB2312" w:eastAsia="仿宋_GB2312" w:hAnsi="方正仿宋_GBK" w:cs="方正仿宋_GBK"/>
          <w:b/>
          <w:color w:val="000000"/>
          <w:kern w:val="0"/>
          <w:sz w:val="24"/>
          <w:szCs w:val="24"/>
        </w:rPr>
        <w:t>.</w:t>
      </w:r>
      <w:r>
        <w:rPr>
          <w:rFonts w:ascii="仿宋_GB2312" w:eastAsia="仿宋_GB2312" w:hAnsi="方正仿宋_GBK" w:cs="方正仿宋_GBK" w:hint="eastAsia"/>
          <w:b/>
          <w:color w:val="000000"/>
          <w:kern w:val="0"/>
          <w:sz w:val="24"/>
          <w:szCs w:val="24"/>
        </w:rPr>
        <w:t>投资者在此授权</w:t>
      </w:r>
      <w:r>
        <w:rPr>
          <w:rFonts w:ascii="仿宋_GB2312" w:eastAsia="仿宋_GB2312" w:hAnsi="方正仿宋_GBK" w:cs="方正仿宋_GBK"/>
          <w:b/>
          <w:color w:val="000000"/>
          <w:kern w:val="0"/>
          <w:sz w:val="24"/>
          <w:szCs w:val="24"/>
        </w:rPr>
        <w:t>并同意管理人</w:t>
      </w:r>
      <w:r>
        <w:rPr>
          <w:rFonts w:ascii="仿宋_GB2312" w:eastAsia="仿宋_GB2312" w:hAnsi="方正仿宋_GBK" w:cs="方正仿宋_GBK" w:hint="eastAsia"/>
          <w:b/>
          <w:color w:val="000000"/>
          <w:kern w:val="0"/>
          <w:sz w:val="24"/>
          <w:szCs w:val="24"/>
        </w:rPr>
        <w:t>享有</w:t>
      </w:r>
      <w:r>
        <w:rPr>
          <w:rFonts w:ascii="仿宋_GB2312" w:eastAsia="仿宋_GB2312" w:hAnsi="方正仿宋_GBK" w:cs="方正仿宋_GBK"/>
          <w:b/>
          <w:color w:val="000000"/>
          <w:kern w:val="0"/>
          <w:sz w:val="24"/>
          <w:szCs w:val="24"/>
        </w:rPr>
        <w:t>以下权利</w:t>
      </w:r>
      <w:r>
        <w:rPr>
          <w:rFonts w:ascii="仿宋_GB2312" w:eastAsia="仿宋_GB2312" w:hAnsi="方正仿宋_GBK" w:cs="方正仿宋_GBK" w:hint="eastAsia"/>
          <w:b/>
          <w:color w:val="000000"/>
          <w:kern w:val="0"/>
          <w:sz w:val="24"/>
          <w:szCs w:val="24"/>
        </w:rPr>
        <w:t>：</w:t>
      </w:r>
    </w:p>
    <w:p w14:paraId="3BF16FD1" w14:textId="77777777" w:rsidR="003E7F78" w:rsidRDefault="00741AB5">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color w:val="000000"/>
          <w:kern w:val="0"/>
          <w:sz w:val="24"/>
          <w:szCs w:val="24"/>
        </w:rPr>
        <w:t>（</w:t>
      </w:r>
      <w:r>
        <w:rPr>
          <w:rFonts w:ascii="仿宋_GB2312" w:eastAsia="仿宋_GB2312" w:hAnsi="方正仿宋_GBK" w:cs="方正仿宋_GBK"/>
          <w:b/>
          <w:color w:val="000000"/>
          <w:kern w:val="0"/>
          <w:sz w:val="24"/>
          <w:szCs w:val="24"/>
        </w:rPr>
        <w:t>1</w:t>
      </w:r>
      <w:r>
        <w:rPr>
          <w:rFonts w:ascii="仿宋_GB2312" w:eastAsia="仿宋_GB2312" w:hAnsi="方正仿宋_GBK" w:cs="方正仿宋_GBK" w:hint="eastAsia"/>
          <w:b/>
          <w:color w:val="000000"/>
          <w:kern w:val="0"/>
          <w:sz w:val="24"/>
          <w:szCs w:val="24"/>
        </w:rPr>
        <w:t>）根据法律法规和监管规定，以其固有财产先行垫付因处理本理财产品相关事务所支出的理财产品费用及税费的，对理财产品资金享有优先受偿的权利。</w:t>
      </w:r>
    </w:p>
    <w:p w14:paraId="385B837C" w14:textId="77777777" w:rsidR="003E7F78" w:rsidRDefault="00741AB5">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color w:val="000000"/>
          <w:kern w:val="0"/>
          <w:sz w:val="24"/>
          <w:szCs w:val="24"/>
        </w:rPr>
        <w:t>（</w:t>
      </w:r>
      <w:r>
        <w:rPr>
          <w:rFonts w:ascii="仿宋_GB2312" w:eastAsia="仿宋_GB2312" w:hAnsi="方正仿宋_GBK" w:cs="方正仿宋_GBK"/>
          <w:b/>
          <w:color w:val="000000"/>
          <w:kern w:val="0"/>
          <w:sz w:val="24"/>
          <w:szCs w:val="24"/>
        </w:rPr>
        <w:t>2</w:t>
      </w:r>
      <w:r>
        <w:rPr>
          <w:rFonts w:ascii="仿宋_GB2312" w:eastAsia="仿宋_GB2312" w:hAnsi="方正仿宋_GBK" w:cs="方正仿宋_GBK"/>
          <w:b/>
          <w:color w:val="000000"/>
          <w:kern w:val="0"/>
          <w:sz w:val="24"/>
          <w:szCs w:val="24"/>
        </w:rPr>
        <w:t>）在理财产品投资过</w:t>
      </w:r>
      <w:r>
        <w:rPr>
          <w:rFonts w:ascii="仿宋_GB2312" w:eastAsia="仿宋_GB2312" w:hAnsi="方正仿宋_GBK" w:cs="方正仿宋_GBK"/>
          <w:b/>
          <w:color w:val="000000"/>
          <w:kern w:val="0"/>
          <w:sz w:val="24"/>
          <w:szCs w:val="24"/>
        </w:rPr>
        <w:t>程中发生任何争议，代表理财产品进行维权，行使包括但不限于提起诉讼</w:t>
      </w:r>
      <w:r>
        <w:rPr>
          <w:rFonts w:ascii="仿宋_GB2312" w:eastAsia="仿宋_GB2312" w:hAnsi="方正仿宋_GBK" w:cs="方正仿宋_GBK"/>
          <w:b/>
          <w:color w:val="000000"/>
          <w:kern w:val="0"/>
          <w:sz w:val="24"/>
          <w:szCs w:val="24"/>
        </w:rPr>
        <w:t>/</w:t>
      </w:r>
      <w:r>
        <w:rPr>
          <w:rFonts w:ascii="仿宋_GB2312" w:eastAsia="仿宋_GB2312" w:hAnsi="方正仿宋_GBK" w:cs="方正仿宋_GBK"/>
          <w:b/>
          <w:color w:val="000000"/>
          <w:kern w:val="0"/>
          <w:sz w:val="24"/>
          <w:szCs w:val="24"/>
        </w:rPr>
        <w:t>仲裁、申请保全</w:t>
      </w:r>
      <w:r>
        <w:rPr>
          <w:rFonts w:ascii="仿宋_GB2312" w:eastAsia="仿宋_GB2312" w:hAnsi="方正仿宋_GBK" w:cs="方正仿宋_GBK"/>
          <w:b/>
          <w:color w:val="000000"/>
          <w:kern w:val="0"/>
          <w:sz w:val="24"/>
          <w:szCs w:val="24"/>
        </w:rPr>
        <w:t>/</w:t>
      </w:r>
      <w:r>
        <w:rPr>
          <w:rFonts w:ascii="仿宋_GB2312" w:eastAsia="仿宋_GB2312" w:hAnsi="方正仿宋_GBK" w:cs="方正仿宋_GBK"/>
          <w:b/>
          <w:color w:val="000000"/>
          <w:kern w:val="0"/>
          <w:sz w:val="24"/>
          <w:szCs w:val="24"/>
        </w:rPr>
        <w:t>执行等权利，由此产生的费用由理财产品承担。</w:t>
      </w:r>
    </w:p>
    <w:p w14:paraId="29D00EBB" w14:textId="77777777" w:rsidR="003E7F78" w:rsidRDefault="00741AB5">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color w:val="000000"/>
          <w:kern w:val="0"/>
          <w:sz w:val="24"/>
          <w:szCs w:val="24"/>
        </w:rPr>
        <w:t>（</w:t>
      </w:r>
      <w:r>
        <w:rPr>
          <w:rFonts w:ascii="仿宋_GB2312" w:eastAsia="仿宋_GB2312" w:hAnsi="方正仿宋_GBK" w:cs="方正仿宋_GBK"/>
          <w:b/>
          <w:color w:val="000000"/>
          <w:kern w:val="0"/>
          <w:sz w:val="24"/>
          <w:szCs w:val="24"/>
        </w:rPr>
        <w:t>3</w:t>
      </w:r>
      <w:r>
        <w:rPr>
          <w:rFonts w:ascii="仿宋_GB2312" w:eastAsia="仿宋_GB2312" w:hAnsi="方正仿宋_GBK" w:cs="方正仿宋_GBK"/>
          <w:b/>
          <w:color w:val="000000"/>
          <w:kern w:val="0"/>
          <w:sz w:val="24"/>
          <w:szCs w:val="24"/>
        </w:rPr>
        <w:t>）由于投资管理或者获取投资标的</w:t>
      </w:r>
      <w:r>
        <w:rPr>
          <w:rFonts w:ascii="仿宋_GB2312" w:eastAsia="仿宋_GB2312" w:hAnsi="方正仿宋_GBK" w:cs="方正仿宋_GBK" w:hint="eastAsia"/>
          <w:b/>
          <w:color w:val="000000"/>
          <w:kern w:val="0"/>
          <w:sz w:val="24"/>
          <w:szCs w:val="24"/>
        </w:rPr>
        <w:t>的需要，支付投后管理费、项目推荐费、财务顾问费等相关费用。</w:t>
      </w:r>
    </w:p>
    <w:p w14:paraId="2DD1D7E1" w14:textId="77777777" w:rsidR="003E7F78" w:rsidRDefault="00741AB5">
      <w:pPr>
        <w:spacing w:line="360" w:lineRule="auto"/>
        <w:ind w:firstLineChars="200" w:firstLine="480"/>
        <w:rPr>
          <w:rFonts w:ascii="仿宋_GB2312" w:eastAsia="仿宋_GB2312" w:hAnsi="方正仿宋_GBK" w:cs="方正仿宋_GBK"/>
          <w:color w:val="000000"/>
          <w:kern w:val="0"/>
          <w:sz w:val="24"/>
          <w:szCs w:val="24"/>
        </w:rPr>
      </w:pPr>
      <w:r>
        <w:rPr>
          <w:rFonts w:ascii="仿宋_GB2312" w:eastAsia="仿宋_GB2312" w:hAnsi="方正仿宋_GBK" w:cs="方正仿宋_GBK" w:hint="eastAsia"/>
          <w:sz w:val="24"/>
          <w:szCs w:val="24"/>
        </w:rPr>
        <w:t>7</w:t>
      </w:r>
      <w:r>
        <w:rPr>
          <w:rFonts w:ascii="仿宋_GB2312" w:eastAsia="仿宋_GB2312" w:hAnsi="方正仿宋_GBK" w:cs="方正仿宋_GBK"/>
          <w:sz w:val="24"/>
          <w:szCs w:val="24"/>
        </w:rPr>
        <w:t>.</w:t>
      </w:r>
      <w:r>
        <w:rPr>
          <w:rFonts w:ascii="仿宋_GB2312" w:eastAsia="仿宋_GB2312" w:hAnsi="方正仿宋_GBK" w:cs="方正仿宋_GBK" w:hint="eastAsia"/>
          <w:sz w:val="24"/>
          <w:szCs w:val="24"/>
        </w:rPr>
        <w:t>产品管理人按照理财产品合同的约定办理理财产品的认（申）购、赎回，暂停或者开放认（申）购、赎回等业务的，将按照理财产品合同约定的信息披露</w:t>
      </w:r>
      <w:r>
        <w:rPr>
          <w:rFonts w:ascii="仿宋_GB2312" w:eastAsia="仿宋_GB2312" w:hAnsi="方正仿宋_GBK" w:cs="方正仿宋_GBK" w:hint="eastAsia"/>
          <w:color w:val="000000"/>
          <w:kern w:val="0"/>
          <w:sz w:val="24"/>
          <w:szCs w:val="24"/>
        </w:rPr>
        <w:t>方式向投资者说明具体原因和依据</w:t>
      </w:r>
      <w:r>
        <w:rPr>
          <w:rFonts w:ascii="仿宋_GB2312" w:eastAsia="仿宋_GB2312" w:hAnsi="方正仿宋_GBK" w:cs="方正仿宋_GBK"/>
          <w:color w:val="000000"/>
          <w:kern w:val="0"/>
          <w:sz w:val="24"/>
          <w:szCs w:val="24"/>
        </w:rPr>
        <w:t>。</w:t>
      </w:r>
    </w:p>
    <w:p w14:paraId="66539233" w14:textId="77777777" w:rsidR="003E7F78" w:rsidRDefault="00741AB5">
      <w:pPr>
        <w:spacing w:line="360" w:lineRule="auto"/>
        <w:ind w:firstLineChars="200" w:firstLine="480"/>
        <w:outlineLvl w:val="1"/>
        <w:rPr>
          <w:rFonts w:ascii="仿宋_GB2312" w:eastAsia="仿宋_GB2312" w:hAnsi="方正仿宋_GBK" w:cs="方正仿宋_GBK"/>
          <w:color w:val="000000"/>
          <w:kern w:val="0"/>
          <w:sz w:val="24"/>
          <w:szCs w:val="24"/>
        </w:rPr>
      </w:pPr>
      <w:r>
        <w:rPr>
          <w:rFonts w:ascii="仿宋_GB2312" w:eastAsia="仿宋_GB2312" w:hAnsi="方正仿宋_GBK" w:cs="方正仿宋_GBK" w:hint="eastAsia"/>
          <w:color w:val="000000"/>
          <w:kern w:val="0"/>
          <w:sz w:val="24"/>
          <w:szCs w:val="24"/>
        </w:rPr>
        <w:t>二、适用法律与争议解决</w:t>
      </w:r>
    </w:p>
    <w:p w14:paraId="2F1CA8F6"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hint="eastAsia"/>
          <w:bCs/>
          <w:color w:val="000000"/>
          <w:kern w:val="0"/>
          <w:sz w:val="24"/>
          <w:szCs w:val="24"/>
        </w:rPr>
        <w:t>1.</w:t>
      </w:r>
      <w:r>
        <w:rPr>
          <w:rFonts w:ascii="仿宋_GB2312" w:eastAsia="仿宋_GB2312" w:hAnsi="方正仿宋_GBK" w:cs="方正仿宋_GBK" w:hint="eastAsia"/>
          <w:bCs/>
          <w:color w:val="000000"/>
          <w:kern w:val="0"/>
          <w:sz w:val="24"/>
          <w:szCs w:val="24"/>
        </w:rPr>
        <w:t>本理财产品合同适用中华人民共和国法律（为本理财产品合同目的，不包括香港</w:t>
      </w:r>
      <w:r>
        <w:rPr>
          <w:rFonts w:ascii="仿宋_GB2312" w:eastAsia="仿宋_GB2312" w:hAnsi="宋体" w:hint="eastAsia"/>
          <w:bCs/>
          <w:sz w:val="24"/>
          <w:szCs w:val="24"/>
        </w:rPr>
        <w:t>特别行政区</w:t>
      </w:r>
      <w:r>
        <w:rPr>
          <w:rFonts w:ascii="仿宋_GB2312" w:eastAsia="仿宋_GB2312" w:hAnsi="方正仿宋_GBK" w:cs="方正仿宋_GBK" w:hint="eastAsia"/>
          <w:bCs/>
          <w:color w:val="000000"/>
          <w:kern w:val="0"/>
          <w:sz w:val="24"/>
          <w:szCs w:val="24"/>
        </w:rPr>
        <w:t>、澳门</w:t>
      </w:r>
      <w:r>
        <w:rPr>
          <w:rFonts w:ascii="仿宋_GB2312" w:eastAsia="仿宋_GB2312" w:hAnsi="宋体" w:hint="eastAsia"/>
          <w:bCs/>
          <w:sz w:val="24"/>
          <w:szCs w:val="24"/>
        </w:rPr>
        <w:t>特别行政区</w:t>
      </w:r>
      <w:r>
        <w:rPr>
          <w:rFonts w:ascii="仿宋_GB2312" w:eastAsia="仿宋_GB2312" w:hAnsi="方正仿宋_GBK" w:cs="方正仿宋_GBK" w:hint="eastAsia"/>
          <w:bCs/>
          <w:color w:val="000000"/>
          <w:kern w:val="0"/>
          <w:sz w:val="24"/>
          <w:szCs w:val="24"/>
        </w:rPr>
        <w:t>和台湾地区）。</w:t>
      </w:r>
    </w:p>
    <w:p w14:paraId="798AB78F" w14:textId="77777777" w:rsidR="003E7F78" w:rsidRDefault="00741AB5">
      <w:pPr>
        <w:autoSpaceDE w:val="0"/>
        <w:autoSpaceDN w:val="0"/>
        <w:adjustRightInd w:val="0"/>
        <w:spacing w:line="360" w:lineRule="auto"/>
        <w:ind w:firstLineChars="200" w:firstLine="482"/>
        <w:rPr>
          <w:rFonts w:ascii="仿宋_GB2312" w:eastAsia="仿宋_GB2312" w:hAnsi="方正仿宋_GBK" w:cs="方正仿宋_GBK"/>
          <w:bCs/>
          <w:color w:val="000000"/>
          <w:kern w:val="0"/>
          <w:sz w:val="24"/>
          <w:szCs w:val="24"/>
        </w:rPr>
      </w:pPr>
      <w:r>
        <w:rPr>
          <w:rFonts w:ascii="仿宋_GB2312" w:eastAsia="仿宋_GB2312" w:hAnsi="方正仿宋_GBK" w:cs="方正仿宋_GBK" w:hint="eastAsia"/>
          <w:b/>
          <w:bCs/>
          <w:color w:val="000000"/>
          <w:kern w:val="0"/>
          <w:sz w:val="24"/>
          <w:szCs w:val="24"/>
        </w:rPr>
        <w:t>▲▲</w:t>
      </w:r>
      <w:r>
        <w:rPr>
          <w:rFonts w:ascii="仿宋_GB2312" w:eastAsia="仿宋_GB2312" w:hAnsi="方正仿宋_GBK" w:cs="方正仿宋_GBK" w:hint="eastAsia"/>
          <w:b/>
          <w:color w:val="000000"/>
          <w:kern w:val="0"/>
          <w:sz w:val="24"/>
          <w:szCs w:val="24"/>
        </w:rPr>
        <w:t>2.</w:t>
      </w:r>
      <w:r>
        <w:rPr>
          <w:rFonts w:ascii="仿宋_GB2312" w:eastAsia="仿宋_GB2312" w:hAnsi="方正仿宋_GBK" w:cs="方正仿宋_GBK" w:hint="eastAsia"/>
          <w:b/>
          <w:color w:val="000000"/>
          <w:kern w:val="0"/>
          <w:sz w:val="24"/>
          <w:szCs w:val="24"/>
        </w:rPr>
        <w:t>本理财产品合同项下一切争议，双方协商不成的，应向产品管理人所在地有管辖权的人民法院提起诉讼，双方在本理财产品合同或补充协议中另有约定的除外。</w:t>
      </w:r>
    </w:p>
    <w:p w14:paraId="59B0F31E" w14:textId="77777777" w:rsidR="003E7F78" w:rsidRDefault="00741AB5">
      <w:pPr>
        <w:autoSpaceDE w:val="0"/>
        <w:autoSpaceDN w:val="0"/>
        <w:adjustRightInd w:val="0"/>
        <w:spacing w:line="360" w:lineRule="auto"/>
        <w:ind w:firstLineChars="200" w:firstLine="480"/>
        <w:rPr>
          <w:rFonts w:ascii="仿宋_GB2312" w:hAnsi="宋体"/>
          <w:b/>
          <w:sz w:val="24"/>
        </w:rPr>
      </w:pPr>
      <w:r>
        <w:rPr>
          <w:rFonts w:ascii="仿宋_GB2312" w:eastAsia="仿宋_GB2312" w:hAnsi="方正仿宋_GBK" w:cs="方正仿宋_GBK" w:hint="eastAsia"/>
          <w:bCs/>
          <w:color w:val="000000"/>
          <w:kern w:val="0"/>
          <w:sz w:val="24"/>
          <w:szCs w:val="24"/>
        </w:rPr>
        <w:t>3.</w:t>
      </w:r>
      <w:r>
        <w:rPr>
          <w:rFonts w:ascii="仿宋_GB2312" w:eastAsia="仿宋_GB2312" w:hAnsi="方正仿宋_GBK" w:cs="方正仿宋_GBK" w:hint="eastAsia"/>
          <w:bCs/>
          <w:color w:val="000000"/>
          <w:kern w:val="0"/>
          <w:sz w:val="24"/>
          <w:szCs w:val="24"/>
        </w:rPr>
        <w:t>诉讼期间，未涉及争议的条款仍需履行。</w:t>
      </w:r>
    </w:p>
    <w:p w14:paraId="746B9DA3" w14:textId="77777777" w:rsidR="003E7F78" w:rsidRDefault="00741AB5">
      <w:pPr>
        <w:pStyle w:val="af8"/>
        <w:autoSpaceDE w:val="0"/>
        <w:autoSpaceDN w:val="0"/>
        <w:adjustRightInd w:val="0"/>
        <w:spacing w:line="360" w:lineRule="auto"/>
        <w:ind w:firstLine="482"/>
        <w:outlineLvl w:val="1"/>
        <w:rPr>
          <w:rFonts w:ascii="仿宋_GB2312" w:eastAsia="仿宋_GB2312" w:hAnsi="宋体"/>
          <w:b/>
          <w:bCs/>
          <w:sz w:val="24"/>
          <w:szCs w:val="24"/>
        </w:rPr>
      </w:pPr>
      <w:r>
        <w:rPr>
          <w:rFonts w:ascii="仿宋_GB2312" w:eastAsia="仿宋_GB2312" w:hAnsi="宋体" w:hint="eastAsia"/>
          <w:b/>
          <w:bCs/>
          <w:sz w:val="24"/>
          <w:szCs w:val="24"/>
        </w:rPr>
        <w:t>三</w:t>
      </w:r>
      <w:r>
        <w:rPr>
          <w:rFonts w:ascii="仿宋_GB2312" w:eastAsia="仿宋_GB2312" w:hAnsi="方正仿宋_GBK" w:cs="方正仿宋_GBK" w:hint="eastAsia"/>
          <w:b/>
          <w:bCs/>
          <w:color w:val="000000"/>
          <w:kern w:val="0"/>
          <w:sz w:val="24"/>
          <w:szCs w:val="24"/>
        </w:rPr>
        <w:t>、</w:t>
      </w:r>
      <w:r>
        <w:rPr>
          <w:rFonts w:ascii="仿宋_GB2312" w:eastAsia="仿宋_GB2312" w:hAnsi="宋体" w:hint="eastAsia"/>
          <w:b/>
          <w:bCs/>
          <w:sz w:val="24"/>
          <w:szCs w:val="24"/>
        </w:rPr>
        <w:t>其他</w:t>
      </w:r>
    </w:p>
    <w:p w14:paraId="5F8B6AF4" w14:textId="77777777" w:rsidR="003E7F78" w:rsidRDefault="00741AB5">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int="eastAsia"/>
          <w:b/>
          <w:sz w:val="24"/>
          <w:szCs w:val="24"/>
        </w:rPr>
        <w:t>（一）</w:t>
      </w:r>
      <w:r>
        <w:rPr>
          <w:rFonts w:ascii="仿宋_GB2312" w:eastAsia="仿宋_GB2312" w:hAnsi="方正仿宋_GBK" w:cs="方正仿宋_GBK" w:hint="eastAsia"/>
          <w:b/>
          <w:color w:val="000000"/>
          <w:kern w:val="0"/>
          <w:sz w:val="24"/>
          <w:szCs w:val="24"/>
        </w:rPr>
        <w:t>投资者确认其已了解本产品所对应的理财产品合同的构成与相关内容，《风险揭示书》、《投资协议书》、《理财产品说明书》、《投资者权益须知》等有关文件共同构成一份完整且不可分割的理财产品合同，具有同等效力。</w:t>
      </w:r>
    </w:p>
    <w:p w14:paraId="0292EC7C" w14:textId="77777777" w:rsidR="003E7F78" w:rsidRDefault="00741AB5">
      <w:pPr>
        <w:autoSpaceDE w:val="0"/>
        <w:autoSpaceDN w:val="0"/>
        <w:adjustRightInd w:val="0"/>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int="eastAsia"/>
          <w:b/>
          <w:sz w:val="24"/>
          <w:szCs w:val="24"/>
        </w:rPr>
        <w:t>（二）</w:t>
      </w:r>
      <w:r>
        <w:rPr>
          <w:rFonts w:ascii="仿宋_GB2312" w:eastAsia="仿宋_GB2312" w:hAnsi="方正仿宋_GBK" w:cs="方正仿宋_GBK" w:hint="eastAsia"/>
          <w:b/>
          <w:color w:val="000000"/>
          <w:kern w:val="0"/>
          <w:sz w:val="24"/>
          <w:szCs w:val="24"/>
        </w:rPr>
        <w:t>投资者签署本协议即视为投资者已经阅读并认可理财产品合同（包括但不限于《风险揭示书》、《投资协议书》、《理财产品说明书》、《投资者权益须知》等文件）的全部内容，并已就投资于本产品做出独立的判断。</w:t>
      </w:r>
    </w:p>
    <w:p w14:paraId="5986FC5B" w14:textId="77777777" w:rsidR="003E7F78" w:rsidRDefault="00741AB5">
      <w:pPr>
        <w:pStyle w:val="af8"/>
        <w:autoSpaceDE w:val="0"/>
        <w:autoSpaceDN w:val="0"/>
        <w:adjustRightInd w:val="0"/>
        <w:spacing w:line="360" w:lineRule="auto"/>
        <w:ind w:firstLine="482"/>
        <w:outlineLvl w:val="1"/>
        <w:rPr>
          <w:rFonts w:ascii="仿宋_GB2312" w:eastAsia="仿宋_GB2312" w:hAnsi="方正仿宋_GBK" w:cs="方正仿宋_GBK"/>
          <w:b/>
          <w:bCs/>
          <w:sz w:val="24"/>
          <w:szCs w:val="24"/>
        </w:rPr>
      </w:pPr>
      <w:r>
        <w:rPr>
          <w:rFonts w:ascii="仿宋_GB2312" w:eastAsia="仿宋_GB2312" w:hAnsi="宋体" w:hint="eastAsia"/>
          <w:b/>
          <w:bCs/>
          <w:sz w:val="24"/>
          <w:szCs w:val="24"/>
        </w:rPr>
        <w:t>▲▲</w:t>
      </w:r>
      <w:r>
        <w:rPr>
          <w:rFonts w:ascii="仿宋_GB2312" w:hAnsi="方正仿宋_GBK" w:hint="eastAsia"/>
          <w:b/>
          <w:sz w:val="24"/>
        </w:rPr>
        <w:t>四、</w:t>
      </w:r>
      <w:r>
        <w:rPr>
          <w:rFonts w:ascii="仿宋_GB2312" w:eastAsia="仿宋_GB2312" w:hAnsi="方正仿宋_GBK" w:cs="方正仿宋_GBK" w:hint="eastAsia"/>
          <w:b/>
          <w:bCs/>
          <w:sz w:val="24"/>
          <w:szCs w:val="24"/>
        </w:rPr>
        <w:t>违约责任</w:t>
      </w:r>
    </w:p>
    <w:p w14:paraId="2A8C0874" w14:textId="77777777" w:rsidR="003E7F78" w:rsidRDefault="00741AB5">
      <w:pPr>
        <w:pStyle w:val="af8"/>
        <w:autoSpaceDE w:val="0"/>
        <w:autoSpaceDN w:val="0"/>
        <w:adjustRightInd w:val="0"/>
        <w:spacing w:line="360" w:lineRule="auto"/>
        <w:ind w:firstLine="482"/>
        <w:outlineLvl w:val="1"/>
        <w:rPr>
          <w:rFonts w:ascii="仿宋_GB2312" w:eastAsia="仿宋_GB2312" w:hAnsi="方正仿宋_GBK" w:cs="方正仿宋_GBK"/>
          <w:b/>
          <w:bCs/>
          <w:sz w:val="24"/>
          <w:szCs w:val="24"/>
        </w:rPr>
      </w:pPr>
      <w:r>
        <w:rPr>
          <w:rFonts w:ascii="仿宋_GB2312" w:eastAsia="仿宋_GB2312" w:hAnsi="方正仿宋_GBK" w:cs="方正仿宋_GBK" w:hint="eastAsia"/>
          <w:b/>
          <w:bCs/>
          <w:sz w:val="24"/>
          <w:szCs w:val="24"/>
        </w:rPr>
        <w:t>除法律法规、监管规定另有要求或双方另有约定外，任何一方不履行或不完全履行理财产品合同约定的，应</w:t>
      </w:r>
      <w:r>
        <w:rPr>
          <w:rFonts w:ascii="仿宋_GB2312" w:eastAsia="仿宋_GB2312" w:hAnsi="方正仿宋_GBK" w:cs="方正仿宋_GBK" w:hint="eastAsia"/>
          <w:b/>
          <w:bCs/>
          <w:sz w:val="24"/>
          <w:szCs w:val="24"/>
        </w:rPr>
        <w:t>承担违约责任。</w:t>
      </w:r>
    </w:p>
    <w:p w14:paraId="592D0901" w14:textId="77777777" w:rsidR="003E7F78" w:rsidRDefault="00741AB5">
      <w:pPr>
        <w:pStyle w:val="af8"/>
        <w:autoSpaceDE w:val="0"/>
        <w:autoSpaceDN w:val="0"/>
        <w:adjustRightInd w:val="0"/>
        <w:spacing w:line="360" w:lineRule="auto"/>
        <w:ind w:firstLine="482"/>
        <w:outlineLvl w:val="1"/>
        <w:rPr>
          <w:rFonts w:ascii="仿宋_GB2312" w:eastAsia="仿宋_GB2312" w:hAnsi="宋体"/>
          <w:b/>
          <w:bCs/>
          <w:sz w:val="24"/>
          <w:szCs w:val="24"/>
        </w:rPr>
      </w:pPr>
      <w:r>
        <w:rPr>
          <w:rFonts w:ascii="仿宋_GB2312" w:eastAsia="仿宋_GB2312" w:hAnsi="宋体" w:hint="eastAsia"/>
          <w:b/>
          <w:bCs/>
          <w:sz w:val="24"/>
          <w:szCs w:val="24"/>
        </w:rPr>
        <w:t>▲▲五</w:t>
      </w:r>
      <w:r>
        <w:rPr>
          <w:rFonts w:ascii="仿宋_GB2312" w:eastAsia="仿宋_GB2312" w:hAnsi="方正仿宋_GBK" w:cs="方正仿宋_GBK" w:hint="eastAsia"/>
          <w:b/>
          <w:bCs/>
          <w:color w:val="000000"/>
          <w:kern w:val="0"/>
          <w:sz w:val="24"/>
          <w:szCs w:val="24"/>
        </w:rPr>
        <w:t>、</w:t>
      </w:r>
      <w:r>
        <w:rPr>
          <w:rFonts w:ascii="仿宋_GB2312" w:eastAsia="仿宋_GB2312" w:hAnsi="宋体" w:hint="eastAsia"/>
          <w:b/>
          <w:bCs/>
          <w:sz w:val="24"/>
          <w:szCs w:val="24"/>
        </w:rPr>
        <w:t>免责条款</w:t>
      </w:r>
    </w:p>
    <w:p w14:paraId="2FBF546A" w14:textId="77777777" w:rsidR="003E7F78" w:rsidRDefault="00741AB5">
      <w:pPr>
        <w:pStyle w:val="af8"/>
        <w:autoSpaceDE w:val="0"/>
        <w:autoSpaceDN w:val="0"/>
        <w:adjustRightInd w:val="0"/>
        <w:spacing w:line="360" w:lineRule="auto"/>
        <w:ind w:firstLine="482"/>
        <w:outlineLvl w:val="1"/>
        <w:rPr>
          <w:rFonts w:ascii="仿宋_GB2312" w:eastAsia="仿宋_GB2312" w:hAnsi="宋体"/>
          <w:b/>
          <w:bCs/>
          <w:sz w:val="24"/>
          <w:szCs w:val="24"/>
        </w:rPr>
      </w:pPr>
      <w:r>
        <w:rPr>
          <w:rFonts w:ascii="仿宋_GB2312" w:eastAsia="仿宋_GB2312" w:hAnsi="方正仿宋_GBK" w:cs="方正仿宋_GBK" w:hint="eastAsia"/>
          <w:b/>
          <w:bCs/>
          <w:sz w:val="24"/>
          <w:szCs w:val="24"/>
        </w:rPr>
        <w:t>由于不可抗力、法律法规或监管规定变化等其他非产品管理人所能控制的原因导致的损失，以及理财产品合同中约定的其他免责事项，产品管理人不承担责任，双方在补充协议</w:t>
      </w:r>
      <w:r>
        <w:rPr>
          <w:rFonts w:ascii="仿宋_GB2312" w:eastAsia="仿宋_GB2312" w:hAnsi="方正仿宋_GBK" w:cs="方正仿宋_GBK"/>
          <w:b/>
          <w:bCs/>
          <w:sz w:val="24"/>
          <w:szCs w:val="24"/>
        </w:rPr>
        <w:t>/</w:t>
      </w:r>
      <w:r>
        <w:rPr>
          <w:rFonts w:ascii="仿宋_GB2312" w:eastAsia="仿宋_GB2312" w:hAnsi="方正仿宋_GBK" w:cs="方正仿宋_GBK"/>
          <w:b/>
          <w:bCs/>
          <w:sz w:val="24"/>
          <w:szCs w:val="24"/>
        </w:rPr>
        <w:t>补充条款中另有约定的除外，但前述约定不免除因产品管理人过错导致的依法应由产品管理人承担的责任。</w:t>
      </w:r>
    </w:p>
    <w:p w14:paraId="5A16334F" w14:textId="77777777" w:rsidR="003E7F78" w:rsidRDefault="00741AB5">
      <w:pPr>
        <w:autoSpaceDE w:val="0"/>
        <w:autoSpaceDN w:val="0"/>
        <w:adjustRightInd w:val="0"/>
        <w:spacing w:line="360" w:lineRule="auto"/>
        <w:ind w:firstLineChars="200" w:firstLine="482"/>
        <w:outlineLvl w:val="1"/>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bCs/>
          <w:sz w:val="24"/>
          <w:szCs w:val="24"/>
        </w:rPr>
        <w:t>六、</w:t>
      </w:r>
      <w:r>
        <w:rPr>
          <w:rFonts w:ascii="仿宋_GB2312" w:eastAsia="仿宋_GB2312" w:hAnsi="宋体" w:hint="eastAsia"/>
          <w:b/>
          <w:sz w:val="24"/>
          <w:szCs w:val="24"/>
        </w:rPr>
        <w:t>生效条款</w:t>
      </w:r>
    </w:p>
    <w:p w14:paraId="20BB3E82" w14:textId="77777777" w:rsidR="003E7F78" w:rsidRDefault="00741AB5">
      <w:pPr>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本理财产品合同经</w:t>
      </w:r>
      <w:r>
        <w:rPr>
          <w:rFonts w:ascii="仿宋_GB2312" w:eastAsia="仿宋_GB2312" w:hAnsi="方正仿宋_GBK" w:cs="方正仿宋_GBK" w:hint="eastAsia"/>
          <w:b/>
          <w:bCs/>
          <w:color w:val="000000"/>
          <w:kern w:val="0"/>
          <w:sz w:val="24"/>
          <w:szCs w:val="24"/>
        </w:rPr>
        <w:t>个人投资者签名</w:t>
      </w:r>
      <w:r>
        <w:rPr>
          <w:rFonts w:ascii="仿宋_GB2312" w:eastAsia="仿宋_GB2312" w:hAnsi="方正仿宋_GBK" w:cs="方正仿宋_GBK"/>
          <w:b/>
          <w:bCs/>
          <w:sz w:val="24"/>
          <w:szCs w:val="24"/>
        </w:rPr>
        <w:t>/</w:t>
      </w:r>
      <w:r>
        <w:rPr>
          <w:rFonts w:ascii="仿宋_GB2312" w:eastAsia="仿宋_GB2312" w:hAnsi="方正仿宋_GBK" w:cs="方正仿宋_GBK" w:hint="eastAsia"/>
          <w:b/>
          <w:bCs/>
          <w:sz w:val="24"/>
          <w:szCs w:val="24"/>
        </w:rPr>
        <w:t>机构投资者法定代表人或授权代表签名或盖章并加盖公章或合同专用章</w:t>
      </w:r>
      <w:r>
        <w:rPr>
          <w:rFonts w:ascii="仿宋_GB2312" w:eastAsia="仿宋_GB2312" w:hAnsi="方正仿宋_GBK" w:cs="方正仿宋_GBK" w:hint="eastAsia"/>
          <w:b/>
          <w:bCs/>
          <w:color w:val="000000"/>
          <w:kern w:val="0"/>
          <w:sz w:val="24"/>
          <w:szCs w:val="24"/>
        </w:rPr>
        <w:t>、</w:t>
      </w:r>
      <w:r>
        <w:rPr>
          <w:rFonts w:ascii="仿宋_GB2312" w:eastAsia="仿宋_GB2312" w:hint="eastAsia"/>
          <w:b/>
          <w:sz w:val="24"/>
          <w:szCs w:val="24"/>
        </w:rPr>
        <w:t>缴纳认购或申购资金并经管理人登记系统确认份额后生效。投资者如通过适用的代销机构电子渠道签署本理财产品合同、购买本产品的，</w:t>
      </w:r>
      <w:r>
        <w:rPr>
          <w:rFonts w:ascii="仿宋_GB2312" w:eastAsia="仿宋_GB2312" w:hAnsi="方正仿宋_GBK" w:cs="方正仿宋_GBK" w:hint="eastAsia"/>
          <w:b/>
          <w:bCs/>
          <w:color w:val="000000"/>
          <w:kern w:val="0"/>
          <w:sz w:val="24"/>
          <w:szCs w:val="24"/>
        </w:rPr>
        <w:t>本理财产品合同经投资者阅读《产品说明书》、《华夏银行代理销售机构理财产品协议书》、《投资协议书》、《投资者权益须知》、《风险揭示书》等相关文件，点击“确认并同意相关内容”，</w:t>
      </w:r>
      <w:r>
        <w:rPr>
          <w:rFonts w:ascii="仿宋_GB2312" w:eastAsia="仿宋_GB2312" w:hint="eastAsia"/>
          <w:b/>
          <w:sz w:val="24"/>
          <w:szCs w:val="24"/>
        </w:rPr>
        <w:t>缴纳认购或申购资金后经相关电子渠道页面显示投资者已成功购买并确认份额后生效。</w:t>
      </w:r>
    </w:p>
    <w:p w14:paraId="4A59CEC7" w14:textId="77777777" w:rsidR="003E7F78" w:rsidRDefault="003E7F78">
      <w:pPr>
        <w:autoSpaceDE w:val="0"/>
        <w:autoSpaceDN w:val="0"/>
        <w:adjustRightInd w:val="0"/>
        <w:spacing w:line="360" w:lineRule="auto"/>
        <w:jc w:val="left"/>
        <w:rPr>
          <w:rFonts w:ascii="仿宋_GB2312" w:eastAsia="仿宋_GB2312" w:hAnsi="Arial" w:cs="Arial"/>
          <w:color w:val="000000"/>
          <w:kern w:val="0"/>
          <w:sz w:val="24"/>
          <w:szCs w:val="24"/>
        </w:rPr>
      </w:pPr>
    </w:p>
    <w:p w14:paraId="725E820E" w14:textId="77777777" w:rsidR="003E7F78" w:rsidRDefault="00741AB5">
      <w:pPr>
        <w:autoSpaceDE w:val="0"/>
        <w:autoSpaceDN w:val="0"/>
        <w:adjustRightInd w:val="0"/>
        <w:spacing w:line="360" w:lineRule="auto"/>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产品管理人（盖章）：</w:t>
      </w:r>
      <w:r>
        <w:rPr>
          <w:rFonts w:ascii="仿宋_GB2312" w:eastAsia="仿宋_GB2312" w:hAnsi="Arial" w:cs="Arial" w:hint="eastAsia"/>
          <w:color w:val="000000"/>
          <w:kern w:val="0"/>
          <w:sz w:val="24"/>
          <w:szCs w:val="24"/>
        </w:rPr>
        <w:t xml:space="preserve">                  </w:t>
      </w:r>
      <w:r>
        <w:rPr>
          <w:rFonts w:ascii="仿宋_GB2312" w:eastAsia="仿宋_GB2312" w:hAnsi="Arial" w:cs="Arial" w:hint="eastAsia"/>
          <w:color w:val="000000"/>
          <w:kern w:val="0"/>
          <w:sz w:val="24"/>
          <w:szCs w:val="24"/>
        </w:rPr>
        <w:t>机构投资者（盖章）：</w:t>
      </w:r>
      <w:r>
        <w:rPr>
          <w:rFonts w:ascii="仿宋_GB2312" w:eastAsia="仿宋_GB2312"/>
          <w:sz w:val="24"/>
          <w:szCs w:val="24"/>
        </w:rPr>
        <w:t xml:space="preserve">                </w:t>
      </w:r>
    </w:p>
    <w:p w14:paraId="2EB04427" w14:textId="77777777" w:rsidR="003E7F78" w:rsidRDefault="00741AB5">
      <w:pPr>
        <w:spacing w:line="360" w:lineRule="auto"/>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负责人或授权代表人</w:t>
      </w:r>
      <w:r>
        <w:rPr>
          <w:rFonts w:ascii="仿宋_GB2312" w:eastAsia="仿宋_GB2312" w:hAnsi="Arial" w:cs="Arial" w:hint="eastAsia"/>
          <w:color w:val="000000"/>
          <w:kern w:val="0"/>
          <w:sz w:val="24"/>
          <w:szCs w:val="24"/>
        </w:rPr>
        <w:t xml:space="preserve">                    </w:t>
      </w:r>
      <w:r>
        <w:rPr>
          <w:rFonts w:ascii="仿宋_GB2312" w:eastAsia="仿宋_GB2312" w:hAnsi="Arial" w:cs="Arial" w:hint="eastAsia"/>
          <w:color w:val="000000"/>
          <w:kern w:val="0"/>
          <w:sz w:val="24"/>
          <w:szCs w:val="24"/>
        </w:rPr>
        <w:t>机构投资者法定代表人或授权代表</w:t>
      </w:r>
    </w:p>
    <w:p w14:paraId="3B3369C1" w14:textId="77777777" w:rsidR="003E7F78" w:rsidRDefault="00741AB5">
      <w:pPr>
        <w:spacing w:line="360" w:lineRule="auto"/>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（签名或盖章）：</w:t>
      </w:r>
      <w:r>
        <w:rPr>
          <w:rFonts w:ascii="仿宋_GB2312" w:eastAsia="仿宋_GB2312" w:hAnsi="Arial" w:cs="Arial" w:hint="eastAsia"/>
          <w:color w:val="000000"/>
          <w:kern w:val="0"/>
          <w:sz w:val="24"/>
          <w:szCs w:val="24"/>
        </w:rPr>
        <w:t xml:space="preserve">                     </w:t>
      </w:r>
      <w:r>
        <w:rPr>
          <w:rFonts w:ascii="仿宋_GB2312" w:eastAsia="仿宋_GB2312" w:hAnsi="Arial" w:cs="Arial" w:hint="eastAsia"/>
          <w:color w:val="000000"/>
          <w:kern w:val="0"/>
          <w:sz w:val="24"/>
          <w:szCs w:val="24"/>
        </w:rPr>
        <w:t>（签名或盖章）：</w:t>
      </w:r>
    </w:p>
    <w:p w14:paraId="3E6CE5EF" w14:textId="77777777" w:rsidR="003E7F78" w:rsidRDefault="00741AB5">
      <w:pPr>
        <w:snapToGrid w:val="0"/>
        <w:spacing w:beforeLines="50" w:before="156" w:line="360" w:lineRule="auto"/>
        <w:rPr>
          <w:rFonts w:ascii="仿宋_GB2312" w:eastAsia="仿宋_GB2312"/>
          <w:sz w:val="24"/>
          <w:szCs w:val="24"/>
        </w:rPr>
      </w:pPr>
      <w:r>
        <w:rPr>
          <w:rFonts w:ascii="仿宋_GB2312" w:eastAsia="仿宋_GB2312" w:hint="eastAsia"/>
          <w:sz w:val="24"/>
          <w:szCs w:val="24"/>
        </w:rPr>
        <w:t>日期：</w:t>
      </w:r>
      <w:r>
        <w:rPr>
          <w:rFonts w:ascii="仿宋_GB2312" w:eastAsia="仿宋_GB2312" w:hint="eastAsia"/>
          <w:sz w:val="24"/>
          <w:szCs w:val="24"/>
        </w:rPr>
        <w:t xml:space="preserve">                                </w:t>
      </w:r>
      <w:r>
        <w:rPr>
          <w:rFonts w:ascii="仿宋_GB2312" w:eastAsia="仿宋_GB2312" w:hint="eastAsia"/>
          <w:sz w:val="24"/>
          <w:szCs w:val="24"/>
        </w:rPr>
        <w:t>日期：</w:t>
      </w:r>
    </w:p>
    <w:p w14:paraId="72BDCCF9" w14:textId="77777777" w:rsidR="003E7F78" w:rsidRDefault="00741AB5">
      <w:pPr>
        <w:widowControl/>
        <w:jc w:val="left"/>
        <w:rPr>
          <w:rFonts w:ascii="仿宋_GB2312" w:eastAsia="仿宋_GB2312" w:hAnsi="方正仿宋_GBK" w:cs="方正仿宋_GBK"/>
          <w:color w:val="000000"/>
          <w:kern w:val="0"/>
          <w:sz w:val="24"/>
          <w:szCs w:val="24"/>
        </w:rPr>
      </w:pPr>
      <w:r>
        <w:rPr>
          <w:rFonts w:ascii="仿宋_GB2312" w:eastAsia="仿宋_GB2312" w:hAnsi="方正仿宋_GBK" w:cs="方正仿宋_GBK"/>
          <w:color w:val="000000"/>
          <w:kern w:val="0"/>
          <w:sz w:val="24"/>
          <w:szCs w:val="24"/>
        </w:rPr>
        <w:br w:type="page"/>
      </w:r>
    </w:p>
    <w:p w14:paraId="766D73C6" w14:textId="77777777" w:rsidR="003E7F78" w:rsidRDefault="00741AB5">
      <w:pPr>
        <w:snapToGrid w:val="0"/>
        <w:spacing w:beforeLines="50" w:before="156" w:line="360" w:lineRule="auto"/>
        <w:jc w:val="center"/>
        <w:outlineLvl w:val="0"/>
        <w:rPr>
          <w:rFonts w:ascii="方正黑体_GBK" w:eastAsia="方正黑体_GBK" w:hAnsi="方正黑体_GBK" w:cs="方正黑体_GBK"/>
          <w:b/>
          <w:sz w:val="28"/>
          <w:szCs w:val="28"/>
        </w:rPr>
      </w:pPr>
      <w:bookmarkStart w:id="2" w:name="说明书1"/>
      <w:r>
        <w:rPr>
          <w:rFonts w:ascii="方正黑体_GBK" w:eastAsia="方正黑体_GBK" w:hAnsi="方正黑体_GBK" w:cs="方正黑体_GBK" w:hint="eastAsia"/>
          <w:b/>
          <w:sz w:val="28"/>
          <w:szCs w:val="28"/>
        </w:rPr>
        <w:t>交银理财稳享鑫荣日日开</w:t>
      </w:r>
      <w:r>
        <w:rPr>
          <w:rFonts w:ascii="方正黑体_GBK" w:eastAsia="方正黑体_GBK" w:hAnsi="方正黑体_GBK" w:cs="方正黑体_GBK" w:hint="eastAsia"/>
          <w:b/>
          <w:sz w:val="28"/>
          <w:szCs w:val="28"/>
        </w:rPr>
        <w:t>3</w:t>
      </w:r>
      <w:r>
        <w:rPr>
          <w:rFonts w:ascii="方正黑体_GBK" w:eastAsia="方正黑体_GBK" w:hAnsi="方正黑体_GBK" w:cs="方正黑体_GBK" w:hint="eastAsia"/>
          <w:b/>
          <w:sz w:val="28"/>
          <w:szCs w:val="28"/>
        </w:rPr>
        <w:t>号理财产品</w:t>
      </w:r>
      <w:r>
        <w:rPr>
          <w:rFonts w:ascii="方正黑体_GBK" w:eastAsia="方正黑体_GBK" w:hAnsi="方正黑体_GBK" w:cs="方正黑体_GBK" w:hint="eastAsia"/>
          <w:b/>
          <w:sz w:val="28"/>
          <w:szCs w:val="28"/>
        </w:rPr>
        <w:t>说明书</w:t>
      </w:r>
    </w:p>
    <w:p w14:paraId="5FFF74EE" w14:textId="77777777" w:rsidR="003E7F78" w:rsidRDefault="00741AB5">
      <w:pPr>
        <w:spacing w:line="360" w:lineRule="auto"/>
        <w:jc w:val="center"/>
        <w:rPr>
          <w:rFonts w:ascii="方正黑体_GBK" w:eastAsia="方正黑体_GBK" w:hAnsi="方正黑体_GBK" w:cs="方正黑体_GBK"/>
          <w:b/>
          <w:sz w:val="24"/>
          <w:szCs w:val="24"/>
        </w:rPr>
      </w:pPr>
      <w:r>
        <w:rPr>
          <w:rFonts w:ascii="方正黑体_GBK" w:eastAsia="方正黑体_GBK" w:hAnsi="方正黑体_GBK" w:cs="方正黑体_GBK" w:hint="eastAsia"/>
          <w:b/>
          <w:sz w:val="24"/>
          <w:szCs w:val="24"/>
        </w:rPr>
        <w:t>产品</w:t>
      </w:r>
      <w:r>
        <w:rPr>
          <w:rFonts w:ascii="方正黑体_GBK" w:eastAsia="方正黑体_GBK" w:hAnsi="方正黑体_GBK" w:cs="方正黑体_GBK"/>
          <w:b/>
          <w:sz w:val="24"/>
          <w:szCs w:val="24"/>
        </w:rPr>
        <w:t>销售</w:t>
      </w:r>
      <w:r>
        <w:rPr>
          <w:rFonts w:ascii="方正黑体_GBK" w:eastAsia="方正黑体_GBK" w:hAnsi="方正黑体_GBK" w:cs="方正黑体_GBK" w:hint="eastAsia"/>
          <w:b/>
          <w:sz w:val="24"/>
          <w:szCs w:val="24"/>
        </w:rPr>
        <w:t>名称</w:t>
      </w:r>
      <w:r>
        <w:rPr>
          <w:rFonts w:ascii="方正黑体_GBK" w:eastAsia="方正黑体_GBK" w:hAnsi="方正黑体_GBK" w:cs="方正黑体_GBK"/>
          <w:b/>
          <w:sz w:val="24"/>
          <w:szCs w:val="24"/>
        </w:rPr>
        <w:t xml:space="preserve">: </w:t>
      </w:r>
      <w:r>
        <w:rPr>
          <w:rFonts w:ascii="方正黑体_GBK" w:eastAsia="方正黑体_GBK" w:hAnsi="方正黑体_GBK" w:cs="方正黑体_GBK" w:hint="eastAsia"/>
          <w:b/>
          <w:sz w:val="24"/>
          <w:szCs w:val="24"/>
        </w:rPr>
        <w:t>交银理财稳享鑫荣日日开</w:t>
      </w:r>
      <w:r>
        <w:rPr>
          <w:rFonts w:ascii="方正黑体_GBK" w:eastAsia="方正黑体_GBK" w:hAnsi="方正黑体_GBK" w:cs="方正黑体_GBK" w:hint="eastAsia"/>
          <w:b/>
          <w:sz w:val="24"/>
          <w:szCs w:val="24"/>
        </w:rPr>
        <w:t>3</w:t>
      </w:r>
      <w:r>
        <w:rPr>
          <w:rFonts w:ascii="方正黑体_GBK" w:eastAsia="方正黑体_GBK" w:hAnsi="方正黑体_GBK" w:cs="方正黑体_GBK" w:hint="eastAsia"/>
          <w:b/>
          <w:sz w:val="24"/>
          <w:szCs w:val="24"/>
        </w:rPr>
        <w:t>号（华夏银行专属）理财产品</w:t>
      </w:r>
    </w:p>
    <w:p w14:paraId="6635ADFE" w14:textId="77777777" w:rsidR="003E7F78" w:rsidRDefault="00741AB5">
      <w:pPr>
        <w:snapToGrid w:val="0"/>
        <w:spacing w:beforeLines="50" w:before="156" w:line="360" w:lineRule="auto"/>
        <w:jc w:val="center"/>
        <w:outlineLvl w:val="0"/>
        <w:rPr>
          <w:rFonts w:ascii="方正黑体_GBK" w:eastAsia="方正黑体_GBK" w:hAnsi="方正黑体_GBK" w:cs="方正黑体_GBK"/>
          <w:b/>
          <w:sz w:val="24"/>
          <w:szCs w:val="24"/>
        </w:rPr>
      </w:pPr>
      <w:r>
        <w:rPr>
          <w:rFonts w:ascii="方正黑体_GBK" w:eastAsia="方正黑体_GBK" w:hAnsi="方正黑体_GBK" w:cs="方正黑体_GBK" w:hint="eastAsia"/>
          <w:b/>
          <w:sz w:val="24"/>
          <w:szCs w:val="24"/>
        </w:rPr>
        <w:t>产品销售代码</w:t>
      </w:r>
      <w:r>
        <w:rPr>
          <w:rFonts w:ascii="方正黑体_GBK" w:eastAsia="方正黑体_GBK" w:hAnsi="方正黑体_GBK" w:cs="方正黑体_GBK"/>
          <w:b/>
          <w:sz w:val="24"/>
          <w:szCs w:val="24"/>
        </w:rPr>
        <w:t>:</w:t>
      </w:r>
      <w:r>
        <w:rPr>
          <w:rFonts w:ascii="方正黑体_GBK" w:eastAsia="方正黑体_GBK" w:hAnsi="方正黑体_GBK" w:cs="方正黑体_GBK" w:hint="eastAsia"/>
          <w:b/>
          <w:sz w:val="24"/>
          <w:szCs w:val="24"/>
        </w:rPr>
        <w:t>5811</w:t>
      </w:r>
      <w:r>
        <w:rPr>
          <w:rFonts w:ascii="方正黑体_GBK" w:eastAsia="方正黑体_GBK" w:hAnsi="方正黑体_GBK" w:cs="方正黑体_GBK" w:hint="eastAsia"/>
          <w:b/>
          <w:sz w:val="24"/>
          <w:szCs w:val="24"/>
        </w:rPr>
        <w:t>2240</w:t>
      </w:r>
      <w:r>
        <w:rPr>
          <w:rFonts w:ascii="方正黑体_GBK" w:eastAsia="方正黑体_GBK" w:hAnsi="方正黑体_GBK" w:cs="方正黑体_GBK" w:hint="eastAsia"/>
          <w:b/>
          <w:sz w:val="24"/>
          <w:szCs w:val="24"/>
        </w:rPr>
        <w:t>83</w:t>
      </w:r>
    </w:p>
    <w:bookmarkEnd w:id="2"/>
    <w:p w14:paraId="3460D9D1" w14:textId="77777777" w:rsidR="003E7F78" w:rsidRDefault="003E7F78">
      <w:pPr>
        <w:pStyle w:val="Default"/>
        <w:spacing w:line="360" w:lineRule="auto"/>
        <w:rPr>
          <w:rFonts w:ascii="仿宋_GB2312" w:eastAsia="仿宋_GB2312" w:hAnsi="宋体" w:cs="Arial"/>
          <w:b/>
        </w:rPr>
      </w:pPr>
    </w:p>
    <w:p w14:paraId="0290FA06" w14:textId="77777777" w:rsidR="003E7F78" w:rsidRDefault="00741AB5">
      <w:pPr>
        <w:pStyle w:val="Default"/>
        <w:spacing w:line="360" w:lineRule="auto"/>
        <w:outlineLvl w:val="1"/>
        <w:rPr>
          <w:rFonts w:ascii="仿宋_GB2312" w:eastAsia="仿宋_GB2312" w:hAnsi="Arial" w:cs="Arial"/>
          <w:b/>
        </w:rPr>
      </w:pPr>
      <w:r>
        <w:rPr>
          <w:rFonts w:ascii="仿宋_GB2312" w:eastAsia="仿宋_GB2312" w:hAnsi="宋体" w:cs="Arial" w:hint="eastAsia"/>
          <w:b/>
        </w:rPr>
        <w:t>重要须知</w:t>
      </w:r>
    </w:p>
    <w:p w14:paraId="0ED47C85" w14:textId="77777777" w:rsidR="003E7F78" w:rsidRDefault="00741AB5">
      <w:pPr>
        <w:pStyle w:val="Default"/>
        <w:spacing w:line="360" w:lineRule="auto"/>
        <w:ind w:firstLineChars="200" w:firstLine="482"/>
        <w:rPr>
          <w:rFonts w:ascii="仿宋_GB2312" w:eastAsia="仿宋_GB2312" w:hAnsi="方正楷体_GBK" w:cs="方正楷体_GBK"/>
          <w:b/>
          <w:bCs/>
        </w:rPr>
      </w:pPr>
      <w:bookmarkStart w:id="3" w:name="_Hlk5023858"/>
      <w:r>
        <w:rPr>
          <w:rFonts w:ascii="仿宋_GB2312" w:eastAsia="仿宋_GB2312" w:hAnsi="Arial" w:cs="Arial" w:hint="eastAsia"/>
          <w:b/>
          <w:bCs/>
        </w:rPr>
        <w:t>《</w:t>
      </w:r>
      <w:r>
        <w:rPr>
          <w:rFonts w:ascii="仿宋_GB2312" w:eastAsia="仿宋_GB2312" w:hAnsi="Arial" w:cs="Arial" w:hint="eastAsia"/>
          <w:b/>
          <w:bCs/>
        </w:rPr>
        <w:t>交银理财稳享鑫荣日日开</w:t>
      </w:r>
      <w:r>
        <w:rPr>
          <w:rFonts w:ascii="仿宋_GB2312" w:eastAsia="仿宋_GB2312" w:hAnsi="Arial" w:cs="Arial" w:hint="eastAsia"/>
          <w:b/>
          <w:bCs/>
        </w:rPr>
        <w:t>3</w:t>
      </w:r>
      <w:r>
        <w:rPr>
          <w:rFonts w:ascii="仿宋_GB2312" w:eastAsia="仿宋_GB2312" w:hAnsi="Arial" w:cs="Arial" w:hint="eastAsia"/>
          <w:b/>
          <w:bCs/>
        </w:rPr>
        <w:t>号理财产品</w:t>
      </w:r>
      <w:r>
        <w:rPr>
          <w:rFonts w:ascii="仿宋_GB2312" w:eastAsia="仿宋_GB2312" w:hAnsi="Arial" w:cs="Arial" w:hint="eastAsia"/>
          <w:b/>
          <w:bCs/>
        </w:rPr>
        <w:t>合同》</w:t>
      </w:r>
      <w:r>
        <w:rPr>
          <w:rFonts w:ascii="仿宋_GB2312" w:eastAsia="仿宋_GB2312" w:hAnsi="Arial" w:cs="Arial" w:hint="eastAsia"/>
          <w:b/>
          <w:bCs/>
          <w:color w:val="auto"/>
        </w:rPr>
        <w:t>（以下简称理财产品合同）</w:t>
      </w:r>
      <w:r>
        <w:rPr>
          <w:rFonts w:ascii="仿宋_GB2312" w:eastAsia="仿宋_GB2312" w:hAnsi="Arial" w:cs="Arial" w:hint="eastAsia"/>
          <w:b/>
          <w:bCs/>
        </w:rPr>
        <w:t>包括风险揭示书、投资协议书、产品说明书和投资者权益须知。</w:t>
      </w:r>
      <w:bookmarkEnd w:id="3"/>
      <w:r>
        <w:rPr>
          <w:rFonts w:ascii="仿宋_GB2312" w:eastAsia="仿宋_GB2312" w:hAnsi="Arial" w:cs="Arial" w:hint="eastAsia"/>
          <w:b/>
          <w:bCs/>
        </w:rPr>
        <w:t>本理财产品只根据理财产品合同</w:t>
      </w:r>
      <w:r>
        <w:rPr>
          <w:rFonts w:ascii="仿宋_GB2312" w:eastAsia="仿宋_GB2312" w:hAnsi="方正楷体_GBK" w:cs="方正楷体_GBK" w:hint="eastAsia"/>
          <w:b/>
          <w:bCs/>
        </w:rPr>
        <w:t>所载的资料操作。</w:t>
      </w:r>
    </w:p>
    <w:p w14:paraId="08B9A09C" w14:textId="77777777" w:rsidR="003E7F78" w:rsidRDefault="00741AB5">
      <w:pPr>
        <w:pStyle w:val="Default"/>
        <w:spacing w:line="360" w:lineRule="auto"/>
        <w:ind w:firstLineChars="200" w:firstLine="482"/>
        <w:rPr>
          <w:rFonts w:ascii="仿宋_GB2312" w:eastAsia="仿宋_GB2312" w:hAnsi="方正仿宋_GBK" w:cs="方正仿宋_GBK"/>
          <w:b/>
          <w:bCs/>
        </w:rPr>
      </w:pPr>
      <w:r>
        <w:rPr>
          <w:rFonts w:ascii="仿宋_GB2312" w:eastAsia="仿宋_GB2312" w:hAnsi="方正仿宋_GBK" w:cs="方正仿宋_GBK" w:hint="eastAsia"/>
          <w:b/>
          <w:bCs/>
        </w:rPr>
        <w:t>本理财产品仅向依据中华人民共和国有关法律法规及其他监管规定可以购买本类理财产品的投资者（以下简称投资者）发售。本产品为非保本浮动收益型、固定收益类、净值型产品，任何</w:t>
      </w:r>
      <w:r>
        <w:rPr>
          <w:rFonts w:ascii="仿宋_GB2312" w:eastAsia="仿宋_GB2312" w:hAnsi="方正仿宋_GBK" w:cs="方正仿宋_GBK" w:hint="eastAsia"/>
          <w:b/>
          <w:bCs/>
          <w:color w:val="auto"/>
        </w:rPr>
        <w:t>预期收益、预计收益</w:t>
      </w:r>
      <w:r>
        <w:rPr>
          <w:rFonts w:ascii="仿宋_GB2312" w:eastAsia="仿宋_GB2312" w:hAnsi="方正仿宋_GBK" w:cs="方正仿宋_GBK" w:hint="eastAsia"/>
          <w:b/>
          <w:bCs/>
        </w:rPr>
        <w:t>、测算收益或类似表述均不具有法律效力，不代表投资者可能获得的实际清算分配金额，亦不构成对本理财产品的任何应分配金额承诺，仅供投资者作出投资决定时参考。</w:t>
      </w:r>
    </w:p>
    <w:p w14:paraId="5453442E" w14:textId="77777777" w:rsidR="003E7F78" w:rsidRDefault="00741AB5">
      <w:pPr>
        <w:pStyle w:val="Default"/>
        <w:spacing w:line="360" w:lineRule="auto"/>
        <w:ind w:firstLineChars="200" w:firstLine="482"/>
        <w:rPr>
          <w:rFonts w:ascii="仿宋_GB2312" w:eastAsia="仿宋_GB2312" w:hAnsi="方正仿宋_GBK" w:cs="方正仿宋_GBK"/>
          <w:b/>
          <w:bCs/>
        </w:rPr>
      </w:pPr>
      <w:r>
        <w:rPr>
          <w:rFonts w:ascii="仿宋_GB2312" w:eastAsia="仿宋_GB2312" w:hAnsi="方正仿宋_GBK" w:cs="方正仿宋_GBK" w:hint="eastAsia"/>
          <w:b/>
          <w:bCs/>
        </w:rPr>
        <w:t>在购买本产品前，请投资者认真阅读本理财产品合同，特别是标记</w:t>
      </w:r>
      <w:r>
        <w:rPr>
          <w:rFonts w:ascii="仿宋_GB2312" w:eastAsia="仿宋_GB2312" w:hAnsi="宋体" w:hint="eastAsia"/>
          <w:b/>
          <w:bCs/>
        </w:rPr>
        <w:t>▲▲及★</w:t>
      </w:r>
      <w:r>
        <w:rPr>
          <w:rFonts w:ascii="仿宋_GB2312" w:eastAsia="仿宋_GB2312" w:hAnsi="方正仿宋_GBK" w:cs="方正仿宋_GBK" w:hint="eastAsia"/>
          <w:b/>
          <w:bCs/>
        </w:rPr>
        <w:t>的条款，投</w:t>
      </w:r>
      <w:r>
        <w:rPr>
          <w:rFonts w:ascii="仿宋_GB2312" w:eastAsia="仿宋_GB2312" w:hAnsi="方正仿宋_GBK" w:cs="方正仿宋_GBK" w:hint="eastAsia"/>
          <w:b/>
          <w:bCs/>
        </w:rPr>
        <w:t>资者若对本理财产品合同的内容有任何疑问，请向管理人或</w:t>
      </w:r>
      <w:r>
        <w:rPr>
          <w:rFonts w:ascii="仿宋_GB2312" w:eastAsia="仿宋_GB2312" w:hAnsi="方正仿宋_GBK" w:cs="方正仿宋_GBK" w:hint="eastAsia"/>
          <w:b/>
          <w:bCs/>
          <w:color w:val="auto"/>
        </w:rPr>
        <w:t>向</w:t>
      </w:r>
      <w:r>
        <w:rPr>
          <w:rFonts w:ascii="仿宋_GB2312" w:eastAsia="仿宋_GB2312" w:hAnsi="方正仿宋_GBK" w:cs="方正仿宋_GBK" w:hint="eastAsia"/>
          <w:b/>
          <w:bCs/>
        </w:rPr>
        <w:t>代销机构各营业网点咨询。</w:t>
      </w:r>
    </w:p>
    <w:p w14:paraId="196B8BCE" w14:textId="77777777" w:rsidR="003E7F78" w:rsidRDefault="003E7F78">
      <w:pPr>
        <w:widowControl/>
        <w:spacing w:line="360" w:lineRule="auto"/>
        <w:rPr>
          <w:rFonts w:ascii="仿宋_GB2312" w:eastAsia="仿宋_GB2312" w:hAnsi="宋体"/>
          <w:b/>
          <w:sz w:val="24"/>
          <w:szCs w:val="24"/>
        </w:rPr>
      </w:pPr>
    </w:p>
    <w:p w14:paraId="4DDF1150" w14:textId="77777777" w:rsidR="003E7F78" w:rsidRDefault="00741AB5">
      <w:pPr>
        <w:widowControl/>
        <w:spacing w:line="360" w:lineRule="auto"/>
        <w:outlineLvl w:val="1"/>
        <w:rPr>
          <w:rFonts w:ascii="仿宋_GB2312" w:eastAsia="仿宋_GB2312" w:hAnsi="宋体"/>
          <w:b/>
          <w:sz w:val="24"/>
          <w:szCs w:val="24"/>
        </w:rPr>
      </w:pPr>
      <w:r>
        <w:rPr>
          <w:rFonts w:ascii="仿宋_GB2312" w:eastAsia="仿宋_GB2312" w:hAnsi="宋体" w:hint="eastAsia"/>
          <w:b/>
          <w:sz w:val="24"/>
          <w:szCs w:val="24"/>
        </w:rPr>
        <w:t>基本定义</w:t>
      </w:r>
    </w:p>
    <w:p w14:paraId="01A7FBBD" w14:textId="77777777" w:rsidR="003E7F78" w:rsidRDefault="00741AB5">
      <w:pPr>
        <w:widowControl/>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在本产品说明书中，除非上下文另有明确约定，下列用词将具有如下含义：</w:t>
      </w:r>
    </w:p>
    <w:p w14:paraId="247134B0"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1.</w:t>
      </w:r>
      <w:r>
        <w:rPr>
          <w:rFonts w:ascii="仿宋_GB2312" w:eastAsia="仿宋_GB2312" w:hAnsi="宋体" w:hint="eastAsia"/>
          <w:b/>
          <w:sz w:val="24"/>
          <w:szCs w:val="24"/>
        </w:rPr>
        <w:t>参与主体用语</w:t>
      </w:r>
    </w:p>
    <w:p w14:paraId="25FF122A"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1</w:t>
      </w:r>
      <w:r>
        <w:rPr>
          <w:rFonts w:ascii="仿宋_GB2312" w:eastAsia="仿宋_GB2312" w:hAnsi="宋体"/>
          <w:b/>
          <w:sz w:val="24"/>
          <w:szCs w:val="24"/>
        </w:rPr>
        <w:t>）管理人</w:t>
      </w:r>
      <w:r>
        <w:rPr>
          <w:rFonts w:ascii="仿宋_GB2312" w:eastAsia="仿宋_GB2312" w:hAnsi="宋体"/>
          <w:b/>
          <w:sz w:val="24"/>
          <w:szCs w:val="24"/>
        </w:rPr>
        <w:t>/</w:t>
      </w:r>
      <w:r>
        <w:rPr>
          <w:rFonts w:ascii="仿宋_GB2312" w:eastAsia="仿宋_GB2312" w:hAnsi="宋体"/>
          <w:b/>
          <w:sz w:val="24"/>
          <w:szCs w:val="24"/>
        </w:rPr>
        <w:t>产品管理人</w:t>
      </w:r>
      <w:r>
        <w:rPr>
          <w:rFonts w:ascii="仿宋_GB2312" w:eastAsia="仿宋_GB2312" w:hAnsi="宋体"/>
          <w:b/>
          <w:sz w:val="24"/>
          <w:szCs w:val="24"/>
        </w:rPr>
        <w:t>/</w:t>
      </w:r>
      <w:r>
        <w:rPr>
          <w:rFonts w:ascii="仿宋_GB2312" w:eastAsia="仿宋_GB2312" w:hAnsi="宋体"/>
          <w:b/>
          <w:sz w:val="24"/>
          <w:szCs w:val="24"/>
        </w:rPr>
        <w:t>理财产品管理人</w:t>
      </w:r>
      <w:r>
        <w:rPr>
          <w:rFonts w:ascii="仿宋_GB2312" w:eastAsia="仿宋_GB2312" w:hAnsi="宋体"/>
          <w:b/>
          <w:sz w:val="24"/>
          <w:szCs w:val="24"/>
        </w:rPr>
        <w:t>/</w:t>
      </w:r>
      <w:r>
        <w:rPr>
          <w:rFonts w:ascii="仿宋_GB2312" w:eastAsia="仿宋_GB2312" w:hAnsi="宋体"/>
          <w:b/>
          <w:sz w:val="24"/>
          <w:szCs w:val="24"/>
        </w:rPr>
        <w:t>本机构：</w:t>
      </w:r>
      <w:r>
        <w:rPr>
          <w:rFonts w:ascii="仿宋_GB2312" w:eastAsia="仿宋_GB2312" w:hAnsi="宋体" w:hint="eastAsia"/>
          <w:sz w:val="24"/>
          <w:szCs w:val="24"/>
        </w:rPr>
        <w:t>指交银理财有限责任公司（以下简称“交银理财”）。</w:t>
      </w:r>
    </w:p>
    <w:p w14:paraId="4568AC83"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2</w:t>
      </w:r>
      <w:r>
        <w:rPr>
          <w:rFonts w:ascii="仿宋_GB2312" w:eastAsia="仿宋_GB2312" w:hAnsi="宋体"/>
          <w:b/>
          <w:sz w:val="24"/>
          <w:szCs w:val="24"/>
        </w:rPr>
        <w:t>）托管人</w:t>
      </w:r>
      <w:r>
        <w:rPr>
          <w:rFonts w:ascii="仿宋_GB2312" w:eastAsia="仿宋_GB2312" w:hAnsi="宋体"/>
          <w:b/>
          <w:sz w:val="24"/>
          <w:szCs w:val="24"/>
        </w:rPr>
        <w:t>/</w:t>
      </w:r>
      <w:r>
        <w:rPr>
          <w:rFonts w:ascii="仿宋_GB2312" w:eastAsia="仿宋_GB2312" w:hAnsi="宋体"/>
          <w:b/>
          <w:sz w:val="24"/>
          <w:szCs w:val="24"/>
        </w:rPr>
        <w:t>托管机构：</w:t>
      </w:r>
      <w:r>
        <w:rPr>
          <w:rFonts w:ascii="仿宋_GB2312" w:eastAsia="仿宋_GB2312" w:hAnsi="宋体" w:hint="eastAsia"/>
          <w:sz w:val="24"/>
          <w:szCs w:val="24"/>
        </w:rPr>
        <w:t>指交通银行股份有限公司（以下简称“交通银行”）。</w:t>
      </w:r>
    </w:p>
    <w:p w14:paraId="5BAEF837" w14:textId="77777777" w:rsidR="003E7F78" w:rsidRDefault="00741AB5">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w:t>
      </w:r>
      <w:r>
        <w:rPr>
          <w:rFonts w:ascii="仿宋_GB2312" w:eastAsia="仿宋_GB2312" w:hAnsi="宋体"/>
          <w:b/>
          <w:sz w:val="24"/>
          <w:szCs w:val="24"/>
        </w:rPr>
        <w:t>3</w:t>
      </w:r>
      <w:r>
        <w:rPr>
          <w:rFonts w:ascii="仿宋_GB2312" w:eastAsia="仿宋_GB2312" w:hAnsi="宋体"/>
          <w:b/>
          <w:sz w:val="24"/>
          <w:szCs w:val="24"/>
        </w:rPr>
        <w:t>）代销机构</w:t>
      </w:r>
      <w:r>
        <w:rPr>
          <w:rFonts w:ascii="仿宋_GB2312" w:eastAsia="仿宋_GB2312" w:hAnsi="宋体"/>
          <w:b/>
          <w:sz w:val="24"/>
          <w:szCs w:val="24"/>
        </w:rPr>
        <w:t>/</w:t>
      </w:r>
      <w:r>
        <w:rPr>
          <w:rFonts w:ascii="仿宋_GB2312" w:eastAsia="仿宋_GB2312" w:hAnsi="宋体"/>
          <w:b/>
          <w:sz w:val="24"/>
          <w:szCs w:val="24"/>
        </w:rPr>
        <w:t>销售机构：</w:t>
      </w:r>
      <w:r>
        <w:rPr>
          <w:rFonts w:ascii="仿宋_GB2312" w:eastAsia="仿宋_GB2312" w:hAnsi="宋体" w:hint="eastAsia"/>
          <w:sz w:val="24"/>
          <w:szCs w:val="24"/>
        </w:rPr>
        <w:t>指华夏银行股份有限公司（以下简称“华夏银行”）。</w:t>
      </w:r>
    </w:p>
    <w:p w14:paraId="6275373C"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4</w:t>
      </w:r>
      <w:r>
        <w:rPr>
          <w:rFonts w:ascii="仿宋_GB2312" w:eastAsia="仿宋_GB2312" w:hAnsi="宋体" w:hint="eastAsia"/>
          <w:b/>
          <w:sz w:val="24"/>
          <w:szCs w:val="24"/>
        </w:rPr>
        <w:t>）</w:t>
      </w:r>
      <w:r>
        <w:rPr>
          <w:rFonts w:ascii="仿宋_GB2312" w:eastAsia="仿宋_GB2312" w:hAnsi="宋体"/>
          <w:b/>
          <w:sz w:val="24"/>
          <w:szCs w:val="24"/>
        </w:rPr>
        <w:t>投资者：</w:t>
      </w:r>
      <w:r>
        <w:rPr>
          <w:rFonts w:ascii="仿宋_GB2312" w:eastAsia="仿宋_GB2312" w:hAnsi="宋体" w:hint="eastAsia"/>
          <w:sz w:val="24"/>
          <w:szCs w:val="24"/>
        </w:rPr>
        <w:t>指符合相关法律法规、监管规定要求的，可以购买理财产品的自然人、法人和其他组织。其中，</w:t>
      </w:r>
      <w:r>
        <w:rPr>
          <w:rFonts w:ascii="仿宋_GB2312" w:eastAsia="仿宋_GB2312" w:hAnsi="宋体"/>
          <w:b/>
          <w:sz w:val="24"/>
          <w:szCs w:val="24"/>
        </w:rPr>
        <w:t>个人投资者</w:t>
      </w:r>
      <w:r>
        <w:rPr>
          <w:rFonts w:ascii="仿宋_GB2312" w:eastAsia="仿宋_GB2312" w:hAnsi="宋体" w:hint="eastAsia"/>
          <w:sz w:val="24"/>
          <w:szCs w:val="24"/>
        </w:rPr>
        <w:t>指符合相关法律法规、监管规定要求的，经管理人或代销机构的个人投资者投资风险承受能力评估体系评定为适合的自然人；</w:t>
      </w:r>
      <w:r>
        <w:rPr>
          <w:rFonts w:ascii="仿宋_GB2312" w:eastAsia="仿宋_GB2312" w:hAnsi="宋体"/>
          <w:b/>
          <w:sz w:val="24"/>
          <w:szCs w:val="24"/>
        </w:rPr>
        <w:t>机构投资者</w:t>
      </w:r>
      <w:r>
        <w:rPr>
          <w:rFonts w:ascii="仿宋_GB2312" w:eastAsia="仿宋_GB2312" w:hAnsi="宋体" w:hint="eastAsia"/>
          <w:sz w:val="24"/>
          <w:szCs w:val="24"/>
        </w:rPr>
        <w:t>指符合相关法律法规、监管规定要求的法人和其他组织。个人投资者和机构投资者合称投资者。</w:t>
      </w:r>
    </w:p>
    <w:p w14:paraId="45D4F028" w14:textId="77777777" w:rsidR="003E7F78" w:rsidRDefault="00741AB5">
      <w:pPr>
        <w:widowControl/>
        <w:autoSpaceDE w:val="0"/>
        <w:autoSpaceDN w:val="0"/>
        <w:adjustRightInd w:val="0"/>
        <w:spacing w:line="360" w:lineRule="auto"/>
        <w:ind w:firstLineChars="200" w:firstLine="482"/>
        <w:rPr>
          <w:rFonts w:ascii="仿宋_GB2312" w:eastAsia="仿宋_GB2312" w:cs="仿宋_GB2312"/>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5</w:t>
      </w:r>
      <w:r>
        <w:rPr>
          <w:rFonts w:ascii="仿宋_GB2312" w:eastAsia="仿宋_GB2312" w:hAnsi="宋体" w:hint="eastAsia"/>
          <w:b/>
          <w:sz w:val="24"/>
          <w:szCs w:val="24"/>
        </w:rPr>
        <w:t>）投资合作机构：</w:t>
      </w:r>
      <w:r>
        <w:rPr>
          <w:rFonts w:ascii="仿宋_GB2312" w:eastAsia="仿宋_GB2312" w:hAnsi="方正仿宋_GBK" w:cs="方正仿宋_GBK" w:hint="eastAsia"/>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w:t>
      </w:r>
      <w:r>
        <w:rPr>
          <w:rFonts w:ascii="仿宋_GB2312" w:eastAsia="仿宋_GB2312" w:hAnsi="方正仿宋_GBK" w:cs="方正仿宋_GBK" w:hint="eastAsia"/>
          <w:sz w:val="24"/>
          <w:szCs w:val="24"/>
        </w:rPr>
        <w:t>托投资或提供投资顾问等服务</w:t>
      </w:r>
      <w:r>
        <w:rPr>
          <w:rFonts w:ascii="仿宋_GB2312" w:eastAsia="仿宋_GB2312" w:hAnsi="方正仿宋_GBK" w:cs="方正仿宋_GBK"/>
          <w:sz w:val="24"/>
          <w:szCs w:val="24"/>
        </w:rPr>
        <w:t>,</w:t>
      </w:r>
      <w:r>
        <w:rPr>
          <w:rFonts w:ascii="仿宋_GB2312" w:eastAsia="仿宋_GB2312" w:hAnsi="方正仿宋_GBK" w:cs="方正仿宋_GBK" w:hint="eastAsia"/>
          <w:sz w:val="24"/>
          <w:szCs w:val="24"/>
        </w:rPr>
        <w:t>具体职责以管理人与投资合作机构签署的合同为准。本理财产品投资合作机构依据监管要求进行名单制管理，所有合作机构均经过交银理财相关制度流程选任，符合准入标准和程序。</w:t>
      </w:r>
      <w:r>
        <w:rPr>
          <w:rFonts w:ascii="仿宋_GB2312" w:eastAsia="仿宋_GB2312" w:hAnsi="宋体" w:cs="Arial" w:hint="eastAsia"/>
          <w:sz w:val="24"/>
          <w:szCs w:val="24"/>
        </w:rPr>
        <w:t>本理财产品投资合作机构可能包括但不限于：交银国际信托有限公司、交银施罗德基金管理有限公司、交银施罗德资产管理有限公司、交银金融资产投资有限公司、交银国际控股有限公司</w:t>
      </w:r>
      <w:r>
        <w:rPr>
          <w:rFonts w:ascii="仿宋_GB2312" w:eastAsia="仿宋_GB2312" w:cs="仿宋_GB2312" w:hint="eastAsia"/>
          <w:sz w:val="24"/>
          <w:szCs w:val="24"/>
        </w:rPr>
        <w:t>等。</w:t>
      </w:r>
    </w:p>
    <w:p w14:paraId="150E15EF" w14:textId="77777777" w:rsidR="003E7F78" w:rsidRDefault="00741AB5">
      <w:pPr>
        <w:widowControl/>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6</w:t>
      </w:r>
      <w:r>
        <w:rPr>
          <w:rFonts w:ascii="仿宋_GB2312" w:eastAsia="仿宋_GB2312" w:hAnsi="宋体" w:hint="eastAsia"/>
          <w:b/>
          <w:sz w:val="24"/>
          <w:szCs w:val="24"/>
        </w:rPr>
        <w:t>）国家金融监督管理总局：</w:t>
      </w:r>
      <w:r>
        <w:rPr>
          <w:rFonts w:ascii="仿宋_GB2312" w:eastAsia="仿宋_GB2312" w:hAnsi="宋体" w:hint="eastAsia"/>
          <w:sz w:val="24"/>
          <w:szCs w:val="24"/>
        </w:rPr>
        <w:t>指原中国银行保险监督管理委员会，现国家金融监督管理总局。</w:t>
      </w:r>
    </w:p>
    <w:p w14:paraId="586C3EC6" w14:textId="77777777" w:rsidR="003E7F78" w:rsidRDefault="00741AB5">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2.</w:t>
      </w:r>
      <w:r>
        <w:rPr>
          <w:rFonts w:ascii="仿宋_GB2312" w:eastAsia="仿宋_GB2312" w:hAnsi="宋体" w:hint="eastAsia"/>
          <w:b/>
          <w:sz w:val="24"/>
          <w:szCs w:val="24"/>
        </w:rPr>
        <w:t>法律文件用语</w:t>
      </w:r>
    </w:p>
    <w:p w14:paraId="4BB120AC" w14:textId="77777777" w:rsidR="003E7F78" w:rsidRDefault="00741AB5">
      <w:pPr>
        <w:spacing w:line="360" w:lineRule="auto"/>
        <w:ind w:firstLineChars="200" w:firstLine="482"/>
        <w:rPr>
          <w:rFonts w:ascii="仿宋_GB2312" w:eastAsia="仿宋_GB2312" w:hAnsi="宋体" w:cs="Arial"/>
          <w:b/>
          <w:color w:val="000000"/>
          <w:kern w:val="0"/>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）理财产品销售文件：</w:t>
      </w:r>
      <w:r>
        <w:rPr>
          <w:rFonts w:ascii="仿宋_GB2312" w:eastAsia="仿宋_GB2312" w:hAnsi="宋体" w:hint="eastAsia"/>
          <w:sz w:val="24"/>
          <w:szCs w:val="24"/>
        </w:rPr>
        <w:t>指理财产品合同与销售（代理</w:t>
      </w:r>
      <w:r>
        <w:rPr>
          <w:rFonts w:ascii="仿宋_GB2312" w:eastAsia="仿宋_GB2312" w:hAnsi="宋体" w:hint="eastAsia"/>
          <w:sz w:val="24"/>
          <w:szCs w:val="24"/>
        </w:rPr>
        <w:t>销售）协议书的合称，以及对该文件的有效修改或补充</w:t>
      </w:r>
      <w:r>
        <w:rPr>
          <w:rFonts w:ascii="仿宋_GB2312" w:eastAsia="仿宋_GB2312" w:hAnsi="宋体"/>
          <w:sz w:val="24"/>
          <w:szCs w:val="24"/>
        </w:rPr>
        <w:t>。</w:t>
      </w:r>
    </w:p>
    <w:p w14:paraId="653F5228" w14:textId="77777777" w:rsidR="003E7F78" w:rsidRDefault="00741AB5">
      <w:pPr>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w:t>
      </w:r>
      <w:r>
        <w:rPr>
          <w:rFonts w:ascii="仿宋_GB2312" w:eastAsia="仿宋_GB2312" w:hAnsi="宋体"/>
          <w:b/>
          <w:sz w:val="24"/>
          <w:szCs w:val="24"/>
        </w:rPr>
        <w:t>2</w:t>
      </w:r>
      <w:r>
        <w:rPr>
          <w:rFonts w:ascii="仿宋_GB2312" w:eastAsia="仿宋_GB2312" w:hAnsi="宋体" w:hint="eastAsia"/>
          <w:b/>
          <w:sz w:val="24"/>
          <w:szCs w:val="24"/>
        </w:rPr>
        <w:t>）</w:t>
      </w:r>
      <w:r>
        <w:rPr>
          <w:rFonts w:ascii="仿宋_GB2312" w:eastAsia="仿宋_GB2312" w:hAnsi="宋体"/>
          <w:b/>
          <w:sz w:val="24"/>
          <w:szCs w:val="24"/>
        </w:rPr>
        <w:t>理财产品合同</w:t>
      </w:r>
      <w:r>
        <w:rPr>
          <w:rFonts w:ascii="仿宋_GB2312" w:eastAsia="仿宋_GB2312" w:hAnsi="宋体"/>
          <w:b/>
          <w:sz w:val="24"/>
          <w:szCs w:val="24"/>
        </w:rPr>
        <w:t>/</w:t>
      </w:r>
      <w:r>
        <w:rPr>
          <w:rFonts w:ascii="仿宋_GB2312" w:eastAsia="仿宋_GB2312" w:hAnsi="宋体"/>
          <w:b/>
          <w:sz w:val="24"/>
          <w:szCs w:val="24"/>
        </w:rPr>
        <w:t>本理财产品合同：</w:t>
      </w:r>
      <w:r>
        <w:rPr>
          <w:rFonts w:ascii="仿宋_GB2312" w:eastAsia="仿宋_GB2312" w:hAnsi="宋体" w:hint="eastAsia"/>
          <w:sz w:val="24"/>
          <w:szCs w:val="24"/>
        </w:rPr>
        <w:t>指《</w:t>
      </w:r>
      <w:r>
        <w:rPr>
          <w:rFonts w:ascii="仿宋_GB2312" w:eastAsia="仿宋_GB2312" w:hAnsi="宋体" w:hint="eastAsia"/>
          <w:sz w:val="24"/>
          <w:szCs w:val="24"/>
        </w:rPr>
        <w:t>交银理财稳享鑫荣日日开</w:t>
      </w:r>
      <w:r>
        <w:rPr>
          <w:rFonts w:ascii="仿宋_GB2312" w:eastAsia="仿宋_GB2312" w:hAnsi="宋体" w:hint="eastAsia"/>
          <w:sz w:val="24"/>
          <w:szCs w:val="24"/>
        </w:rPr>
        <w:t>3</w:t>
      </w:r>
      <w:r>
        <w:rPr>
          <w:rFonts w:ascii="仿宋_GB2312" w:eastAsia="仿宋_GB2312" w:hAnsi="宋体" w:hint="eastAsia"/>
          <w:sz w:val="24"/>
          <w:szCs w:val="24"/>
        </w:rPr>
        <w:t>号理财产品</w:t>
      </w:r>
      <w:r>
        <w:rPr>
          <w:rFonts w:ascii="仿宋_GB2312" w:eastAsia="仿宋_GB2312" w:hAnsi="宋体"/>
          <w:sz w:val="24"/>
          <w:szCs w:val="24"/>
        </w:rPr>
        <w:t>合同》，包括风险揭示书、</w:t>
      </w:r>
      <w:r>
        <w:rPr>
          <w:rFonts w:ascii="仿宋_GB2312" w:eastAsia="仿宋_GB2312" w:hAnsi="宋体" w:hint="eastAsia"/>
          <w:sz w:val="24"/>
          <w:szCs w:val="24"/>
        </w:rPr>
        <w:t>投资</w:t>
      </w:r>
      <w:r>
        <w:rPr>
          <w:rFonts w:ascii="仿宋_GB2312" w:eastAsia="仿宋_GB2312" w:hAnsi="宋体"/>
          <w:sz w:val="24"/>
          <w:szCs w:val="24"/>
        </w:rPr>
        <w:t>协议书、产品说明书、投资者权益须知，以及对该文件的有效修改或补充。</w:t>
      </w:r>
    </w:p>
    <w:p w14:paraId="493FA30B"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3</w:t>
      </w:r>
      <w:r>
        <w:rPr>
          <w:rFonts w:ascii="仿宋_GB2312" w:eastAsia="仿宋_GB2312" w:hAnsi="宋体" w:hint="eastAsia"/>
          <w:b/>
          <w:sz w:val="24"/>
          <w:szCs w:val="24"/>
        </w:rPr>
        <w:t>）</w:t>
      </w:r>
      <w:r>
        <w:rPr>
          <w:rFonts w:ascii="仿宋_GB2312" w:eastAsia="仿宋_GB2312" w:hAnsi="宋体"/>
          <w:b/>
          <w:sz w:val="24"/>
          <w:szCs w:val="24"/>
        </w:rPr>
        <w:t>风险揭示书：</w:t>
      </w:r>
      <w:r>
        <w:rPr>
          <w:rFonts w:ascii="仿宋_GB2312" w:eastAsia="仿宋_GB2312" w:hAnsi="宋体" w:hint="eastAsia"/>
          <w:sz w:val="24"/>
          <w:szCs w:val="24"/>
        </w:rPr>
        <w:t>指作为《</w:t>
      </w:r>
      <w:r>
        <w:rPr>
          <w:rFonts w:ascii="仿宋_GB2312" w:eastAsia="仿宋_GB2312" w:hAnsi="宋体" w:hint="eastAsia"/>
          <w:sz w:val="24"/>
          <w:szCs w:val="24"/>
        </w:rPr>
        <w:t>交银理财稳享鑫荣日日开</w:t>
      </w:r>
      <w:r>
        <w:rPr>
          <w:rFonts w:ascii="仿宋_GB2312" w:eastAsia="仿宋_GB2312" w:hAnsi="宋体" w:hint="eastAsia"/>
          <w:sz w:val="24"/>
          <w:szCs w:val="24"/>
        </w:rPr>
        <w:t>3</w:t>
      </w:r>
      <w:r>
        <w:rPr>
          <w:rFonts w:ascii="仿宋_GB2312" w:eastAsia="仿宋_GB2312" w:hAnsi="宋体" w:hint="eastAsia"/>
          <w:sz w:val="24"/>
          <w:szCs w:val="24"/>
        </w:rPr>
        <w:t>号理财产品</w:t>
      </w:r>
      <w:r>
        <w:rPr>
          <w:rFonts w:ascii="仿宋_GB2312" w:eastAsia="仿宋_GB2312" w:hAnsi="宋体"/>
          <w:sz w:val="24"/>
          <w:szCs w:val="24"/>
        </w:rPr>
        <w:t>合同》不可分割组成部分的风险揭示书，以及对该文件的有效修改或补充。</w:t>
      </w:r>
    </w:p>
    <w:p w14:paraId="295EC705"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4</w:t>
      </w:r>
      <w:r>
        <w:rPr>
          <w:rFonts w:ascii="仿宋_GB2312" w:eastAsia="仿宋_GB2312" w:hAnsi="宋体" w:hint="eastAsia"/>
          <w:b/>
          <w:sz w:val="24"/>
          <w:szCs w:val="24"/>
        </w:rPr>
        <w:t>）投资协议书</w:t>
      </w:r>
      <w:r>
        <w:rPr>
          <w:rFonts w:ascii="仿宋_GB2312" w:eastAsia="仿宋_GB2312" w:hAnsi="宋体"/>
          <w:b/>
          <w:sz w:val="24"/>
          <w:szCs w:val="24"/>
        </w:rPr>
        <w:t>：</w:t>
      </w:r>
      <w:r>
        <w:rPr>
          <w:rFonts w:ascii="仿宋_GB2312" w:eastAsia="仿宋_GB2312" w:hAnsi="宋体" w:hint="eastAsia"/>
          <w:sz w:val="24"/>
          <w:szCs w:val="24"/>
        </w:rPr>
        <w:t>指作为《</w:t>
      </w:r>
      <w:r>
        <w:rPr>
          <w:rFonts w:ascii="仿宋_GB2312" w:eastAsia="仿宋_GB2312" w:hAnsi="宋体" w:hint="eastAsia"/>
          <w:sz w:val="24"/>
          <w:szCs w:val="24"/>
        </w:rPr>
        <w:t>交银理财稳享鑫荣日日开</w:t>
      </w:r>
      <w:r>
        <w:rPr>
          <w:rFonts w:ascii="仿宋_GB2312" w:eastAsia="仿宋_GB2312" w:hAnsi="宋体" w:hint="eastAsia"/>
          <w:sz w:val="24"/>
          <w:szCs w:val="24"/>
        </w:rPr>
        <w:t>3</w:t>
      </w:r>
      <w:r>
        <w:rPr>
          <w:rFonts w:ascii="仿宋_GB2312" w:eastAsia="仿宋_GB2312" w:hAnsi="宋体" w:hint="eastAsia"/>
          <w:sz w:val="24"/>
          <w:szCs w:val="24"/>
        </w:rPr>
        <w:t>号理财产品</w:t>
      </w:r>
      <w:r>
        <w:rPr>
          <w:rFonts w:ascii="仿宋_GB2312" w:eastAsia="仿宋_GB2312" w:hAnsi="宋体"/>
          <w:sz w:val="24"/>
          <w:szCs w:val="24"/>
        </w:rPr>
        <w:t>合同》不可分割组成部分的投资协议书，以及对该文件的有效修改或补充。</w:t>
      </w:r>
    </w:p>
    <w:p w14:paraId="3405E57B"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5</w:t>
      </w:r>
      <w:r>
        <w:rPr>
          <w:rFonts w:ascii="仿宋_GB2312" w:eastAsia="仿宋_GB2312" w:hAnsi="宋体" w:hint="eastAsia"/>
          <w:b/>
          <w:sz w:val="24"/>
          <w:szCs w:val="24"/>
        </w:rPr>
        <w:t>）</w:t>
      </w:r>
      <w:r>
        <w:rPr>
          <w:rFonts w:ascii="仿宋_GB2312" w:eastAsia="仿宋_GB2312" w:hAnsi="宋体"/>
          <w:b/>
          <w:sz w:val="24"/>
          <w:szCs w:val="24"/>
        </w:rPr>
        <w:t>产品说明书</w:t>
      </w:r>
      <w:r>
        <w:rPr>
          <w:rFonts w:ascii="仿宋_GB2312" w:eastAsia="仿宋_GB2312" w:hAnsi="宋体"/>
          <w:b/>
          <w:sz w:val="24"/>
          <w:szCs w:val="24"/>
        </w:rPr>
        <w:t>/</w:t>
      </w:r>
      <w:r>
        <w:rPr>
          <w:rFonts w:ascii="仿宋_GB2312" w:eastAsia="仿宋_GB2312" w:hAnsi="宋体"/>
          <w:b/>
          <w:sz w:val="24"/>
          <w:szCs w:val="24"/>
        </w:rPr>
        <w:t>本产品说明书</w:t>
      </w:r>
      <w:r>
        <w:rPr>
          <w:rFonts w:ascii="仿宋_GB2312" w:eastAsia="仿宋_GB2312" w:hAnsi="宋体"/>
          <w:b/>
          <w:sz w:val="24"/>
          <w:szCs w:val="24"/>
        </w:rPr>
        <w:t>/</w:t>
      </w:r>
      <w:r>
        <w:rPr>
          <w:rFonts w:ascii="仿宋_GB2312" w:eastAsia="仿宋_GB2312" w:hAnsi="宋体"/>
          <w:b/>
          <w:sz w:val="24"/>
          <w:szCs w:val="24"/>
        </w:rPr>
        <w:t>本理财产品说明书</w:t>
      </w:r>
      <w:r>
        <w:rPr>
          <w:rFonts w:ascii="仿宋_GB2312" w:eastAsia="仿宋_GB2312" w:hAnsi="宋体" w:hint="eastAsia"/>
          <w:sz w:val="24"/>
          <w:szCs w:val="24"/>
        </w:rPr>
        <w:t>：指作为《</w:t>
      </w:r>
      <w:r>
        <w:rPr>
          <w:rFonts w:ascii="仿宋_GB2312" w:eastAsia="仿宋_GB2312" w:hAnsi="宋体" w:hint="eastAsia"/>
          <w:sz w:val="24"/>
          <w:szCs w:val="24"/>
        </w:rPr>
        <w:t>交银理财稳享鑫荣日日开</w:t>
      </w:r>
      <w:r>
        <w:rPr>
          <w:rFonts w:ascii="仿宋_GB2312" w:eastAsia="仿宋_GB2312" w:hAnsi="宋体" w:hint="eastAsia"/>
          <w:sz w:val="24"/>
          <w:szCs w:val="24"/>
        </w:rPr>
        <w:t>3</w:t>
      </w:r>
      <w:r>
        <w:rPr>
          <w:rFonts w:ascii="仿宋_GB2312" w:eastAsia="仿宋_GB2312" w:hAnsi="宋体" w:hint="eastAsia"/>
          <w:sz w:val="24"/>
          <w:szCs w:val="24"/>
        </w:rPr>
        <w:t>号理财产品</w:t>
      </w:r>
      <w:r>
        <w:rPr>
          <w:rFonts w:ascii="仿宋_GB2312" w:eastAsia="仿宋_GB2312" w:hAnsi="宋体"/>
          <w:sz w:val="24"/>
          <w:szCs w:val="24"/>
        </w:rPr>
        <w:t>合同》不可分割组成部分的产品说明书，以及对该文件的有效修改或补充。</w:t>
      </w:r>
    </w:p>
    <w:p w14:paraId="61417147"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6</w:t>
      </w:r>
      <w:r>
        <w:rPr>
          <w:rFonts w:ascii="仿宋_GB2312" w:eastAsia="仿宋_GB2312" w:hAnsi="宋体" w:hint="eastAsia"/>
          <w:b/>
          <w:sz w:val="24"/>
          <w:szCs w:val="24"/>
        </w:rPr>
        <w:t>）</w:t>
      </w:r>
      <w:r>
        <w:rPr>
          <w:rFonts w:ascii="仿宋_GB2312" w:eastAsia="仿宋_GB2312" w:hAnsi="宋体"/>
          <w:b/>
          <w:sz w:val="24"/>
          <w:szCs w:val="24"/>
        </w:rPr>
        <w:t>投资者权益须知：</w:t>
      </w:r>
      <w:r>
        <w:rPr>
          <w:rFonts w:ascii="仿宋_GB2312" w:eastAsia="仿宋_GB2312" w:hAnsi="宋体" w:hint="eastAsia"/>
          <w:sz w:val="24"/>
          <w:szCs w:val="24"/>
        </w:rPr>
        <w:t>指作为《</w:t>
      </w:r>
      <w:r>
        <w:rPr>
          <w:rFonts w:ascii="仿宋_GB2312" w:eastAsia="仿宋_GB2312" w:hAnsi="宋体" w:hint="eastAsia"/>
          <w:sz w:val="24"/>
          <w:szCs w:val="24"/>
        </w:rPr>
        <w:t>交银理财稳享鑫荣日日开</w:t>
      </w:r>
      <w:r>
        <w:rPr>
          <w:rFonts w:ascii="仿宋_GB2312" w:eastAsia="仿宋_GB2312" w:hAnsi="宋体" w:hint="eastAsia"/>
          <w:sz w:val="24"/>
          <w:szCs w:val="24"/>
        </w:rPr>
        <w:t>3</w:t>
      </w:r>
      <w:r>
        <w:rPr>
          <w:rFonts w:ascii="仿宋_GB2312" w:eastAsia="仿宋_GB2312" w:hAnsi="宋体" w:hint="eastAsia"/>
          <w:sz w:val="24"/>
          <w:szCs w:val="24"/>
        </w:rPr>
        <w:t>号理财产品</w:t>
      </w:r>
      <w:r>
        <w:rPr>
          <w:rFonts w:ascii="仿宋_GB2312" w:eastAsia="仿宋_GB2312" w:hAnsi="宋体"/>
          <w:sz w:val="24"/>
          <w:szCs w:val="24"/>
        </w:rPr>
        <w:t>合同》不可分割组成部分的投资者权益须知，以及对该文件的有效修改或补充。</w:t>
      </w:r>
    </w:p>
    <w:p w14:paraId="26A3A994" w14:textId="77777777" w:rsidR="003E7F78" w:rsidRDefault="00741AB5">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3.</w:t>
      </w:r>
      <w:r>
        <w:rPr>
          <w:rFonts w:ascii="仿宋_GB2312" w:eastAsia="仿宋_GB2312" w:hAnsi="宋体" w:hint="eastAsia"/>
          <w:b/>
          <w:sz w:val="24"/>
          <w:szCs w:val="24"/>
        </w:rPr>
        <w:t>理财产品用语</w:t>
      </w:r>
    </w:p>
    <w:p w14:paraId="6FAD651C"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）理财产品</w:t>
      </w:r>
      <w:r>
        <w:rPr>
          <w:rFonts w:ascii="仿宋_GB2312" w:eastAsia="仿宋_GB2312" w:hAnsi="宋体" w:hint="eastAsia"/>
          <w:b/>
          <w:sz w:val="24"/>
          <w:szCs w:val="24"/>
        </w:rPr>
        <w:t>/</w:t>
      </w:r>
      <w:r>
        <w:rPr>
          <w:rFonts w:ascii="仿宋_GB2312" w:eastAsia="仿宋_GB2312" w:hAnsi="宋体" w:hint="eastAsia"/>
          <w:b/>
          <w:sz w:val="24"/>
          <w:szCs w:val="24"/>
        </w:rPr>
        <w:t>产品：</w:t>
      </w:r>
      <w:r>
        <w:rPr>
          <w:rFonts w:ascii="仿宋_GB2312" w:eastAsia="仿宋_GB2312" w:hAnsi="宋体" w:hint="eastAsia"/>
          <w:sz w:val="24"/>
          <w:szCs w:val="24"/>
        </w:rPr>
        <w:t>指</w:t>
      </w:r>
      <w:r>
        <w:rPr>
          <w:rFonts w:ascii="仿宋_GB2312" w:eastAsia="仿宋_GB2312" w:hAnsi="宋体" w:hint="eastAsia"/>
          <w:sz w:val="24"/>
          <w:szCs w:val="24"/>
        </w:rPr>
        <w:t>交银理财稳享鑫荣日日开</w:t>
      </w:r>
      <w:r>
        <w:rPr>
          <w:rFonts w:ascii="仿宋_GB2312" w:eastAsia="仿宋_GB2312" w:hAnsi="宋体" w:hint="eastAsia"/>
          <w:sz w:val="24"/>
          <w:szCs w:val="24"/>
        </w:rPr>
        <w:t>3</w:t>
      </w:r>
      <w:r>
        <w:rPr>
          <w:rFonts w:ascii="仿宋_GB2312" w:eastAsia="仿宋_GB2312" w:hAnsi="宋体" w:hint="eastAsia"/>
          <w:sz w:val="24"/>
          <w:szCs w:val="24"/>
        </w:rPr>
        <w:t>号理财产品</w:t>
      </w:r>
      <w:r>
        <w:rPr>
          <w:rFonts w:ascii="仿宋_GB2312" w:eastAsia="仿宋_GB2312" w:hAnsi="宋体" w:hint="eastAsia"/>
          <w:sz w:val="24"/>
          <w:szCs w:val="24"/>
        </w:rPr>
        <w:t>。</w:t>
      </w:r>
    </w:p>
    <w:p w14:paraId="6A0CD4E9"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2</w:t>
      </w:r>
      <w:r>
        <w:rPr>
          <w:rFonts w:ascii="仿宋_GB2312" w:eastAsia="仿宋_GB2312" w:hAnsi="宋体" w:hint="eastAsia"/>
          <w:b/>
          <w:sz w:val="24"/>
          <w:szCs w:val="24"/>
        </w:rPr>
        <w:t>）理财产品份额</w:t>
      </w:r>
      <w:r>
        <w:rPr>
          <w:rFonts w:ascii="仿宋_GB2312" w:eastAsia="仿宋_GB2312" w:hAnsi="宋体" w:hint="eastAsia"/>
          <w:b/>
          <w:sz w:val="24"/>
          <w:szCs w:val="24"/>
        </w:rPr>
        <w:t>/</w:t>
      </w:r>
      <w:r>
        <w:rPr>
          <w:rFonts w:ascii="仿宋_GB2312" w:eastAsia="仿宋_GB2312" w:hAnsi="宋体" w:hint="eastAsia"/>
          <w:b/>
          <w:sz w:val="24"/>
          <w:szCs w:val="24"/>
        </w:rPr>
        <w:t>产品份额：</w:t>
      </w:r>
      <w:r>
        <w:rPr>
          <w:rFonts w:ascii="仿宋_GB2312" w:eastAsia="仿宋_GB2312" w:hAnsi="宋体" w:hint="eastAsia"/>
          <w:sz w:val="24"/>
          <w:szCs w:val="24"/>
        </w:rPr>
        <w:t>指投资者持有本理财产品的单位数额。投资</w:t>
      </w:r>
      <w:r>
        <w:rPr>
          <w:rFonts w:ascii="仿宋_GB2312" w:eastAsia="仿宋_GB2312" w:hAnsi="宋体" w:hint="eastAsia"/>
          <w:sz w:val="24"/>
          <w:szCs w:val="24"/>
        </w:rPr>
        <w:t>者基于其所持有的理财产品单位数额享有理财产品利益、承担理财产品风险。</w:t>
      </w:r>
    </w:p>
    <w:p w14:paraId="0950E4A9" w14:textId="77777777" w:rsidR="003E7F78" w:rsidRDefault="00741AB5">
      <w:pPr>
        <w:autoSpaceDE w:val="0"/>
        <w:autoSpaceDN w:val="0"/>
        <w:adjustRightInd w:val="0"/>
        <w:spacing w:line="360" w:lineRule="auto"/>
        <w:ind w:firstLineChars="200" w:firstLine="480"/>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hint="eastAsia"/>
          <w:b/>
          <w:sz w:val="24"/>
          <w:szCs w:val="24"/>
        </w:rPr>
        <w:t>（</w:t>
      </w:r>
      <w:r>
        <w:rPr>
          <w:rFonts w:ascii="仿宋_GB2312" w:eastAsia="仿宋_GB2312" w:hAnsi="宋体"/>
          <w:b/>
          <w:sz w:val="24"/>
          <w:szCs w:val="24"/>
        </w:rPr>
        <w:t>3</w:t>
      </w:r>
      <w:r>
        <w:rPr>
          <w:rFonts w:ascii="仿宋_GB2312" w:eastAsia="仿宋_GB2312" w:hAnsi="宋体" w:hint="eastAsia"/>
          <w:b/>
          <w:sz w:val="24"/>
          <w:szCs w:val="24"/>
        </w:rPr>
        <w:t>）理财产品份额类别</w:t>
      </w:r>
      <w:r>
        <w:rPr>
          <w:rFonts w:ascii="仿宋_GB2312" w:eastAsia="仿宋_GB2312" w:hAnsi="宋体"/>
          <w:b/>
          <w:sz w:val="24"/>
          <w:szCs w:val="24"/>
        </w:rPr>
        <w:t>/</w:t>
      </w:r>
      <w:r>
        <w:rPr>
          <w:rFonts w:ascii="仿宋_GB2312" w:eastAsia="仿宋_GB2312" w:hAnsi="宋体" w:hint="eastAsia"/>
          <w:b/>
          <w:sz w:val="24"/>
          <w:szCs w:val="24"/>
        </w:rPr>
        <w:t>产品</w:t>
      </w:r>
      <w:r>
        <w:rPr>
          <w:rFonts w:ascii="仿宋_GB2312" w:eastAsia="仿宋_GB2312" w:hAnsi="宋体"/>
          <w:b/>
          <w:sz w:val="24"/>
          <w:szCs w:val="24"/>
        </w:rPr>
        <w:t>份额类别：</w:t>
      </w:r>
      <w:r>
        <w:rPr>
          <w:rFonts w:ascii="仿宋_GB2312" w:eastAsia="仿宋_GB2312" w:hAnsi="宋体" w:hint="eastAsia"/>
          <w:sz w:val="24"/>
          <w:szCs w:val="24"/>
        </w:rPr>
        <w:t>指管理人有权</w:t>
      </w:r>
      <w:r>
        <w:rPr>
          <w:rFonts w:ascii="仿宋_GB2312" w:eastAsia="仿宋_GB2312" w:hAnsi="宋体" w:cs="宋体" w:hint="eastAsia"/>
          <w:kern w:val="0"/>
          <w:sz w:val="24"/>
          <w:szCs w:val="24"/>
        </w:rPr>
        <w:t>根据投资者购买理财产品的金额、适合</w:t>
      </w:r>
      <w:r>
        <w:rPr>
          <w:rFonts w:ascii="仿宋_GB2312" w:eastAsia="仿宋_GB2312" w:hAnsi="宋体" w:cs="宋体"/>
          <w:kern w:val="0"/>
          <w:sz w:val="24"/>
          <w:szCs w:val="24"/>
        </w:rPr>
        <w:t>的投资者</w:t>
      </w:r>
      <w:r>
        <w:rPr>
          <w:rFonts w:ascii="仿宋_GB2312" w:eastAsia="仿宋_GB2312" w:hAnsi="宋体" w:cs="宋体" w:hint="eastAsia"/>
          <w:kern w:val="0"/>
          <w:sz w:val="24"/>
          <w:szCs w:val="24"/>
        </w:rPr>
        <w:t>、代销机构等因素，对投资者所持有的理财产品份额设置不同的理财产品份额类别，产品份额类别为本产品项下某一类产品份额。</w:t>
      </w:r>
    </w:p>
    <w:p w14:paraId="7F60DE17" w14:textId="77777777" w:rsidR="003E7F78" w:rsidRDefault="00741AB5">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cs="宋体" w:hint="eastAsia"/>
          <w:kern w:val="0"/>
          <w:sz w:val="24"/>
          <w:szCs w:val="24"/>
        </w:rPr>
        <w:t>★</w:t>
      </w:r>
      <w:r>
        <w:rPr>
          <w:rFonts w:ascii="仿宋_GB2312" w:eastAsia="仿宋_GB2312" w:hAnsi="宋体" w:hint="eastAsia"/>
          <w:b/>
          <w:sz w:val="24"/>
          <w:szCs w:val="24"/>
        </w:rPr>
        <w:t>（</w:t>
      </w:r>
      <w:r>
        <w:rPr>
          <w:rFonts w:ascii="仿宋_GB2312" w:eastAsia="仿宋_GB2312" w:hAnsi="宋体"/>
          <w:b/>
          <w:sz w:val="24"/>
          <w:szCs w:val="24"/>
        </w:rPr>
        <w:t>4</w:t>
      </w:r>
      <w:r>
        <w:rPr>
          <w:rFonts w:ascii="仿宋_GB2312" w:eastAsia="仿宋_GB2312" w:hAnsi="宋体" w:hint="eastAsia"/>
          <w:b/>
          <w:sz w:val="24"/>
          <w:szCs w:val="24"/>
        </w:rPr>
        <w:t>）产品销售名称</w:t>
      </w:r>
      <w:r>
        <w:rPr>
          <w:rFonts w:ascii="仿宋_GB2312" w:eastAsia="仿宋_GB2312" w:hAnsi="宋体"/>
          <w:b/>
          <w:sz w:val="24"/>
          <w:szCs w:val="24"/>
        </w:rPr>
        <w:t>：</w:t>
      </w:r>
      <w:r>
        <w:rPr>
          <w:rFonts w:ascii="仿宋_GB2312" w:eastAsia="仿宋_GB2312" w:hAnsi="宋体" w:hint="eastAsia"/>
          <w:sz w:val="24"/>
          <w:szCs w:val="24"/>
        </w:rPr>
        <w:t>指本</w:t>
      </w:r>
      <w:r>
        <w:rPr>
          <w:rFonts w:ascii="仿宋_GB2312" w:eastAsia="仿宋_GB2312" w:hAnsi="宋体"/>
          <w:sz w:val="24"/>
          <w:szCs w:val="24"/>
        </w:rPr>
        <w:t>理财产品可能存在不同产品份额类别，管理人在理财产品销售管理过程中</w:t>
      </w:r>
      <w:r>
        <w:rPr>
          <w:rFonts w:ascii="仿宋_GB2312" w:eastAsia="仿宋_GB2312" w:hAnsi="宋体" w:hint="eastAsia"/>
          <w:sz w:val="24"/>
          <w:szCs w:val="24"/>
        </w:rPr>
        <w:t>为区分</w:t>
      </w:r>
      <w:r>
        <w:rPr>
          <w:rFonts w:ascii="仿宋_GB2312" w:eastAsia="仿宋_GB2312" w:hAnsi="宋体"/>
          <w:sz w:val="24"/>
          <w:szCs w:val="24"/>
        </w:rPr>
        <w:t>不同产品份额类别，</w:t>
      </w:r>
      <w:r>
        <w:rPr>
          <w:rFonts w:ascii="仿宋_GB2312" w:eastAsia="仿宋_GB2312" w:hAnsi="宋体" w:hint="eastAsia"/>
          <w:sz w:val="24"/>
          <w:szCs w:val="24"/>
        </w:rPr>
        <w:t>在</w:t>
      </w:r>
      <w:r>
        <w:rPr>
          <w:rFonts w:ascii="仿宋_GB2312" w:eastAsia="仿宋_GB2312" w:hAnsi="宋体"/>
          <w:sz w:val="24"/>
          <w:szCs w:val="24"/>
        </w:rPr>
        <w:t>同一理财产品</w:t>
      </w:r>
      <w:r>
        <w:rPr>
          <w:rFonts w:ascii="仿宋_GB2312" w:eastAsia="仿宋_GB2312" w:hAnsi="宋体" w:hint="eastAsia"/>
          <w:sz w:val="24"/>
          <w:szCs w:val="24"/>
        </w:rPr>
        <w:t>名称</w:t>
      </w:r>
      <w:r>
        <w:rPr>
          <w:rFonts w:ascii="仿宋_GB2312" w:eastAsia="仿宋_GB2312" w:hAnsi="宋体"/>
          <w:sz w:val="24"/>
          <w:szCs w:val="24"/>
        </w:rPr>
        <w:t>下设置的产品销售名称。</w:t>
      </w:r>
    </w:p>
    <w:p w14:paraId="4235091F" w14:textId="77777777" w:rsidR="003E7F78" w:rsidRDefault="00741AB5">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cs="宋体" w:hint="eastAsia"/>
          <w:kern w:val="0"/>
          <w:sz w:val="24"/>
          <w:szCs w:val="24"/>
        </w:rPr>
        <w:t>★</w:t>
      </w:r>
      <w:r>
        <w:rPr>
          <w:rFonts w:ascii="仿宋_GB2312" w:eastAsia="仿宋_GB2312" w:hAnsi="宋体" w:hint="eastAsia"/>
          <w:b/>
          <w:sz w:val="24"/>
          <w:szCs w:val="24"/>
        </w:rPr>
        <w:t>（</w:t>
      </w:r>
      <w:r>
        <w:rPr>
          <w:rFonts w:ascii="仿宋_GB2312" w:eastAsia="仿宋_GB2312" w:hAnsi="宋体"/>
          <w:b/>
          <w:sz w:val="24"/>
          <w:szCs w:val="24"/>
        </w:rPr>
        <w:t>5</w:t>
      </w:r>
      <w:r>
        <w:rPr>
          <w:rFonts w:ascii="仿宋_GB2312" w:eastAsia="仿宋_GB2312" w:hAnsi="宋体" w:hint="eastAsia"/>
          <w:b/>
          <w:sz w:val="24"/>
          <w:szCs w:val="24"/>
        </w:rPr>
        <w:t>）产品销售代码</w:t>
      </w:r>
      <w:r>
        <w:rPr>
          <w:rFonts w:ascii="仿宋_GB2312" w:eastAsia="仿宋_GB2312" w:hAnsi="宋体"/>
          <w:b/>
          <w:sz w:val="24"/>
          <w:szCs w:val="24"/>
        </w:rPr>
        <w:t>：</w:t>
      </w:r>
      <w:r>
        <w:rPr>
          <w:rFonts w:ascii="仿宋_GB2312" w:eastAsia="仿宋_GB2312" w:hAnsi="宋体" w:hint="eastAsia"/>
          <w:sz w:val="24"/>
          <w:szCs w:val="24"/>
        </w:rPr>
        <w:t>指本</w:t>
      </w:r>
      <w:r>
        <w:rPr>
          <w:rFonts w:ascii="仿宋_GB2312" w:eastAsia="仿宋_GB2312" w:hAnsi="宋体"/>
          <w:sz w:val="24"/>
          <w:szCs w:val="24"/>
        </w:rPr>
        <w:t>理财产品可能存在不同产品份额类别，管理人在理财产品销售管理过程中</w:t>
      </w:r>
      <w:r>
        <w:rPr>
          <w:rFonts w:ascii="仿宋_GB2312" w:eastAsia="仿宋_GB2312" w:hAnsi="宋体" w:hint="eastAsia"/>
          <w:sz w:val="24"/>
          <w:szCs w:val="24"/>
        </w:rPr>
        <w:t>为区分</w:t>
      </w:r>
      <w:r>
        <w:rPr>
          <w:rFonts w:ascii="仿宋_GB2312" w:eastAsia="仿宋_GB2312" w:hAnsi="宋体"/>
          <w:sz w:val="24"/>
          <w:szCs w:val="24"/>
        </w:rPr>
        <w:t>不同产品份额类别，</w:t>
      </w:r>
      <w:r>
        <w:rPr>
          <w:rFonts w:ascii="仿宋_GB2312" w:eastAsia="仿宋_GB2312" w:hAnsi="宋体" w:hint="eastAsia"/>
          <w:sz w:val="24"/>
          <w:szCs w:val="24"/>
        </w:rPr>
        <w:t>在</w:t>
      </w:r>
      <w:r>
        <w:rPr>
          <w:rFonts w:ascii="仿宋_GB2312" w:eastAsia="仿宋_GB2312" w:hAnsi="宋体"/>
          <w:sz w:val="24"/>
          <w:szCs w:val="24"/>
        </w:rPr>
        <w:t>同一</w:t>
      </w:r>
      <w:r>
        <w:rPr>
          <w:rFonts w:ascii="仿宋_GB2312" w:eastAsia="仿宋_GB2312" w:hint="eastAsia"/>
          <w:sz w:val="24"/>
          <w:szCs w:val="24"/>
        </w:rPr>
        <w:t>理财信息登记系统产品登记编码</w:t>
      </w:r>
      <w:r>
        <w:rPr>
          <w:rFonts w:ascii="仿宋_GB2312" w:eastAsia="仿宋_GB2312" w:hAnsi="宋体" w:hint="eastAsia"/>
          <w:sz w:val="24"/>
          <w:szCs w:val="24"/>
        </w:rPr>
        <w:t>项</w:t>
      </w:r>
      <w:r>
        <w:rPr>
          <w:rFonts w:ascii="仿宋_GB2312" w:eastAsia="仿宋_GB2312" w:hAnsi="宋体"/>
          <w:sz w:val="24"/>
          <w:szCs w:val="24"/>
        </w:rPr>
        <w:t>下设置的</w:t>
      </w:r>
      <w:r>
        <w:rPr>
          <w:rFonts w:ascii="仿宋_GB2312" w:eastAsia="仿宋_GB2312" w:hAnsi="宋体" w:hint="eastAsia"/>
          <w:sz w:val="24"/>
          <w:szCs w:val="24"/>
        </w:rPr>
        <w:t>内部识别码</w:t>
      </w:r>
      <w:r>
        <w:rPr>
          <w:rFonts w:ascii="仿宋_GB2312" w:eastAsia="仿宋_GB2312" w:hAnsi="宋体"/>
          <w:sz w:val="24"/>
          <w:szCs w:val="24"/>
        </w:rPr>
        <w:t>。</w:t>
      </w:r>
    </w:p>
    <w:p w14:paraId="07ABD257" w14:textId="77777777" w:rsidR="003E7F78" w:rsidRDefault="00741AB5">
      <w:pPr>
        <w:pStyle w:val="Default"/>
        <w:widowControl/>
        <w:spacing w:line="360" w:lineRule="auto"/>
        <w:ind w:firstLineChars="200" w:firstLine="482"/>
        <w:jc w:val="both"/>
        <w:rPr>
          <w:rFonts w:ascii="仿宋_GB2312" w:eastAsia="仿宋_GB2312" w:hAnsi="宋体"/>
        </w:rPr>
      </w:pPr>
      <w:r>
        <w:rPr>
          <w:rFonts w:ascii="仿宋_GB2312" w:eastAsia="仿宋_GB2312" w:hAnsi="宋体" w:hint="eastAsia"/>
          <w:b/>
        </w:rPr>
        <w:t>（</w:t>
      </w:r>
      <w:r>
        <w:rPr>
          <w:rFonts w:ascii="仿宋_GB2312" w:eastAsia="仿宋_GB2312" w:hAnsi="宋体" w:hint="eastAsia"/>
          <w:b/>
        </w:rPr>
        <w:t>6</w:t>
      </w:r>
      <w:r>
        <w:rPr>
          <w:rFonts w:ascii="仿宋_GB2312" w:eastAsia="仿宋_GB2312" w:hAnsi="宋体" w:hint="eastAsia"/>
          <w:b/>
        </w:rPr>
        <w:t>）理财产品资产净值</w:t>
      </w:r>
      <w:r>
        <w:rPr>
          <w:rFonts w:ascii="仿宋_GB2312" w:eastAsia="仿宋_GB2312" w:hAnsi="宋体" w:hint="eastAsia"/>
          <w:b/>
        </w:rPr>
        <w:t>/</w:t>
      </w:r>
      <w:r>
        <w:rPr>
          <w:rFonts w:ascii="仿宋_GB2312" w:eastAsia="仿宋_GB2312" w:hAnsi="宋体" w:hint="eastAsia"/>
          <w:b/>
        </w:rPr>
        <w:t>产品资产净值：</w:t>
      </w:r>
      <w:bookmarkStart w:id="4" w:name="_Hlk5024438"/>
      <w:r>
        <w:rPr>
          <w:rFonts w:ascii="仿宋_GB2312" w:eastAsia="仿宋_GB2312" w:hAnsi="宋体" w:hint="eastAsia"/>
        </w:rPr>
        <w:t>产品资产净值</w:t>
      </w:r>
      <w:r>
        <w:rPr>
          <w:rFonts w:ascii="仿宋_GB2312" w:eastAsia="仿宋_GB2312" w:hAnsi="宋体"/>
        </w:rPr>
        <w:t>=</w:t>
      </w:r>
      <w:r>
        <w:rPr>
          <w:rFonts w:ascii="仿宋_GB2312" w:eastAsia="仿宋_GB2312" w:hAnsi="宋体"/>
        </w:rPr>
        <w:t>产品资产总值</w:t>
      </w:r>
      <w:r>
        <w:rPr>
          <w:rFonts w:ascii="仿宋_GB2312" w:eastAsia="仿宋_GB2312" w:hAnsi="宋体"/>
        </w:rPr>
        <w:t>-</w:t>
      </w:r>
      <w:r>
        <w:rPr>
          <w:rFonts w:ascii="仿宋_GB2312" w:eastAsia="仿宋_GB2312" w:hAnsi="宋体"/>
        </w:rPr>
        <w:t>产品负债总值。产品资产总值是指产品拥有的各类有价证券、银行存款、应收款项及其他资产的价值总和。产品负债总值是指产品运作及融资时形成的负债价值总和，包括融资资金本息、应付各项费用（包括销售手续费、固定管理费、托管费</w:t>
      </w:r>
      <w:r>
        <w:rPr>
          <w:rFonts w:ascii="仿宋_GB2312" w:eastAsia="仿宋_GB2312" w:hAnsi="宋体" w:hint="eastAsia"/>
        </w:rPr>
        <w:t>以及</w:t>
      </w:r>
      <w:r>
        <w:rPr>
          <w:rFonts w:ascii="仿宋_GB2312" w:eastAsia="仿宋_GB2312" w:hAnsi="宋体"/>
        </w:rPr>
        <w:t>其他费用等）、应付税金及其他应付款项等。</w:t>
      </w:r>
    </w:p>
    <w:bookmarkEnd w:id="4"/>
    <w:p w14:paraId="65B1128B"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7</w:t>
      </w:r>
      <w:r>
        <w:rPr>
          <w:rFonts w:ascii="仿宋_GB2312" w:eastAsia="仿宋_GB2312" w:hAnsi="宋体" w:hint="eastAsia"/>
          <w:b/>
          <w:sz w:val="24"/>
          <w:szCs w:val="24"/>
        </w:rPr>
        <w:t>）理财产品单位净值</w:t>
      </w:r>
      <w:r>
        <w:rPr>
          <w:rFonts w:ascii="仿宋_GB2312" w:eastAsia="仿宋_GB2312" w:hAnsi="宋体" w:hint="eastAsia"/>
          <w:b/>
          <w:sz w:val="24"/>
          <w:szCs w:val="24"/>
        </w:rPr>
        <w:t>/</w:t>
      </w:r>
      <w:r>
        <w:rPr>
          <w:rFonts w:ascii="仿宋_GB2312" w:eastAsia="仿宋_GB2312" w:hAnsi="宋体" w:hint="eastAsia"/>
          <w:b/>
          <w:sz w:val="24"/>
          <w:szCs w:val="24"/>
        </w:rPr>
        <w:t>产品单位净值：</w:t>
      </w:r>
      <w:r>
        <w:rPr>
          <w:rFonts w:ascii="仿宋_GB2312" w:eastAsia="仿宋_GB2312" w:hAnsi="宋体" w:hint="eastAsia"/>
          <w:sz w:val="24"/>
          <w:szCs w:val="24"/>
        </w:rPr>
        <w:t>指理财产品份额的单位净值，即每</w:t>
      </w:r>
      <w:r>
        <w:rPr>
          <w:rFonts w:ascii="仿宋_GB2312" w:eastAsia="仿宋_GB2312" w:hAnsi="宋体"/>
          <w:sz w:val="24"/>
          <w:szCs w:val="24"/>
        </w:rPr>
        <w:t>1</w:t>
      </w:r>
      <w:r>
        <w:rPr>
          <w:rFonts w:ascii="仿宋_GB2312" w:eastAsia="仿宋_GB2312" w:hAnsi="宋体"/>
          <w:sz w:val="24"/>
          <w:szCs w:val="24"/>
        </w:rPr>
        <w:t>份理财</w:t>
      </w:r>
      <w:r>
        <w:rPr>
          <w:rFonts w:ascii="仿宋_GB2312" w:eastAsia="仿宋_GB2312" w:hAnsi="宋体" w:hint="eastAsia"/>
          <w:sz w:val="24"/>
          <w:szCs w:val="24"/>
        </w:rPr>
        <w:t>产品份额以人民币计价的价格。</w:t>
      </w:r>
      <w:r>
        <w:rPr>
          <w:rFonts w:ascii="仿宋_GB2312" w:eastAsia="仿宋_GB2312" w:hAnsi="宋体"/>
          <w:sz w:val="24"/>
          <w:szCs w:val="24"/>
        </w:rPr>
        <w:t>理财产品单位净值</w:t>
      </w:r>
      <w:r>
        <w:rPr>
          <w:rFonts w:ascii="仿宋_GB2312" w:eastAsia="仿宋_GB2312" w:hAnsi="宋体"/>
          <w:sz w:val="24"/>
          <w:szCs w:val="24"/>
        </w:rPr>
        <w:t>=</w:t>
      </w:r>
      <w:r>
        <w:rPr>
          <w:rFonts w:ascii="仿宋_GB2312" w:eastAsia="仿宋_GB2312" w:hAnsi="宋体"/>
          <w:sz w:val="24"/>
          <w:szCs w:val="24"/>
        </w:rPr>
        <w:t>当日产品资产净值</w:t>
      </w:r>
      <w:r>
        <w:rPr>
          <w:rFonts w:ascii="仿宋_GB2312" w:eastAsia="仿宋_GB2312" w:hAnsi="宋体"/>
          <w:sz w:val="24"/>
          <w:szCs w:val="24"/>
        </w:rPr>
        <w:t>/</w:t>
      </w:r>
      <w:r>
        <w:rPr>
          <w:rFonts w:ascii="仿宋_GB2312" w:eastAsia="仿宋_GB2312" w:hAnsi="宋体"/>
          <w:sz w:val="24"/>
          <w:szCs w:val="24"/>
        </w:rPr>
        <w:t>当日产品份额</w:t>
      </w:r>
      <w:r>
        <w:rPr>
          <w:rFonts w:ascii="仿宋_GB2312" w:eastAsia="仿宋_GB2312" w:hAnsi="宋体" w:hint="eastAsia"/>
          <w:sz w:val="24"/>
          <w:szCs w:val="24"/>
        </w:rPr>
        <w:t>总额</w:t>
      </w:r>
      <w:r>
        <w:rPr>
          <w:rFonts w:ascii="仿宋_GB2312" w:eastAsia="仿宋_GB2312" w:hAnsi="宋体"/>
          <w:sz w:val="24"/>
          <w:szCs w:val="24"/>
        </w:rPr>
        <w:t>，单位净值保留至小数点后四位（</w:t>
      </w:r>
      <w:r>
        <w:rPr>
          <w:rFonts w:ascii="仿宋_GB2312" w:eastAsia="仿宋_GB2312" w:hAnsi="宋体" w:hint="eastAsia"/>
          <w:sz w:val="24"/>
          <w:szCs w:val="24"/>
        </w:rPr>
        <w:t>舍位法），投资者按该理财产品单位净值进行理财产品申购、赎回和获得产品终止时的分配。</w:t>
      </w:r>
    </w:p>
    <w:p w14:paraId="55214E83"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b/>
          <w:sz w:val="24"/>
          <w:szCs w:val="24"/>
        </w:rPr>
        <w:t>（</w:t>
      </w:r>
      <w:r>
        <w:rPr>
          <w:rFonts w:ascii="仿宋_GB2312" w:eastAsia="仿宋_GB2312" w:hAnsi="宋体" w:hint="eastAsia"/>
          <w:b/>
          <w:sz w:val="24"/>
          <w:szCs w:val="24"/>
        </w:rPr>
        <w:t>8</w:t>
      </w:r>
      <w:r>
        <w:rPr>
          <w:rFonts w:ascii="仿宋_GB2312" w:eastAsia="仿宋_GB2312" w:hAnsi="宋体"/>
          <w:b/>
          <w:sz w:val="24"/>
          <w:szCs w:val="24"/>
        </w:rPr>
        <w:t>）理财产品单位累计净值</w:t>
      </w:r>
      <w:r>
        <w:rPr>
          <w:rFonts w:ascii="仿宋_GB2312" w:eastAsia="仿宋_GB2312" w:hAnsi="宋体"/>
          <w:b/>
          <w:sz w:val="24"/>
          <w:szCs w:val="24"/>
        </w:rPr>
        <w:t>/</w:t>
      </w:r>
      <w:r>
        <w:rPr>
          <w:rFonts w:ascii="仿宋_GB2312" w:eastAsia="仿宋_GB2312" w:hAnsi="宋体"/>
          <w:b/>
          <w:sz w:val="24"/>
          <w:szCs w:val="24"/>
        </w:rPr>
        <w:t>产品单位累计净值：</w:t>
      </w:r>
      <w:r>
        <w:rPr>
          <w:rFonts w:ascii="仿宋_GB2312" w:eastAsia="仿宋_GB2312" w:hAnsi="宋体"/>
          <w:sz w:val="24"/>
          <w:szCs w:val="24"/>
        </w:rPr>
        <w:t>指理财产品单位净值累加每</w:t>
      </w:r>
      <w:r>
        <w:rPr>
          <w:rFonts w:ascii="仿宋_GB2312" w:eastAsia="仿宋_GB2312" w:hAnsi="宋体"/>
          <w:sz w:val="24"/>
          <w:szCs w:val="24"/>
        </w:rPr>
        <w:t>1</w:t>
      </w:r>
      <w:r>
        <w:rPr>
          <w:rFonts w:ascii="仿宋_GB2312" w:eastAsia="仿宋_GB2312" w:hAnsi="宋体"/>
          <w:sz w:val="24"/>
          <w:szCs w:val="24"/>
        </w:rPr>
        <w:t>份理财产品份额自产品成立以来的分红除权的金额（若有），所得的每</w:t>
      </w:r>
      <w:r>
        <w:rPr>
          <w:rFonts w:ascii="仿宋_GB2312" w:eastAsia="仿宋_GB2312" w:hAnsi="宋体"/>
          <w:sz w:val="24"/>
          <w:szCs w:val="24"/>
        </w:rPr>
        <w:t>1</w:t>
      </w:r>
      <w:r>
        <w:rPr>
          <w:rFonts w:ascii="仿宋_GB2312" w:eastAsia="仿宋_GB2312" w:hAnsi="宋体"/>
          <w:sz w:val="24"/>
          <w:szCs w:val="24"/>
        </w:rPr>
        <w:t>份理财产品份额价值。</w:t>
      </w:r>
    </w:p>
    <w:p w14:paraId="79CDE6A1"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9</w:t>
      </w:r>
      <w:r>
        <w:rPr>
          <w:rFonts w:ascii="仿宋_GB2312" w:eastAsia="仿宋_GB2312" w:hAnsi="宋体" w:hint="eastAsia"/>
          <w:b/>
          <w:sz w:val="24"/>
          <w:szCs w:val="24"/>
        </w:rPr>
        <w:t>）理财产品估值：</w:t>
      </w:r>
      <w:r>
        <w:rPr>
          <w:rFonts w:ascii="仿宋_GB2312" w:eastAsia="仿宋_GB2312" w:hAnsi="宋体" w:hint="eastAsia"/>
          <w:sz w:val="24"/>
          <w:szCs w:val="24"/>
        </w:rPr>
        <w:t>指计算评估理财产品资产以确定理财产品单位净值的过程。</w:t>
      </w:r>
    </w:p>
    <w:p w14:paraId="6B15B608"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10</w:t>
      </w:r>
      <w:r>
        <w:rPr>
          <w:rFonts w:ascii="仿宋_GB2312" w:eastAsia="仿宋_GB2312" w:hAnsi="宋体" w:hint="eastAsia"/>
          <w:b/>
          <w:sz w:val="24"/>
          <w:szCs w:val="24"/>
        </w:rPr>
        <w:t>）业</w:t>
      </w:r>
      <w:r>
        <w:rPr>
          <w:rFonts w:ascii="仿宋_GB2312" w:eastAsia="仿宋_GB2312" w:hAnsi="宋体" w:hint="eastAsia"/>
          <w:b/>
          <w:sz w:val="24"/>
          <w:szCs w:val="24"/>
        </w:rPr>
        <w:t>绩比较基准</w:t>
      </w:r>
      <w:r>
        <w:rPr>
          <w:rFonts w:ascii="仿宋_GB2312" w:eastAsia="仿宋_GB2312" w:hAnsi="宋体" w:hint="eastAsia"/>
          <w:sz w:val="24"/>
          <w:szCs w:val="24"/>
        </w:rPr>
        <w:t>：指管理人基于过往投资经验及对产品存续期投资市场波动的预判而对本产品所设定的投资目标，业绩比较基准不代表本产品的未来表现和实际收益，或管理人对本产品进行的收益承诺。</w:t>
      </w:r>
    </w:p>
    <w:p w14:paraId="3AF54160"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11</w:t>
      </w:r>
      <w:r>
        <w:rPr>
          <w:rFonts w:ascii="仿宋_GB2312" w:eastAsia="仿宋_GB2312" w:hAnsi="宋体" w:hint="eastAsia"/>
          <w:b/>
          <w:sz w:val="24"/>
          <w:szCs w:val="24"/>
        </w:rPr>
        <w:t>）认购：</w:t>
      </w:r>
      <w:r>
        <w:rPr>
          <w:rFonts w:ascii="仿宋_GB2312" w:eastAsia="仿宋_GB2312" w:hAnsi="宋体" w:hint="eastAsia"/>
          <w:sz w:val="24"/>
          <w:szCs w:val="24"/>
        </w:rPr>
        <w:t>指在理财产品的募集期内，投资者申请购买理财产品份额的行为。</w:t>
      </w:r>
    </w:p>
    <w:p w14:paraId="6DD9CC13"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12</w:t>
      </w:r>
      <w:r>
        <w:rPr>
          <w:rFonts w:ascii="仿宋_GB2312" w:eastAsia="仿宋_GB2312" w:hAnsi="宋体" w:hint="eastAsia"/>
          <w:b/>
          <w:sz w:val="24"/>
          <w:szCs w:val="24"/>
        </w:rPr>
        <w:t>）申购</w:t>
      </w:r>
      <w:r>
        <w:rPr>
          <w:rFonts w:ascii="仿宋_GB2312" w:eastAsia="仿宋_GB2312" w:hAnsi="宋体" w:hint="eastAsia"/>
          <w:b/>
          <w:sz w:val="24"/>
          <w:szCs w:val="24"/>
        </w:rPr>
        <w:t>/</w:t>
      </w:r>
      <w:r>
        <w:rPr>
          <w:rFonts w:ascii="仿宋_GB2312" w:eastAsia="仿宋_GB2312" w:hAnsi="宋体" w:hint="eastAsia"/>
          <w:b/>
          <w:sz w:val="24"/>
          <w:szCs w:val="24"/>
        </w:rPr>
        <w:t>赎回：</w:t>
      </w:r>
      <w:r>
        <w:rPr>
          <w:rFonts w:ascii="仿宋_GB2312" w:eastAsia="仿宋_GB2312" w:hAnsi="宋体" w:hint="eastAsia"/>
          <w:sz w:val="24"/>
          <w:szCs w:val="24"/>
        </w:rPr>
        <w:t>指在理财产品的产品开放期内，投资者申请购买或卖出理财产品份额的行为。</w:t>
      </w:r>
    </w:p>
    <w:p w14:paraId="5776EAB0"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13</w:t>
      </w:r>
      <w:r>
        <w:rPr>
          <w:rFonts w:ascii="仿宋_GB2312" w:eastAsia="仿宋_GB2312" w:hAnsi="宋体" w:hint="eastAsia"/>
          <w:b/>
          <w:sz w:val="24"/>
          <w:szCs w:val="24"/>
        </w:rPr>
        <w:t>）大额赎回：</w:t>
      </w:r>
      <w:r>
        <w:rPr>
          <w:rFonts w:ascii="仿宋_GB2312" w:eastAsia="仿宋_GB2312" w:hAnsi="宋体" w:hint="eastAsia"/>
          <w:sz w:val="24"/>
          <w:szCs w:val="24"/>
        </w:rPr>
        <w:t>指在本理财产品</w:t>
      </w:r>
      <w:r>
        <w:rPr>
          <w:rFonts w:ascii="仿宋_GB2312" w:eastAsia="仿宋_GB2312" w:hint="eastAsia"/>
          <w:sz w:val="24"/>
        </w:rPr>
        <w:t>存续期间任一工作日</w:t>
      </w:r>
      <w:r>
        <w:rPr>
          <w:rFonts w:ascii="仿宋_GB2312" w:eastAsia="仿宋_GB2312" w:hAnsi="宋体" w:hint="eastAsia"/>
          <w:sz w:val="24"/>
          <w:szCs w:val="24"/>
        </w:rPr>
        <w:t>，</w:t>
      </w:r>
      <w:r>
        <w:rPr>
          <w:rFonts w:ascii="仿宋_GB2312" w:eastAsia="仿宋_GB2312" w:hint="eastAsia"/>
          <w:sz w:val="24"/>
        </w:rPr>
        <w:t>若产品</w:t>
      </w:r>
      <w:r>
        <w:rPr>
          <w:rFonts w:ascii="仿宋_GB2312" w:eastAsia="仿宋_GB2312" w:hAnsi="宋体" w:hint="eastAsia"/>
          <w:sz w:val="24"/>
          <w:szCs w:val="24"/>
        </w:rPr>
        <w:t>的净赎回总份额超过</w:t>
      </w:r>
      <w:r>
        <w:rPr>
          <w:rFonts w:ascii="仿宋_GB2312" w:eastAsia="仿宋_GB2312" w:hAnsi="Calibri" w:hint="eastAsia"/>
          <w:sz w:val="24"/>
        </w:rPr>
        <w:t>前一个工作日</w:t>
      </w:r>
      <w:r>
        <w:rPr>
          <w:rFonts w:ascii="仿宋_GB2312" w:eastAsia="仿宋_GB2312" w:hint="eastAsia"/>
          <w:sz w:val="24"/>
        </w:rPr>
        <w:t>产品</w:t>
      </w:r>
      <w:r>
        <w:rPr>
          <w:rFonts w:ascii="仿宋_GB2312" w:eastAsia="仿宋_GB2312" w:hAnsi="Calibri" w:hint="eastAsia"/>
          <w:sz w:val="24"/>
        </w:rPr>
        <w:t>总</w:t>
      </w:r>
      <w:r>
        <w:rPr>
          <w:rFonts w:ascii="仿宋_GB2312" w:eastAsia="仿宋_GB2312" w:hint="eastAsia"/>
          <w:sz w:val="24"/>
        </w:rPr>
        <w:t>份额的</w:t>
      </w:r>
      <w:r>
        <w:rPr>
          <w:rFonts w:ascii="仿宋_GB2312" w:eastAsia="仿宋_GB2312" w:hint="eastAsia"/>
          <w:sz w:val="24"/>
        </w:rPr>
        <w:t>10%</w:t>
      </w:r>
      <w:r>
        <w:rPr>
          <w:rFonts w:ascii="仿宋_GB2312" w:eastAsia="仿宋_GB2312" w:hAnsi="宋体" w:cs="Arial" w:hint="eastAsia"/>
          <w:sz w:val="24"/>
          <w:szCs w:val="24"/>
        </w:rPr>
        <w:t>，即为大额赎回</w:t>
      </w:r>
      <w:r>
        <w:rPr>
          <w:rFonts w:ascii="仿宋_GB2312" w:eastAsia="仿宋_GB2312" w:hint="eastAsia"/>
          <w:sz w:val="24"/>
          <w:szCs w:val="24"/>
        </w:rPr>
        <w:t>。</w:t>
      </w:r>
    </w:p>
    <w:p w14:paraId="08165076"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14</w:t>
      </w:r>
      <w:r>
        <w:rPr>
          <w:rFonts w:ascii="仿宋_GB2312" w:eastAsia="仿宋_GB2312" w:hAnsi="宋体" w:hint="eastAsia"/>
          <w:b/>
          <w:sz w:val="24"/>
          <w:szCs w:val="24"/>
        </w:rPr>
        <w:t>）固定收益类理财产品：</w:t>
      </w:r>
      <w:r>
        <w:rPr>
          <w:rFonts w:ascii="仿宋_GB2312" w:eastAsia="仿宋_GB2312" w:hAnsi="宋体" w:hint="eastAsia"/>
          <w:sz w:val="24"/>
          <w:szCs w:val="24"/>
        </w:rPr>
        <w:t>投资于存款、债券等债</w:t>
      </w:r>
      <w:r>
        <w:rPr>
          <w:rFonts w:ascii="仿宋_GB2312" w:eastAsia="仿宋_GB2312" w:hAnsi="宋体" w:hint="eastAsia"/>
          <w:sz w:val="24"/>
          <w:szCs w:val="24"/>
        </w:rPr>
        <w:t>权类资产的比例不低于</w:t>
      </w:r>
      <w:r>
        <w:rPr>
          <w:rFonts w:ascii="仿宋_GB2312" w:eastAsia="仿宋_GB2312" w:hAnsi="宋体" w:hint="eastAsia"/>
          <w:sz w:val="24"/>
          <w:szCs w:val="24"/>
        </w:rPr>
        <w:t>80%</w:t>
      </w:r>
      <w:r>
        <w:rPr>
          <w:rFonts w:ascii="仿宋_GB2312" w:eastAsia="仿宋_GB2312" w:hAnsi="宋体" w:hint="eastAsia"/>
          <w:sz w:val="24"/>
          <w:szCs w:val="24"/>
        </w:rPr>
        <w:t>的理财产品。</w:t>
      </w:r>
    </w:p>
    <w:p w14:paraId="5B196F45" w14:textId="77777777" w:rsidR="003E7F78" w:rsidRDefault="00741AB5">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4.</w:t>
      </w:r>
      <w:r>
        <w:rPr>
          <w:rFonts w:ascii="仿宋_GB2312" w:eastAsia="仿宋_GB2312" w:hAnsi="宋体" w:hint="eastAsia"/>
          <w:b/>
          <w:sz w:val="24"/>
          <w:szCs w:val="24"/>
        </w:rPr>
        <w:t>期间与日期</w:t>
      </w:r>
    </w:p>
    <w:p w14:paraId="79CE90F1"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）工作日：</w:t>
      </w:r>
      <w:r>
        <w:rPr>
          <w:rFonts w:ascii="仿宋_GB2312" w:eastAsia="仿宋_GB2312" w:hAnsi="宋体" w:hint="eastAsia"/>
          <w:sz w:val="24"/>
          <w:szCs w:val="24"/>
        </w:rPr>
        <w:t>指交易所市场（上海证券交易所和深圳证券交易所）开放的工作日。</w:t>
      </w:r>
    </w:p>
    <w:p w14:paraId="049B5674"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2</w:t>
      </w:r>
      <w:r>
        <w:rPr>
          <w:rFonts w:ascii="仿宋_GB2312" w:eastAsia="仿宋_GB2312" w:hAnsi="宋体" w:hint="eastAsia"/>
          <w:b/>
          <w:sz w:val="24"/>
          <w:szCs w:val="24"/>
        </w:rPr>
        <w:t>）募集期：</w:t>
      </w:r>
      <w:r>
        <w:rPr>
          <w:rFonts w:ascii="仿宋_GB2312" w:eastAsia="仿宋_GB2312" w:hAnsi="宋体" w:hint="eastAsia"/>
          <w:sz w:val="24"/>
          <w:szCs w:val="24"/>
        </w:rPr>
        <w:t>指理财产品成立前，理财产品管理人接受理财产品认购的时间。</w:t>
      </w:r>
      <w:bookmarkStart w:id="5" w:name="_Hlk5024806"/>
    </w:p>
    <w:bookmarkEnd w:id="5"/>
    <w:p w14:paraId="56505F01"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3</w:t>
      </w:r>
      <w:r>
        <w:rPr>
          <w:rFonts w:ascii="仿宋_GB2312" w:eastAsia="仿宋_GB2312" w:hAnsi="宋体" w:hint="eastAsia"/>
          <w:b/>
          <w:sz w:val="24"/>
          <w:szCs w:val="24"/>
        </w:rPr>
        <w:t>）产品存续期：</w:t>
      </w:r>
      <w:r>
        <w:rPr>
          <w:rFonts w:ascii="仿宋_GB2312" w:eastAsia="仿宋_GB2312" w:hAnsi="宋体" w:hint="eastAsia"/>
          <w:sz w:val="24"/>
          <w:szCs w:val="24"/>
        </w:rPr>
        <w:t>指自理财产品成立日起，至理财产品终止日的期间。</w:t>
      </w:r>
    </w:p>
    <w:p w14:paraId="64599269"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4</w:t>
      </w:r>
      <w:r>
        <w:rPr>
          <w:rFonts w:ascii="仿宋_GB2312" w:eastAsia="仿宋_GB2312" w:hAnsi="宋体" w:hint="eastAsia"/>
          <w:b/>
          <w:sz w:val="24"/>
          <w:szCs w:val="24"/>
        </w:rPr>
        <w:t>）清算期：</w:t>
      </w:r>
      <w:r>
        <w:rPr>
          <w:rFonts w:ascii="仿宋_GB2312" w:eastAsia="仿宋_GB2312" w:hAnsi="宋体" w:hint="eastAsia"/>
          <w:sz w:val="24"/>
          <w:szCs w:val="24"/>
        </w:rPr>
        <w:t>自本理财产品终止日（不含）至投资者理财本金及收益到账日（含）之间为本理财产品的清算期。清算期原则上不得超过</w:t>
      </w:r>
      <w:r>
        <w:rPr>
          <w:rFonts w:ascii="仿宋_GB2312" w:eastAsia="仿宋_GB2312" w:hAnsi="宋体"/>
          <w:sz w:val="24"/>
          <w:szCs w:val="24"/>
        </w:rPr>
        <w:t>5</w:t>
      </w:r>
      <w:r>
        <w:rPr>
          <w:rFonts w:ascii="仿宋_GB2312" w:eastAsia="仿宋_GB2312" w:hAnsi="宋体"/>
          <w:sz w:val="24"/>
          <w:szCs w:val="24"/>
        </w:rPr>
        <w:t>个工作日，清算期超过</w:t>
      </w:r>
      <w:r>
        <w:rPr>
          <w:rFonts w:ascii="仿宋_GB2312" w:eastAsia="仿宋_GB2312" w:hAnsi="宋体"/>
          <w:sz w:val="24"/>
          <w:szCs w:val="24"/>
        </w:rPr>
        <w:t>5</w:t>
      </w:r>
      <w:r>
        <w:rPr>
          <w:rFonts w:ascii="仿宋_GB2312" w:eastAsia="仿宋_GB2312" w:hAnsi="宋体"/>
          <w:sz w:val="24"/>
          <w:szCs w:val="24"/>
        </w:rPr>
        <w:t>个工作日的，理财产品终止日前，</w:t>
      </w:r>
      <w:r>
        <w:rPr>
          <w:rFonts w:ascii="仿宋_GB2312" w:eastAsia="仿宋_GB2312" w:hAnsi="宋体" w:hint="eastAsia"/>
          <w:sz w:val="24"/>
          <w:szCs w:val="24"/>
        </w:rPr>
        <w:t>管理人将提前</w:t>
      </w:r>
      <w:r>
        <w:rPr>
          <w:rFonts w:ascii="仿宋_GB2312" w:eastAsia="仿宋_GB2312" w:hAnsi="宋体" w:hint="eastAsia"/>
          <w:sz w:val="24"/>
          <w:szCs w:val="24"/>
        </w:rPr>
        <w:t>2</w:t>
      </w:r>
      <w:r>
        <w:rPr>
          <w:rFonts w:ascii="仿宋_GB2312" w:eastAsia="仿宋_GB2312" w:hAnsi="宋体" w:hint="eastAsia"/>
          <w:sz w:val="24"/>
          <w:szCs w:val="24"/>
        </w:rPr>
        <w:t>个工作日通过代销机构网站或管理人网站发布相关信息公告通知投资者。</w:t>
      </w:r>
    </w:p>
    <w:p w14:paraId="5B52B94F"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5</w:t>
      </w:r>
      <w:r>
        <w:rPr>
          <w:rFonts w:ascii="仿宋_GB2312" w:eastAsia="仿宋_GB2312" w:hAnsi="宋体" w:hint="eastAsia"/>
          <w:b/>
          <w:sz w:val="24"/>
          <w:szCs w:val="24"/>
        </w:rPr>
        <w:t>）申购</w:t>
      </w:r>
      <w:r>
        <w:rPr>
          <w:rFonts w:ascii="仿宋_GB2312" w:eastAsia="仿宋_GB2312" w:hAnsi="宋体" w:hint="eastAsia"/>
          <w:b/>
          <w:sz w:val="24"/>
          <w:szCs w:val="24"/>
        </w:rPr>
        <w:t>/</w:t>
      </w:r>
      <w:r>
        <w:rPr>
          <w:rFonts w:ascii="仿宋_GB2312" w:eastAsia="仿宋_GB2312" w:hAnsi="宋体" w:hint="eastAsia"/>
          <w:b/>
          <w:sz w:val="24"/>
          <w:szCs w:val="24"/>
        </w:rPr>
        <w:t>赎回申请日</w:t>
      </w:r>
      <w:r>
        <w:rPr>
          <w:rFonts w:ascii="仿宋_GB2312" w:eastAsia="仿宋_GB2312" w:hAnsi="宋体" w:hint="eastAsia"/>
          <w:sz w:val="24"/>
          <w:szCs w:val="24"/>
        </w:rPr>
        <w:t>：投资者在工作日</w:t>
      </w:r>
      <w:r>
        <w:rPr>
          <w:rFonts w:ascii="仿宋_GB2312" w:eastAsia="仿宋_GB2312" w:hAnsi="宋体" w:hint="eastAsia"/>
          <w:sz w:val="24"/>
          <w:szCs w:val="24"/>
        </w:rPr>
        <w:t>17:00</w:t>
      </w:r>
      <w:r>
        <w:rPr>
          <w:rFonts w:ascii="仿宋_GB2312" w:eastAsia="仿宋_GB2312" w:hAnsi="宋体" w:hint="eastAsia"/>
          <w:sz w:val="24"/>
          <w:szCs w:val="24"/>
        </w:rPr>
        <w:t>（不含）之前提出的申购</w:t>
      </w:r>
      <w:r>
        <w:rPr>
          <w:rFonts w:ascii="仿宋_GB2312" w:eastAsia="仿宋_GB2312" w:hAnsi="宋体" w:hint="eastAsia"/>
          <w:sz w:val="24"/>
          <w:szCs w:val="24"/>
        </w:rPr>
        <w:t>/</w:t>
      </w:r>
      <w:r>
        <w:rPr>
          <w:rFonts w:ascii="仿宋_GB2312" w:eastAsia="仿宋_GB2312" w:hAnsi="宋体" w:hint="eastAsia"/>
          <w:sz w:val="24"/>
          <w:szCs w:val="24"/>
        </w:rPr>
        <w:t>赎回申请，视为当日的申购</w:t>
      </w:r>
      <w:r>
        <w:rPr>
          <w:rFonts w:ascii="仿宋_GB2312" w:eastAsia="仿宋_GB2312" w:hAnsi="宋体" w:hint="eastAsia"/>
          <w:sz w:val="24"/>
          <w:szCs w:val="24"/>
        </w:rPr>
        <w:t>/</w:t>
      </w:r>
      <w:r>
        <w:rPr>
          <w:rFonts w:ascii="仿宋_GB2312" w:eastAsia="仿宋_GB2312" w:hAnsi="宋体" w:hint="eastAsia"/>
          <w:sz w:val="24"/>
          <w:szCs w:val="24"/>
        </w:rPr>
        <w:t>赎回申请，申购</w:t>
      </w:r>
      <w:r>
        <w:rPr>
          <w:rFonts w:ascii="仿宋_GB2312" w:eastAsia="仿宋_GB2312" w:hAnsi="宋体" w:hint="eastAsia"/>
          <w:sz w:val="24"/>
          <w:szCs w:val="24"/>
        </w:rPr>
        <w:t>/</w:t>
      </w:r>
      <w:r>
        <w:rPr>
          <w:rFonts w:ascii="仿宋_GB2312" w:eastAsia="仿宋_GB2312" w:hAnsi="宋体" w:hint="eastAsia"/>
          <w:sz w:val="24"/>
          <w:szCs w:val="24"/>
        </w:rPr>
        <w:t>赎回申请日为</w:t>
      </w:r>
      <w:r>
        <w:rPr>
          <w:rFonts w:ascii="仿宋_GB2312" w:eastAsia="仿宋_GB2312" w:hint="eastAsia"/>
          <w:sz w:val="24"/>
          <w:szCs w:val="24"/>
        </w:rPr>
        <w:t>提出申购</w:t>
      </w:r>
      <w:r>
        <w:rPr>
          <w:rFonts w:ascii="仿宋_GB2312" w:eastAsia="仿宋_GB2312" w:hint="eastAsia"/>
          <w:sz w:val="24"/>
          <w:szCs w:val="24"/>
        </w:rPr>
        <w:t>/</w:t>
      </w:r>
      <w:r>
        <w:rPr>
          <w:rFonts w:ascii="仿宋_GB2312" w:eastAsia="仿宋_GB2312" w:hint="eastAsia"/>
          <w:sz w:val="24"/>
          <w:szCs w:val="24"/>
        </w:rPr>
        <w:t>赎回申请</w:t>
      </w:r>
      <w:r>
        <w:rPr>
          <w:rFonts w:ascii="仿宋_GB2312" w:eastAsia="仿宋_GB2312" w:hAnsi="宋体" w:hint="eastAsia"/>
          <w:sz w:val="24"/>
          <w:szCs w:val="24"/>
        </w:rPr>
        <w:t>当日；投资者在工作日</w:t>
      </w:r>
      <w:r>
        <w:rPr>
          <w:rFonts w:ascii="仿宋_GB2312" w:eastAsia="仿宋_GB2312" w:hAnsi="宋体" w:hint="eastAsia"/>
          <w:sz w:val="24"/>
          <w:szCs w:val="24"/>
        </w:rPr>
        <w:t>17:00</w:t>
      </w:r>
      <w:r>
        <w:rPr>
          <w:rFonts w:ascii="仿宋_GB2312" w:eastAsia="仿宋_GB2312" w:hAnsi="宋体" w:hint="eastAsia"/>
          <w:sz w:val="24"/>
          <w:szCs w:val="24"/>
        </w:rPr>
        <w:t>（含）之后或非工作日提出的申购</w:t>
      </w:r>
      <w:r>
        <w:rPr>
          <w:rFonts w:ascii="仿宋_GB2312" w:eastAsia="仿宋_GB2312" w:hAnsi="宋体" w:hint="eastAsia"/>
          <w:sz w:val="24"/>
          <w:szCs w:val="24"/>
        </w:rPr>
        <w:t>/</w:t>
      </w:r>
      <w:r>
        <w:rPr>
          <w:rFonts w:ascii="仿宋_GB2312" w:eastAsia="仿宋_GB2312" w:hAnsi="宋体" w:hint="eastAsia"/>
          <w:sz w:val="24"/>
          <w:szCs w:val="24"/>
        </w:rPr>
        <w:t>赎回申请，视为</w:t>
      </w:r>
      <w:r>
        <w:rPr>
          <w:rFonts w:ascii="仿宋_GB2312" w:eastAsia="仿宋_GB2312" w:hint="eastAsia"/>
          <w:sz w:val="24"/>
          <w:szCs w:val="24"/>
        </w:rPr>
        <w:t>提出申购</w:t>
      </w:r>
      <w:r>
        <w:rPr>
          <w:rFonts w:ascii="仿宋_GB2312" w:eastAsia="仿宋_GB2312" w:hint="eastAsia"/>
          <w:sz w:val="24"/>
          <w:szCs w:val="24"/>
        </w:rPr>
        <w:t>/</w:t>
      </w:r>
      <w:r>
        <w:rPr>
          <w:rFonts w:ascii="仿宋_GB2312" w:eastAsia="仿宋_GB2312" w:hint="eastAsia"/>
          <w:sz w:val="24"/>
          <w:szCs w:val="24"/>
        </w:rPr>
        <w:t>赎回申请之日的</w:t>
      </w:r>
      <w:r>
        <w:rPr>
          <w:rFonts w:ascii="仿宋_GB2312" w:eastAsia="仿宋_GB2312" w:hAnsi="宋体" w:hint="eastAsia"/>
          <w:sz w:val="24"/>
          <w:szCs w:val="24"/>
        </w:rPr>
        <w:t>下一工作日的申购</w:t>
      </w:r>
      <w:r>
        <w:rPr>
          <w:rFonts w:ascii="仿宋_GB2312" w:eastAsia="仿宋_GB2312" w:hAnsi="宋体" w:hint="eastAsia"/>
          <w:sz w:val="24"/>
          <w:szCs w:val="24"/>
        </w:rPr>
        <w:t>/</w:t>
      </w:r>
      <w:r>
        <w:rPr>
          <w:rFonts w:ascii="仿宋_GB2312" w:eastAsia="仿宋_GB2312" w:hAnsi="宋体" w:hint="eastAsia"/>
          <w:sz w:val="24"/>
          <w:szCs w:val="24"/>
        </w:rPr>
        <w:t>赎回申请，申购</w:t>
      </w:r>
      <w:r>
        <w:rPr>
          <w:rFonts w:ascii="仿宋_GB2312" w:eastAsia="仿宋_GB2312" w:hAnsi="宋体" w:hint="eastAsia"/>
          <w:sz w:val="24"/>
          <w:szCs w:val="24"/>
        </w:rPr>
        <w:t>/</w:t>
      </w:r>
      <w:r>
        <w:rPr>
          <w:rFonts w:ascii="仿宋_GB2312" w:eastAsia="仿宋_GB2312" w:hAnsi="宋体" w:hint="eastAsia"/>
          <w:sz w:val="24"/>
          <w:szCs w:val="24"/>
        </w:rPr>
        <w:t>赎回申请日为</w:t>
      </w:r>
      <w:r>
        <w:rPr>
          <w:rFonts w:ascii="仿宋_GB2312" w:eastAsia="仿宋_GB2312" w:hint="eastAsia"/>
          <w:sz w:val="24"/>
          <w:szCs w:val="24"/>
        </w:rPr>
        <w:t>提出申购</w:t>
      </w:r>
      <w:r>
        <w:rPr>
          <w:rFonts w:ascii="仿宋_GB2312" w:eastAsia="仿宋_GB2312" w:hint="eastAsia"/>
          <w:sz w:val="24"/>
          <w:szCs w:val="24"/>
        </w:rPr>
        <w:t>/</w:t>
      </w:r>
      <w:r>
        <w:rPr>
          <w:rFonts w:ascii="仿宋_GB2312" w:eastAsia="仿宋_GB2312" w:hint="eastAsia"/>
          <w:sz w:val="24"/>
          <w:szCs w:val="24"/>
        </w:rPr>
        <w:t>赎回申请之日的</w:t>
      </w:r>
      <w:r>
        <w:rPr>
          <w:rFonts w:ascii="仿宋_GB2312" w:eastAsia="仿宋_GB2312" w:hAnsi="宋体" w:hint="eastAsia"/>
          <w:sz w:val="24"/>
          <w:szCs w:val="24"/>
        </w:rPr>
        <w:t>下一工作日。</w:t>
      </w:r>
    </w:p>
    <w:p w14:paraId="0F9BEC83" w14:textId="77777777" w:rsidR="003E7F78" w:rsidRDefault="00741AB5">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5.</w:t>
      </w:r>
      <w:r>
        <w:rPr>
          <w:rFonts w:ascii="仿宋_GB2312" w:eastAsia="仿宋_GB2312" w:hAnsi="宋体" w:hint="eastAsia"/>
          <w:b/>
          <w:sz w:val="24"/>
          <w:szCs w:val="24"/>
        </w:rPr>
        <w:t>不可抗力</w:t>
      </w:r>
    </w:p>
    <w:p w14:paraId="6BCD04C6" w14:textId="77777777" w:rsidR="003E7F78" w:rsidRDefault="00741AB5">
      <w:pPr>
        <w:widowControl/>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指理财产品各方不能预见、不能避免且不能克服的客观情况，该事件妨碍、影响或延误任何一方依理财</w:t>
      </w:r>
      <w:r>
        <w:rPr>
          <w:rFonts w:ascii="仿宋_GB2312" w:eastAsia="仿宋_GB2312" w:hAnsi="宋体" w:hint="eastAsia"/>
          <w:sz w:val="24"/>
          <w:szCs w:val="24"/>
        </w:rPr>
        <w:t>产品合同履行其全部或部分义务。该事件包括但不限于：</w:t>
      </w:r>
    </w:p>
    <w:p w14:paraId="333D200F"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w:t>
      </w:r>
      <w:r>
        <w:rPr>
          <w:rFonts w:ascii="仿宋_GB2312" w:eastAsia="仿宋_GB2312" w:hAnsi="宋体" w:hint="eastAsia"/>
          <w:sz w:val="24"/>
          <w:szCs w:val="24"/>
        </w:rPr>
        <w:t>地震、台风、海啸、洪水、火灾、停电、瘟疫；</w:t>
      </w:r>
    </w:p>
    <w:p w14:paraId="4B03AA4D"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2</w:t>
      </w:r>
      <w:r>
        <w:rPr>
          <w:rFonts w:ascii="仿宋_GB2312" w:eastAsia="仿宋_GB2312" w:hAnsi="宋体" w:hint="eastAsia"/>
          <w:b/>
          <w:sz w:val="24"/>
          <w:szCs w:val="24"/>
        </w:rPr>
        <w:t>）</w:t>
      </w:r>
      <w:r>
        <w:rPr>
          <w:rFonts w:ascii="仿宋_GB2312" w:eastAsia="仿宋_GB2312" w:hAnsi="宋体" w:hint="eastAsia"/>
          <w:sz w:val="24"/>
          <w:szCs w:val="24"/>
        </w:rPr>
        <w:t>战争、政变、恐怖主义行动、骚乱、罢工；</w:t>
      </w:r>
    </w:p>
    <w:p w14:paraId="66A9376B"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3</w:t>
      </w:r>
      <w:r>
        <w:rPr>
          <w:rFonts w:ascii="仿宋_GB2312" w:eastAsia="仿宋_GB2312" w:hAnsi="宋体" w:hint="eastAsia"/>
          <w:b/>
          <w:sz w:val="24"/>
          <w:szCs w:val="24"/>
        </w:rPr>
        <w:t>）</w:t>
      </w:r>
      <w:r>
        <w:rPr>
          <w:rFonts w:ascii="仿宋_GB2312" w:eastAsia="仿宋_GB2312" w:hAnsi="宋体" w:hint="eastAsia"/>
          <w:sz w:val="24"/>
          <w:szCs w:val="24"/>
        </w:rPr>
        <w:t>新的适用法律或国家政策的颁布或实施、对原适用法律或国家政策的修改；</w:t>
      </w:r>
    </w:p>
    <w:p w14:paraId="04BFEFD9"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4</w:t>
      </w:r>
      <w:r>
        <w:rPr>
          <w:rFonts w:ascii="仿宋_GB2312" w:eastAsia="仿宋_GB2312" w:hAnsi="宋体" w:hint="eastAsia"/>
          <w:b/>
          <w:sz w:val="24"/>
          <w:szCs w:val="24"/>
        </w:rPr>
        <w:t>）</w:t>
      </w:r>
      <w:r>
        <w:rPr>
          <w:rFonts w:ascii="仿宋_GB2312" w:eastAsia="仿宋_GB2312" w:hAnsi="宋体" w:hint="eastAsia"/>
          <w:sz w:val="24"/>
          <w:szCs w:val="24"/>
        </w:rPr>
        <w:t>国家金融监督管理总局或其他有权机关要求终止理财产品（该等要求不可归责于任何一方）；</w:t>
      </w:r>
    </w:p>
    <w:p w14:paraId="5261017E" w14:textId="77777777" w:rsidR="003E7F78" w:rsidRDefault="00741AB5">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5</w:t>
      </w:r>
      <w:r>
        <w:rPr>
          <w:rFonts w:ascii="仿宋_GB2312" w:eastAsia="仿宋_GB2312" w:hAnsi="宋体" w:hint="eastAsia"/>
          <w:b/>
          <w:sz w:val="24"/>
          <w:szCs w:val="24"/>
        </w:rPr>
        <w:t>）</w:t>
      </w:r>
      <w:r>
        <w:rPr>
          <w:rFonts w:ascii="仿宋_GB2312" w:eastAsia="仿宋_GB2312" w:hAnsi="宋体" w:hint="eastAsia"/>
          <w:sz w:val="24"/>
          <w:szCs w:val="24"/>
        </w:rPr>
        <w:t>因理财产品各方和</w:t>
      </w:r>
      <w:r>
        <w:rPr>
          <w:rFonts w:ascii="仿宋_GB2312" w:eastAsia="仿宋_GB2312" w:hAnsi="宋体" w:hint="eastAsia"/>
          <w:sz w:val="24"/>
          <w:szCs w:val="24"/>
        </w:rPr>
        <w:t>/</w:t>
      </w:r>
      <w:r>
        <w:rPr>
          <w:rFonts w:ascii="仿宋_GB2312" w:eastAsia="仿宋_GB2312" w:hAnsi="宋体" w:hint="eastAsia"/>
          <w:sz w:val="24"/>
          <w:szCs w:val="24"/>
        </w:rPr>
        <w:t>或其关联方运营网络系统遭受黑客攻击、电信部门技术调整或故障等原因而造成的理财产品各方和</w:t>
      </w:r>
      <w:r>
        <w:rPr>
          <w:rFonts w:ascii="仿宋_GB2312" w:eastAsia="仿宋_GB2312" w:hAnsi="宋体" w:hint="eastAsia"/>
          <w:sz w:val="24"/>
          <w:szCs w:val="24"/>
        </w:rPr>
        <w:t>/</w:t>
      </w:r>
      <w:r>
        <w:rPr>
          <w:rFonts w:ascii="仿宋_GB2312" w:eastAsia="仿宋_GB2312" w:hAnsi="宋体" w:hint="eastAsia"/>
          <w:sz w:val="24"/>
          <w:szCs w:val="24"/>
        </w:rPr>
        <w:t>或其关联方之服务、营业的中断或者延迟。</w:t>
      </w:r>
    </w:p>
    <w:p w14:paraId="6E83184F" w14:textId="77777777" w:rsidR="003E7F78" w:rsidRDefault="00741AB5">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6.</w:t>
      </w:r>
      <w:r>
        <w:rPr>
          <w:rFonts w:ascii="仿宋_GB2312" w:eastAsia="仿宋_GB2312" w:hAnsi="宋体" w:hint="eastAsia"/>
          <w:b/>
          <w:sz w:val="24"/>
          <w:szCs w:val="24"/>
        </w:rPr>
        <w:t>其他</w:t>
      </w:r>
    </w:p>
    <w:p w14:paraId="3648913A"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）中国：</w:t>
      </w:r>
      <w:r>
        <w:rPr>
          <w:rFonts w:ascii="仿宋_GB2312" w:eastAsia="仿宋_GB2312" w:hAnsi="宋体" w:hint="eastAsia"/>
          <w:sz w:val="24"/>
          <w:szCs w:val="24"/>
        </w:rPr>
        <w:t>指中华人民共和国（为本理财</w:t>
      </w:r>
      <w:r>
        <w:rPr>
          <w:rFonts w:ascii="仿宋_GB2312" w:eastAsia="仿宋_GB2312" w:hAnsi="宋体" w:hint="eastAsia"/>
          <w:sz w:val="24"/>
          <w:szCs w:val="24"/>
        </w:rPr>
        <w:t>产品合同目的，不包括香港特别行政区、澳门特别行政区和台湾地区）。</w:t>
      </w:r>
    </w:p>
    <w:p w14:paraId="18F821BC"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2</w:t>
      </w:r>
      <w:r>
        <w:rPr>
          <w:rFonts w:ascii="仿宋_GB2312" w:eastAsia="仿宋_GB2312" w:hAnsi="宋体" w:hint="eastAsia"/>
          <w:b/>
          <w:sz w:val="24"/>
          <w:szCs w:val="24"/>
        </w:rPr>
        <w:t>）元：</w:t>
      </w:r>
      <w:r>
        <w:rPr>
          <w:rFonts w:ascii="仿宋_GB2312" w:eastAsia="仿宋_GB2312" w:hAnsi="宋体" w:hint="eastAsia"/>
          <w:sz w:val="24"/>
          <w:szCs w:val="24"/>
        </w:rPr>
        <w:t>指人民币元。</w:t>
      </w:r>
    </w:p>
    <w:p w14:paraId="0232DD9A" w14:textId="77777777" w:rsidR="003E7F78" w:rsidRDefault="00741AB5">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3</w:t>
      </w:r>
      <w:r>
        <w:rPr>
          <w:rFonts w:ascii="仿宋_GB2312" w:eastAsia="仿宋_GB2312" w:hAnsi="宋体" w:hint="eastAsia"/>
          <w:b/>
          <w:sz w:val="24"/>
          <w:szCs w:val="24"/>
        </w:rPr>
        <w:t>）适用法律：</w:t>
      </w:r>
      <w:r>
        <w:rPr>
          <w:rFonts w:ascii="仿宋_GB2312" w:eastAsia="仿宋_GB2312" w:hAnsi="宋体" w:hint="eastAsia"/>
          <w:sz w:val="24"/>
          <w:szCs w:val="24"/>
        </w:rPr>
        <w:t>指在理财产品合同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746C082D" w14:textId="77777777" w:rsidR="003E7F78" w:rsidRDefault="00741AB5">
      <w:pPr>
        <w:widowControl/>
        <w:spacing w:line="360" w:lineRule="auto"/>
        <w:ind w:firstLineChars="200" w:firstLine="482"/>
        <w:rPr>
          <w:rFonts w:ascii="仿宋_GB2312" w:eastAsia="仿宋_GB2312" w:hAnsi="Arial" w:cs="Arial"/>
          <w:color w:val="000000"/>
          <w:kern w:val="0"/>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4</w:t>
      </w:r>
      <w:r>
        <w:rPr>
          <w:rFonts w:ascii="仿宋_GB2312" w:eastAsia="仿宋_GB2312" w:hAnsi="宋体" w:hint="eastAsia"/>
          <w:b/>
          <w:sz w:val="24"/>
          <w:szCs w:val="24"/>
        </w:rPr>
        <w:t>）时间：</w:t>
      </w:r>
      <w:r>
        <w:rPr>
          <w:rFonts w:ascii="仿宋_GB2312" w:eastAsia="仿宋_GB2312" w:hAnsi="Arial" w:cs="Arial" w:hint="eastAsia"/>
          <w:color w:val="000000"/>
          <w:kern w:val="0"/>
          <w:sz w:val="24"/>
          <w:szCs w:val="24"/>
        </w:rPr>
        <w:t>受理时间、信息公布的相关时间以产品管理人业务处理系统记录的北京时间为准。</w:t>
      </w:r>
    </w:p>
    <w:p w14:paraId="6F829F22" w14:textId="77777777" w:rsidR="003E7F78" w:rsidRDefault="00741AB5">
      <w:pPr>
        <w:widowControl/>
        <w:jc w:val="left"/>
        <w:rPr>
          <w:rFonts w:ascii="仿宋_GB2312" w:eastAsia="仿宋_GB2312" w:hAnsi="Arial" w:cs="Arial"/>
          <w:color w:val="000000"/>
          <w:kern w:val="0"/>
          <w:sz w:val="24"/>
          <w:szCs w:val="24"/>
        </w:rPr>
      </w:pPr>
      <w:r>
        <w:rPr>
          <w:rFonts w:ascii="仿宋_GB2312" w:eastAsia="仿宋_GB2312" w:hAnsi="Arial" w:cs="Arial"/>
          <w:color w:val="000000"/>
          <w:kern w:val="0"/>
          <w:sz w:val="24"/>
          <w:szCs w:val="24"/>
        </w:rPr>
        <w:br w:type="page"/>
      </w:r>
    </w:p>
    <w:p w14:paraId="011FC4C8" w14:textId="77777777" w:rsidR="003E7F78" w:rsidRDefault="00741AB5">
      <w:pPr>
        <w:widowControl/>
        <w:spacing w:line="360" w:lineRule="auto"/>
        <w:jc w:val="center"/>
        <w:outlineLvl w:val="1"/>
        <w:rPr>
          <w:rFonts w:ascii="方正黑体_GBK" w:eastAsia="方正黑体_GBK" w:hAnsi="方正黑体_GBK" w:cs="方正黑体_GBK"/>
          <w:b/>
          <w:sz w:val="28"/>
          <w:szCs w:val="28"/>
        </w:rPr>
      </w:pPr>
      <w:bookmarkStart w:id="6" w:name="产品说明部分"/>
      <w:r>
        <w:rPr>
          <w:rFonts w:ascii="方正黑体_GBK" w:eastAsia="方正黑体_GBK" w:hAnsi="方正黑体_GBK" w:cs="方正黑体_GBK" w:hint="eastAsia"/>
          <w:b/>
          <w:sz w:val="28"/>
          <w:szCs w:val="28"/>
        </w:rPr>
        <w:t>产品说明部分</w:t>
      </w:r>
    </w:p>
    <w:bookmarkEnd w:id="6"/>
    <w:p w14:paraId="3ACCCFA6" w14:textId="77777777" w:rsidR="003E7F78" w:rsidRDefault="00741AB5">
      <w:pPr>
        <w:pStyle w:val="Default"/>
        <w:spacing w:line="360" w:lineRule="auto"/>
        <w:ind w:firstLineChars="200" w:firstLine="482"/>
        <w:outlineLvl w:val="2"/>
        <w:rPr>
          <w:rFonts w:ascii="仿宋_GB2312" w:eastAsia="仿宋_GB2312" w:hAnsi="方正仿宋_GBK" w:cs="方正仿宋_GBK"/>
          <w:b/>
        </w:rPr>
      </w:pPr>
      <w:r>
        <w:rPr>
          <w:rFonts w:ascii="仿宋_GB2312" w:eastAsia="仿宋_GB2312" w:hAnsi="方正仿宋_GBK" w:cs="方正仿宋_GBK" w:hint="eastAsia"/>
          <w:b/>
        </w:rPr>
        <w:t>一、产品概况和基本信息</w:t>
      </w:r>
    </w:p>
    <w:tbl>
      <w:tblPr>
        <w:tblW w:w="942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7299"/>
      </w:tblGrid>
      <w:tr w:rsidR="003E7F78" w14:paraId="0B710BDF" w14:textId="77777777">
        <w:trPr>
          <w:trHeight w:val="390"/>
        </w:trPr>
        <w:tc>
          <w:tcPr>
            <w:tcW w:w="2127" w:type="dxa"/>
            <w:vAlign w:val="center"/>
          </w:tcPr>
          <w:p w14:paraId="5E46E67A"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产品名称</w:t>
            </w:r>
          </w:p>
        </w:tc>
        <w:tc>
          <w:tcPr>
            <w:tcW w:w="7299" w:type="dxa"/>
            <w:vAlign w:val="center"/>
          </w:tcPr>
          <w:p w14:paraId="6104AD16"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int="eastAsia"/>
                <w:sz w:val="24"/>
                <w:szCs w:val="24"/>
              </w:rPr>
              <w:t>交银理财稳享鑫荣日日开</w:t>
            </w:r>
            <w:r>
              <w:rPr>
                <w:rFonts w:ascii="仿宋_GB2312" w:eastAsia="仿宋_GB2312" w:hint="eastAsia"/>
                <w:sz w:val="24"/>
                <w:szCs w:val="24"/>
              </w:rPr>
              <w:t>3</w:t>
            </w:r>
            <w:r>
              <w:rPr>
                <w:rFonts w:ascii="仿宋_GB2312" w:eastAsia="仿宋_GB2312" w:hint="eastAsia"/>
                <w:sz w:val="24"/>
                <w:szCs w:val="24"/>
              </w:rPr>
              <w:t>号理财产品</w:t>
            </w:r>
          </w:p>
        </w:tc>
      </w:tr>
      <w:tr w:rsidR="003E7F78" w14:paraId="19E6210B" w14:textId="77777777">
        <w:trPr>
          <w:trHeight w:val="390"/>
        </w:trPr>
        <w:tc>
          <w:tcPr>
            <w:tcW w:w="2127" w:type="dxa"/>
            <w:vAlign w:val="center"/>
          </w:tcPr>
          <w:p w14:paraId="0AE12C8D" w14:textId="77777777" w:rsidR="003E7F78" w:rsidRDefault="00741AB5">
            <w:pPr>
              <w:widowControl/>
              <w:spacing w:line="360" w:lineRule="auto"/>
              <w:rPr>
                <w:rFonts w:ascii="仿宋_GB2312" w:eastAsia="仿宋_GB2312" w:hAnsi="宋体"/>
                <w:sz w:val="24"/>
                <w:szCs w:val="24"/>
              </w:rPr>
            </w:pPr>
            <w:r>
              <w:rPr>
                <w:rFonts w:ascii="仿宋_GB2312" w:eastAsia="仿宋_GB2312" w:hint="eastAsia"/>
                <w:sz w:val="24"/>
                <w:szCs w:val="24"/>
              </w:rPr>
              <w:t>理财信息登记系统产品登记编码</w:t>
            </w:r>
          </w:p>
        </w:tc>
        <w:tc>
          <w:tcPr>
            <w:tcW w:w="7299" w:type="dxa"/>
            <w:vAlign w:val="center"/>
          </w:tcPr>
          <w:p w14:paraId="7B76DC16"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sz w:val="24"/>
                <w:szCs w:val="24"/>
              </w:rPr>
              <w:t>Z700092400019</w:t>
            </w:r>
            <w:r>
              <w:rPr>
                <w:rFonts w:ascii="仿宋_GB2312" w:eastAsia="仿宋_GB2312" w:hint="eastAsia"/>
                <w:sz w:val="24"/>
                <w:szCs w:val="24"/>
              </w:rPr>
              <w:t>5</w:t>
            </w:r>
            <w:r>
              <w:rPr>
                <w:rFonts w:ascii="仿宋_GB2312" w:eastAsia="仿宋_GB2312" w:hint="eastAsia"/>
                <w:sz w:val="24"/>
                <w:szCs w:val="24"/>
              </w:rPr>
              <w:t>，</w:t>
            </w:r>
            <w:r>
              <w:rPr>
                <w:rFonts w:ascii="仿宋_GB2312" w:eastAsia="仿宋_GB2312" w:hAnsi="宋体" w:cs="宋体" w:hint="eastAsia"/>
                <w:kern w:val="0"/>
                <w:sz w:val="24"/>
                <w:szCs w:val="24"/>
              </w:rPr>
              <w:t>投资者可依据该登记编码在中国理财网（</w:t>
            </w:r>
            <w:r>
              <w:rPr>
                <w:rFonts w:ascii="仿宋_GB2312" w:eastAsia="仿宋_GB2312" w:hAnsi="宋体" w:cs="宋体" w:hint="eastAsia"/>
                <w:kern w:val="0"/>
                <w:sz w:val="24"/>
                <w:szCs w:val="24"/>
              </w:rPr>
              <w:t>www.chinawealth.com.cn</w:t>
            </w:r>
            <w:r>
              <w:rPr>
                <w:rFonts w:ascii="仿宋_GB2312" w:eastAsia="仿宋_GB2312" w:hAnsi="宋体" w:cs="宋体" w:hint="eastAsia"/>
                <w:kern w:val="0"/>
                <w:sz w:val="24"/>
                <w:szCs w:val="24"/>
              </w:rPr>
              <w:t>）上查询产品信息。</w:t>
            </w:r>
          </w:p>
        </w:tc>
      </w:tr>
      <w:tr w:rsidR="003E7F78" w14:paraId="3E3969B4" w14:textId="77777777">
        <w:trPr>
          <w:trHeight w:val="390"/>
        </w:trPr>
        <w:tc>
          <w:tcPr>
            <w:tcW w:w="2127" w:type="dxa"/>
            <w:vAlign w:val="center"/>
          </w:tcPr>
          <w:p w14:paraId="2C8E6FF3" w14:textId="77777777" w:rsidR="003E7F78" w:rsidRDefault="00741AB5">
            <w:pPr>
              <w:widowControl/>
              <w:spacing w:line="360" w:lineRule="auto"/>
              <w:rPr>
                <w:rFonts w:ascii="仿宋_GB2312" w:eastAsia="仿宋_GB2312"/>
                <w:sz w:val="24"/>
                <w:szCs w:val="24"/>
              </w:rPr>
            </w:pPr>
            <w:r>
              <w:rPr>
                <w:rFonts w:ascii="仿宋_GB2312" w:eastAsia="仿宋_GB2312" w:hint="eastAsia"/>
                <w:sz w:val="24"/>
                <w:szCs w:val="24"/>
              </w:rPr>
              <w:t>产品销售名称：</w:t>
            </w:r>
          </w:p>
        </w:tc>
        <w:tc>
          <w:tcPr>
            <w:tcW w:w="7299" w:type="dxa"/>
            <w:vAlign w:val="center"/>
          </w:tcPr>
          <w:p w14:paraId="6F6985A8" w14:textId="77777777" w:rsidR="003E7F78" w:rsidRDefault="00741AB5">
            <w:pPr>
              <w:widowControl/>
              <w:spacing w:line="360" w:lineRule="auto"/>
              <w:rPr>
                <w:rFonts w:ascii="仿宋_GB2312" w:eastAsia="仿宋_GB2312"/>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C</w:t>
            </w:r>
            <w:r>
              <w:rPr>
                <w:rFonts w:ascii="仿宋_GB2312" w:eastAsia="仿宋_GB2312" w:hAnsi="宋体" w:cs="宋体" w:hint="eastAsia"/>
                <w:kern w:val="0"/>
                <w:sz w:val="24"/>
                <w:szCs w:val="24"/>
              </w:rPr>
              <w:t>类份额：</w:t>
            </w:r>
            <w:r>
              <w:rPr>
                <w:rFonts w:ascii="仿宋_GB2312" w:eastAsia="仿宋_GB2312" w:hint="eastAsia"/>
                <w:sz w:val="24"/>
                <w:szCs w:val="24"/>
              </w:rPr>
              <w:t>交银理财稳享鑫荣日日开</w:t>
            </w:r>
            <w:r>
              <w:rPr>
                <w:rFonts w:ascii="仿宋_GB2312" w:eastAsia="仿宋_GB2312" w:hint="eastAsia"/>
                <w:sz w:val="24"/>
                <w:szCs w:val="24"/>
              </w:rPr>
              <w:t>3</w:t>
            </w:r>
            <w:r>
              <w:rPr>
                <w:rFonts w:ascii="仿宋_GB2312" w:eastAsia="仿宋_GB2312" w:hint="eastAsia"/>
                <w:sz w:val="24"/>
                <w:szCs w:val="24"/>
              </w:rPr>
              <w:t>号（华夏银行专属）理财产品</w:t>
            </w:r>
          </w:p>
        </w:tc>
      </w:tr>
      <w:tr w:rsidR="003E7F78" w14:paraId="39F8251B" w14:textId="77777777">
        <w:trPr>
          <w:trHeight w:val="390"/>
        </w:trPr>
        <w:tc>
          <w:tcPr>
            <w:tcW w:w="2127" w:type="dxa"/>
            <w:vAlign w:val="center"/>
          </w:tcPr>
          <w:p w14:paraId="3B98F8FB" w14:textId="77777777" w:rsidR="003E7F78" w:rsidRDefault="00741AB5">
            <w:pPr>
              <w:widowControl/>
              <w:spacing w:line="360" w:lineRule="auto"/>
              <w:rPr>
                <w:rFonts w:ascii="仿宋_GB2312" w:eastAsia="仿宋_GB2312" w:hAnsi="宋体"/>
                <w:sz w:val="24"/>
                <w:szCs w:val="24"/>
              </w:rPr>
            </w:pPr>
            <w:r>
              <w:rPr>
                <w:rFonts w:ascii="仿宋_GB2312" w:eastAsia="仿宋_GB2312" w:hint="eastAsia"/>
                <w:sz w:val="24"/>
                <w:szCs w:val="24"/>
              </w:rPr>
              <w:t>产品销售代码</w:t>
            </w:r>
          </w:p>
        </w:tc>
        <w:tc>
          <w:tcPr>
            <w:tcW w:w="7299" w:type="dxa"/>
            <w:vAlign w:val="center"/>
          </w:tcPr>
          <w:p w14:paraId="76947FCF"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C</w:t>
            </w:r>
            <w:r>
              <w:rPr>
                <w:rFonts w:ascii="仿宋_GB2312" w:eastAsia="仿宋_GB2312" w:hAnsi="宋体" w:cs="宋体" w:hint="eastAsia"/>
                <w:kern w:val="0"/>
                <w:sz w:val="24"/>
                <w:szCs w:val="24"/>
              </w:rPr>
              <w:t>类份额：</w:t>
            </w:r>
            <w:r>
              <w:rPr>
                <w:rFonts w:ascii="仿宋_GB2312" w:eastAsia="仿宋_GB2312" w:hAnsi="宋体" w:cs="宋体" w:hint="eastAsia"/>
                <w:kern w:val="0"/>
                <w:sz w:val="24"/>
                <w:szCs w:val="24"/>
              </w:rPr>
              <w:t>581122</w:t>
            </w:r>
            <w:r>
              <w:rPr>
                <w:rFonts w:ascii="仿宋_GB2312" w:eastAsia="仿宋_GB2312" w:hAnsi="宋体" w:cs="宋体"/>
                <w:kern w:val="0"/>
                <w:sz w:val="24"/>
                <w:szCs w:val="24"/>
              </w:rPr>
              <w:t>40</w:t>
            </w:r>
            <w:r>
              <w:rPr>
                <w:rFonts w:ascii="仿宋_GB2312" w:eastAsia="仿宋_GB2312" w:hAnsi="宋体" w:cs="宋体" w:hint="eastAsia"/>
                <w:kern w:val="0"/>
                <w:sz w:val="24"/>
                <w:szCs w:val="24"/>
              </w:rPr>
              <w:t>83</w:t>
            </w:r>
          </w:p>
        </w:tc>
      </w:tr>
      <w:tr w:rsidR="003E7F78" w14:paraId="1D5AFE15" w14:textId="77777777">
        <w:trPr>
          <w:trHeight w:val="390"/>
        </w:trPr>
        <w:tc>
          <w:tcPr>
            <w:tcW w:w="2127" w:type="dxa"/>
            <w:vAlign w:val="center"/>
          </w:tcPr>
          <w:p w14:paraId="7FB44EDA" w14:textId="77777777" w:rsidR="003E7F78" w:rsidRDefault="00741AB5">
            <w:pPr>
              <w:widowControl/>
              <w:spacing w:line="360" w:lineRule="auto"/>
              <w:rPr>
                <w:rFonts w:ascii="仿宋_GB2312" w:eastAsia="仿宋_GB2312" w:hAnsi="宋体"/>
                <w:sz w:val="24"/>
                <w:szCs w:val="24"/>
              </w:rPr>
            </w:pPr>
            <w:r>
              <w:rPr>
                <w:rFonts w:ascii="仿宋_GB2312" w:eastAsia="仿宋_GB2312" w:hAnsi="宋体" w:cs="宋体" w:hint="eastAsia"/>
                <w:kern w:val="0"/>
                <w:sz w:val="24"/>
                <w:szCs w:val="24"/>
              </w:rPr>
              <w:t>★产品</w:t>
            </w:r>
            <w:r>
              <w:rPr>
                <w:rFonts w:ascii="仿宋_GB2312" w:eastAsia="仿宋_GB2312" w:hAnsi="宋体" w:cs="宋体"/>
                <w:kern w:val="0"/>
                <w:sz w:val="24"/>
                <w:szCs w:val="24"/>
              </w:rPr>
              <w:t>份额类别</w:t>
            </w:r>
          </w:p>
        </w:tc>
        <w:tc>
          <w:tcPr>
            <w:tcW w:w="7299" w:type="dxa"/>
            <w:vAlign w:val="center"/>
          </w:tcPr>
          <w:p w14:paraId="4341FD6D" w14:textId="77777777" w:rsidR="003E7F78" w:rsidRDefault="00741AB5">
            <w:pPr>
              <w:snapToGrid w:val="0"/>
              <w:spacing w:line="360" w:lineRule="auto"/>
              <w:rPr>
                <w:rFonts w:ascii="仿宋_GB2312" w:eastAsia="仿宋_GB2312" w:hAnsi="宋体" w:cs="宋体"/>
                <w:kern w:val="0"/>
                <w:sz w:val="24"/>
                <w:szCs w:val="24"/>
              </w:rPr>
            </w:pPr>
            <w:r>
              <w:rPr>
                <w:rFonts w:ascii="仿宋_GB2312" w:eastAsia="仿宋_GB2312" w:hAnsi="宋体" w:cs="宋体"/>
                <w:kern w:val="0"/>
                <w:sz w:val="24"/>
                <w:szCs w:val="24"/>
              </w:rPr>
              <w:t>1.</w:t>
            </w:r>
            <w:r>
              <w:rPr>
                <w:rFonts w:ascii="仿宋_GB2312" w:eastAsia="仿宋_GB2312" w:hAnsi="宋体" w:cs="宋体" w:hint="eastAsia"/>
                <w:kern w:val="0"/>
                <w:sz w:val="24"/>
                <w:szCs w:val="24"/>
              </w:rPr>
              <w:t>产品份额类别：</w:t>
            </w:r>
            <w:r>
              <w:rPr>
                <w:rFonts w:ascii="仿宋_GB2312" w:eastAsia="仿宋_GB2312" w:hAnsi="宋体" w:cs="宋体" w:hint="eastAsia"/>
                <w:kern w:val="0"/>
                <w:sz w:val="24"/>
                <w:szCs w:val="24"/>
              </w:rPr>
              <w:t>C</w:t>
            </w:r>
            <w:r>
              <w:rPr>
                <w:rFonts w:ascii="仿宋_GB2312" w:eastAsia="仿宋_GB2312" w:hAnsi="宋体" w:cs="宋体" w:hint="eastAsia"/>
                <w:kern w:val="0"/>
                <w:sz w:val="24"/>
                <w:szCs w:val="24"/>
              </w:rPr>
              <w:t>类份额</w:t>
            </w:r>
          </w:p>
          <w:p w14:paraId="55A41EBB" w14:textId="77777777" w:rsidR="003E7F78" w:rsidRDefault="00741AB5">
            <w:pPr>
              <w:snapToGrid w:val="0"/>
              <w:spacing w:line="360" w:lineRule="auto"/>
              <w:rPr>
                <w:rFonts w:ascii="仿宋_GB2312" w:eastAsia="仿宋_GB2312" w:hAnsi="宋体"/>
                <w:sz w:val="24"/>
                <w:szCs w:val="24"/>
              </w:rPr>
            </w:pPr>
            <w:r>
              <w:rPr>
                <w:rFonts w:ascii="仿宋_GB2312" w:eastAsia="仿宋_GB2312" w:hAnsi="宋体" w:cs="宋体"/>
                <w:kern w:val="0"/>
                <w:sz w:val="24"/>
                <w:szCs w:val="24"/>
              </w:rPr>
              <w:t>2.</w:t>
            </w:r>
            <w:r>
              <w:rPr>
                <w:rFonts w:ascii="仿宋_GB2312" w:eastAsia="仿宋_GB2312" w:hAnsi="宋体" w:cs="宋体" w:hint="eastAsia"/>
                <w:kern w:val="0"/>
                <w:sz w:val="24"/>
                <w:szCs w:val="24"/>
              </w:rPr>
              <w:t>本产品根据投资者购买理财产品的金额、适合</w:t>
            </w:r>
            <w:r>
              <w:rPr>
                <w:rFonts w:ascii="仿宋_GB2312" w:eastAsia="仿宋_GB2312" w:hAnsi="宋体" w:cs="宋体"/>
                <w:kern w:val="0"/>
                <w:sz w:val="24"/>
                <w:szCs w:val="24"/>
              </w:rPr>
              <w:t>的投资者</w:t>
            </w:r>
            <w:r>
              <w:rPr>
                <w:rFonts w:ascii="仿宋_GB2312" w:eastAsia="仿宋_GB2312" w:hAnsi="宋体" w:cs="宋体" w:hint="eastAsia"/>
                <w:kern w:val="0"/>
                <w:sz w:val="24"/>
                <w:szCs w:val="24"/>
              </w:rPr>
              <w:t>、代销机构等因素，对投资者所持有的理财产品份额设置不同的理财产品份额类别。</w:t>
            </w:r>
          </w:p>
          <w:p w14:paraId="143BC780"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3</w:t>
            </w:r>
            <w:r>
              <w:rPr>
                <w:rFonts w:ascii="仿宋_GB2312" w:eastAsia="仿宋_GB2312" w:hAnsi="宋体" w:cs="宋体"/>
                <w:kern w:val="0"/>
                <w:sz w:val="24"/>
                <w:szCs w:val="24"/>
              </w:rPr>
              <w:t>.</w:t>
            </w:r>
            <w:r>
              <w:rPr>
                <w:rFonts w:ascii="仿宋_GB2312" w:eastAsia="仿宋_GB2312" w:hAnsi="宋体" w:cs="宋体" w:hint="eastAsia"/>
                <w:kern w:val="0"/>
                <w:sz w:val="24"/>
                <w:szCs w:val="24"/>
              </w:rPr>
              <w:t>本产品可能设置不同的理财产品份额，每类理财产品份额可能将单独设置以下内容：</w:t>
            </w:r>
          </w:p>
          <w:p w14:paraId="54612BA0"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1</w:t>
            </w:r>
            <w:r>
              <w:rPr>
                <w:rFonts w:ascii="仿宋_GB2312" w:eastAsia="仿宋_GB2312" w:hAnsi="宋体" w:cs="宋体" w:hint="eastAsia"/>
                <w:kern w:val="0"/>
                <w:sz w:val="24"/>
                <w:szCs w:val="24"/>
              </w:rPr>
              <w:t>）产品销售名称</w:t>
            </w:r>
          </w:p>
          <w:p w14:paraId="2ED386D2"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2</w:t>
            </w:r>
            <w:r>
              <w:rPr>
                <w:rFonts w:ascii="仿宋_GB2312" w:eastAsia="仿宋_GB2312" w:hAnsi="宋体" w:cs="宋体" w:hint="eastAsia"/>
                <w:kern w:val="0"/>
                <w:sz w:val="24"/>
                <w:szCs w:val="24"/>
              </w:rPr>
              <w:t>）产品销售代码</w:t>
            </w:r>
          </w:p>
          <w:p w14:paraId="03E7FD23"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3</w:t>
            </w:r>
            <w:r>
              <w:rPr>
                <w:rFonts w:ascii="仿宋_GB2312" w:eastAsia="仿宋_GB2312" w:hAnsi="宋体" w:cs="宋体" w:hint="eastAsia"/>
                <w:kern w:val="0"/>
                <w:sz w:val="24"/>
                <w:szCs w:val="24"/>
              </w:rPr>
              <w:t>）钞汇标志</w:t>
            </w:r>
          </w:p>
          <w:p w14:paraId="75E6C8D5"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4</w:t>
            </w:r>
            <w:r>
              <w:rPr>
                <w:rFonts w:ascii="仿宋_GB2312" w:eastAsia="仿宋_GB2312" w:hAnsi="宋体" w:cs="宋体" w:hint="eastAsia"/>
                <w:kern w:val="0"/>
                <w:sz w:val="24"/>
                <w:szCs w:val="24"/>
              </w:rPr>
              <w:t>）代销</w:t>
            </w:r>
            <w:r>
              <w:rPr>
                <w:rFonts w:ascii="仿宋_GB2312" w:eastAsia="仿宋_GB2312" w:hAnsi="宋体" w:cs="宋体"/>
                <w:kern w:val="0"/>
                <w:sz w:val="24"/>
                <w:szCs w:val="24"/>
              </w:rPr>
              <w:t>机构</w:t>
            </w:r>
          </w:p>
          <w:p w14:paraId="31B37829"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5</w:t>
            </w:r>
            <w:r>
              <w:rPr>
                <w:rFonts w:ascii="仿宋_GB2312" w:eastAsia="仿宋_GB2312" w:hAnsi="宋体" w:cs="宋体" w:hint="eastAsia"/>
                <w:kern w:val="0"/>
                <w:sz w:val="24"/>
                <w:szCs w:val="24"/>
              </w:rPr>
              <w:t>）适合的投资者</w:t>
            </w:r>
          </w:p>
          <w:p w14:paraId="4D157C35"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6</w:t>
            </w:r>
            <w:r>
              <w:rPr>
                <w:rFonts w:ascii="仿宋_GB2312" w:eastAsia="仿宋_GB2312" w:hAnsi="宋体" w:cs="宋体" w:hint="eastAsia"/>
                <w:kern w:val="0"/>
                <w:sz w:val="24"/>
                <w:szCs w:val="24"/>
              </w:rPr>
              <w:t>）销售手续</w:t>
            </w:r>
            <w:r>
              <w:rPr>
                <w:rFonts w:ascii="仿宋_GB2312" w:eastAsia="仿宋_GB2312" w:hAnsi="宋体" w:cs="宋体"/>
                <w:kern w:val="0"/>
                <w:sz w:val="24"/>
                <w:szCs w:val="24"/>
              </w:rPr>
              <w:t>费</w:t>
            </w:r>
            <w:r>
              <w:rPr>
                <w:rFonts w:ascii="仿宋_GB2312" w:eastAsia="仿宋_GB2312" w:hAnsi="宋体" w:cs="宋体" w:hint="eastAsia"/>
                <w:kern w:val="0"/>
                <w:sz w:val="24"/>
                <w:szCs w:val="24"/>
              </w:rPr>
              <w:t>率</w:t>
            </w:r>
          </w:p>
          <w:p w14:paraId="4C4AE9C0"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7</w:t>
            </w:r>
            <w:r>
              <w:rPr>
                <w:rFonts w:ascii="仿宋_GB2312" w:eastAsia="仿宋_GB2312" w:hAnsi="宋体" w:cs="宋体" w:hint="eastAsia"/>
                <w:kern w:val="0"/>
                <w:sz w:val="24"/>
                <w:szCs w:val="24"/>
              </w:rPr>
              <w:t>）业绩比较基准</w:t>
            </w:r>
          </w:p>
          <w:p w14:paraId="70F64530"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8</w:t>
            </w:r>
            <w:r>
              <w:rPr>
                <w:rFonts w:ascii="仿宋_GB2312" w:eastAsia="仿宋_GB2312" w:hAnsi="宋体" w:cs="宋体" w:hint="eastAsia"/>
                <w:kern w:val="0"/>
                <w:sz w:val="24"/>
                <w:szCs w:val="24"/>
              </w:rPr>
              <w:t>）认购</w:t>
            </w:r>
            <w:r>
              <w:rPr>
                <w:rFonts w:ascii="仿宋_GB2312" w:eastAsia="仿宋_GB2312" w:hAnsi="宋体" w:cs="宋体"/>
                <w:kern w:val="0"/>
                <w:sz w:val="24"/>
                <w:szCs w:val="24"/>
              </w:rPr>
              <w:t>/</w:t>
            </w:r>
            <w:r>
              <w:rPr>
                <w:rFonts w:ascii="仿宋_GB2312" w:eastAsia="仿宋_GB2312" w:hAnsi="宋体" w:cs="宋体"/>
                <w:kern w:val="0"/>
                <w:sz w:val="24"/>
                <w:szCs w:val="24"/>
              </w:rPr>
              <w:t>申购投资起点金额及递增金额</w:t>
            </w:r>
          </w:p>
          <w:p w14:paraId="32C9257E"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9</w:t>
            </w:r>
            <w:r>
              <w:rPr>
                <w:rFonts w:ascii="仿宋_GB2312" w:eastAsia="仿宋_GB2312" w:hAnsi="宋体" w:cs="宋体"/>
                <w:kern w:val="0"/>
                <w:sz w:val="24"/>
                <w:szCs w:val="24"/>
              </w:rPr>
              <w:t>）单笔</w:t>
            </w:r>
            <w:r>
              <w:rPr>
                <w:rFonts w:ascii="仿宋_GB2312" w:eastAsia="仿宋_GB2312" w:hAnsi="宋体" w:cs="宋体" w:hint="eastAsia"/>
                <w:kern w:val="0"/>
                <w:sz w:val="24"/>
                <w:szCs w:val="24"/>
              </w:rPr>
              <w:t>最大</w:t>
            </w:r>
            <w:r>
              <w:rPr>
                <w:rFonts w:ascii="仿宋_GB2312" w:eastAsia="仿宋_GB2312" w:hAnsi="宋体" w:cs="宋体"/>
                <w:kern w:val="0"/>
                <w:sz w:val="24"/>
                <w:szCs w:val="24"/>
              </w:rPr>
              <w:t>购买金额、累计购买金额、最少赎回份额</w:t>
            </w:r>
            <w:r>
              <w:rPr>
                <w:rFonts w:ascii="仿宋_GB2312" w:eastAsia="仿宋_GB2312" w:hAnsi="宋体" w:cs="宋体" w:hint="eastAsia"/>
                <w:kern w:val="0"/>
                <w:sz w:val="24"/>
                <w:szCs w:val="24"/>
              </w:rPr>
              <w:t>等认购</w:t>
            </w:r>
            <w:r>
              <w:rPr>
                <w:rFonts w:ascii="仿宋_GB2312" w:eastAsia="仿宋_GB2312" w:hAnsi="宋体" w:cs="宋体"/>
                <w:kern w:val="0"/>
                <w:sz w:val="24"/>
                <w:szCs w:val="24"/>
              </w:rPr>
              <w:t>/</w:t>
            </w:r>
            <w:r>
              <w:rPr>
                <w:rFonts w:ascii="仿宋_GB2312" w:eastAsia="仿宋_GB2312" w:hAnsi="宋体" w:cs="宋体"/>
                <w:kern w:val="0"/>
                <w:sz w:val="24"/>
                <w:szCs w:val="24"/>
              </w:rPr>
              <w:t>申购和赎回的数量限制</w:t>
            </w:r>
          </w:p>
          <w:p w14:paraId="69B031B5"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10</w:t>
            </w:r>
            <w:r>
              <w:rPr>
                <w:rFonts w:ascii="仿宋_GB2312" w:eastAsia="仿宋_GB2312" w:hAnsi="宋体" w:cs="宋体" w:hint="eastAsia"/>
                <w:kern w:val="0"/>
                <w:sz w:val="24"/>
                <w:szCs w:val="24"/>
              </w:rPr>
              <w:t>）</w:t>
            </w:r>
            <w:r>
              <w:rPr>
                <w:rFonts w:ascii="仿宋_GB2312" w:eastAsia="仿宋_GB2312" w:hAnsi="宋体" w:cs="宋体"/>
                <w:kern w:val="0"/>
                <w:sz w:val="24"/>
                <w:szCs w:val="24"/>
              </w:rPr>
              <w:t>最低持有份额</w:t>
            </w:r>
          </w:p>
          <w:p w14:paraId="276FCBEA"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11</w:t>
            </w:r>
            <w:r>
              <w:rPr>
                <w:rFonts w:ascii="仿宋_GB2312" w:eastAsia="仿宋_GB2312" w:hAnsi="宋体" w:cs="宋体" w:hint="eastAsia"/>
                <w:kern w:val="0"/>
                <w:sz w:val="24"/>
                <w:szCs w:val="24"/>
              </w:rPr>
              <w:t>）产品规模</w:t>
            </w:r>
            <w:r>
              <w:rPr>
                <w:rFonts w:ascii="仿宋_GB2312" w:eastAsia="仿宋_GB2312" w:hAnsi="宋体" w:cs="宋体"/>
                <w:kern w:val="0"/>
                <w:sz w:val="24"/>
                <w:szCs w:val="24"/>
              </w:rPr>
              <w:t>上限</w:t>
            </w:r>
          </w:p>
          <w:p w14:paraId="06EE9DB6"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4</w:t>
            </w:r>
            <w:r>
              <w:rPr>
                <w:rFonts w:ascii="仿宋_GB2312" w:eastAsia="仿宋_GB2312" w:hAnsi="宋体" w:cs="宋体"/>
                <w:kern w:val="0"/>
                <w:sz w:val="24"/>
                <w:szCs w:val="24"/>
              </w:rPr>
              <w:t>.</w:t>
            </w:r>
            <w:r>
              <w:rPr>
                <w:rFonts w:ascii="仿宋_GB2312" w:eastAsia="仿宋_GB2312" w:hAnsi="宋体" w:cs="宋体" w:hint="eastAsia"/>
                <w:kern w:val="0"/>
                <w:sz w:val="24"/>
                <w:szCs w:val="24"/>
              </w:rPr>
              <w:t>投资者可根据实际情况自行选择认购</w:t>
            </w:r>
            <w:r>
              <w:rPr>
                <w:rFonts w:ascii="仿宋_GB2312" w:eastAsia="仿宋_GB2312" w:hAnsi="宋体" w:cs="宋体"/>
                <w:kern w:val="0"/>
                <w:sz w:val="24"/>
                <w:szCs w:val="24"/>
              </w:rPr>
              <w:t>/</w:t>
            </w:r>
            <w:r>
              <w:rPr>
                <w:rFonts w:ascii="仿宋_GB2312" w:eastAsia="仿宋_GB2312" w:hAnsi="宋体" w:cs="宋体"/>
                <w:kern w:val="0"/>
                <w:sz w:val="24"/>
                <w:szCs w:val="24"/>
              </w:rPr>
              <w:t>申购</w:t>
            </w:r>
            <w:r>
              <w:rPr>
                <w:rFonts w:ascii="仿宋_GB2312" w:eastAsia="仿宋_GB2312" w:hAnsi="宋体" w:cs="宋体" w:hint="eastAsia"/>
                <w:kern w:val="0"/>
                <w:sz w:val="24"/>
                <w:szCs w:val="24"/>
              </w:rPr>
              <w:t>的产品份额类别。</w:t>
            </w:r>
          </w:p>
          <w:p w14:paraId="0B251075"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方正楷体_GBK" w:cs="方正楷体_GBK" w:hint="eastAsia"/>
                <w:sz w:val="24"/>
                <w:szCs w:val="24"/>
              </w:rPr>
              <w:t>不同</w:t>
            </w:r>
            <w:r>
              <w:rPr>
                <w:rFonts w:ascii="仿宋_GB2312" w:eastAsia="仿宋_GB2312" w:hAnsi="方正楷体_GBK" w:cs="方正楷体_GBK"/>
                <w:sz w:val="24"/>
                <w:szCs w:val="24"/>
              </w:rPr>
              <w:t>类别的</w:t>
            </w:r>
            <w:r>
              <w:rPr>
                <w:rFonts w:ascii="仿宋_GB2312" w:eastAsia="仿宋_GB2312" w:hAnsi="方正楷体_GBK" w:cs="方正楷体_GBK" w:hint="eastAsia"/>
                <w:sz w:val="24"/>
                <w:szCs w:val="24"/>
              </w:rPr>
              <w:t>理财产品</w:t>
            </w:r>
            <w:r>
              <w:rPr>
                <w:rFonts w:ascii="仿宋_GB2312" w:eastAsia="仿宋_GB2312" w:hAnsi="方正楷体_GBK" w:cs="方正楷体_GBK"/>
                <w:sz w:val="24"/>
                <w:szCs w:val="24"/>
              </w:rPr>
              <w:t>份额</w:t>
            </w:r>
            <w:r>
              <w:rPr>
                <w:rFonts w:ascii="仿宋_GB2312" w:eastAsia="仿宋_GB2312" w:hAnsi="方正楷体_GBK" w:cs="方正楷体_GBK" w:hint="eastAsia"/>
                <w:sz w:val="24"/>
                <w:szCs w:val="24"/>
              </w:rPr>
              <w:t>可能</w:t>
            </w:r>
            <w:r>
              <w:rPr>
                <w:rFonts w:ascii="仿宋_GB2312" w:eastAsia="仿宋_GB2312" w:hAnsi="方正楷体_GBK" w:cs="方正楷体_GBK"/>
                <w:sz w:val="24"/>
                <w:szCs w:val="24"/>
              </w:rPr>
              <w:t>在</w:t>
            </w:r>
            <w:r>
              <w:rPr>
                <w:rFonts w:ascii="仿宋_GB2312" w:eastAsia="仿宋_GB2312" w:hAnsi="宋体" w:cs="宋体" w:hint="eastAsia"/>
                <w:kern w:val="0"/>
                <w:sz w:val="24"/>
                <w:szCs w:val="24"/>
              </w:rPr>
              <w:t>产品份额净值的计算结果</w:t>
            </w:r>
            <w:r>
              <w:rPr>
                <w:rFonts w:ascii="仿宋_GB2312" w:eastAsia="仿宋_GB2312" w:hAnsi="宋体" w:cs="宋体"/>
                <w:kern w:val="0"/>
                <w:sz w:val="24"/>
                <w:szCs w:val="24"/>
              </w:rPr>
              <w:t>、</w:t>
            </w:r>
            <w:r>
              <w:rPr>
                <w:rFonts w:ascii="仿宋_GB2312" w:eastAsia="仿宋_GB2312" w:hAnsi="宋体" w:cs="宋体" w:hint="eastAsia"/>
                <w:kern w:val="0"/>
                <w:sz w:val="24"/>
                <w:szCs w:val="24"/>
              </w:rPr>
              <w:t>信息披露渠道</w:t>
            </w:r>
            <w:r>
              <w:rPr>
                <w:rFonts w:ascii="仿宋_GB2312" w:eastAsia="仿宋_GB2312" w:hAnsi="宋体" w:cs="宋体"/>
                <w:kern w:val="0"/>
                <w:sz w:val="24"/>
                <w:szCs w:val="24"/>
              </w:rPr>
              <w:t>、</w:t>
            </w:r>
            <w:r>
              <w:rPr>
                <w:rFonts w:ascii="仿宋_GB2312" w:eastAsia="仿宋_GB2312" w:hAnsi="宋体" w:cs="宋体" w:hint="eastAsia"/>
                <w:kern w:val="0"/>
                <w:sz w:val="24"/>
                <w:szCs w:val="24"/>
              </w:rPr>
              <w:t>销售手续费率及业绩</w:t>
            </w:r>
            <w:r>
              <w:rPr>
                <w:rFonts w:ascii="仿宋_GB2312" w:eastAsia="仿宋_GB2312" w:hAnsi="宋体" w:cs="宋体"/>
                <w:kern w:val="0"/>
                <w:sz w:val="24"/>
                <w:szCs w:val="24"/>
              </w:rPr>
              <w:t>比较基准</w:t>
            </w:r>
            <w:r>
              <w:rPr>
                <w:rFonts w:ascii="仿宋_GB2312" w:eastAsia="仿宋_GB2312" w:hAnsi="宋体" w:cs="宋体" w:hint="eastAsia"/>
                <w:kern w:val="0"/>
                <w:sz w:val="24"/>
                <w:szCs w:val="24"/>
              </w:rPr>
              <w:t>等</w:t>
            </w:r>
            <w:r>
              <w:rPr>
                <w:rFonts w:ascii="仿宋_GB2312" w:eastAsia="仿宋_GB2312" w:hAnsi="宋体" w:cs="宋体"/>
                <w:kern w:val="0"/>
                <w:sz w:val="24"/>
                <w:szCs w:val="24"/>
              </w:rPr>
              <w:t>方面存在差异</w:t>
            </w:r>
            <w:r>
              <w:rPr>
                <w:rFonts w:ascii="仿宋_GB2312" w:eastAsia="仿宋_GB2312" w:hAnsi="宋体" w:cs="宋体" w:hint="eastAsia"/>
                <w:kern w:val="0"/>
                <w:sz w:val="24"/>
                <w:szCs w:val="24"/>
              </w:rPr>
              <w:t>，</w:t>
            </w:r>
            <w:r>
              <w:rPr>
                <w:rFonts w:ascii="仿宋_GB2312" w:eastAsia="仿宋_GB2312" w:hAnsi="宋体" w:cs="宋体"/>
                <w:kern w:val="0"/>
                <w:sz w:val="24"/>
                <w:szCs w:val="24"/>
              </w:rPr>
              <w:t>具体以对应的理财产品合同之</w:t>
            </w:r>
            <w:r>
              <w:rPr>
                <w:rFonts w:ascii="仿宋_GB2312" w:eastAsia="仿宋_GB2312" w:hAnsi="宋体" w:cs="宋体" w:hint="eastAsia"/>
                <w:kern w:val="0"/>
                <w:sz w:val="24"/>
                <w:szCs w:val="24"/>
              </w:rPr>
              <w:t>约定</w:t>
            </w:r>
            <w:r>
              <w:rPr>
                <w:rFonts w:ascii="仿宋_GB2312" w:eastAsia="仿宋_GB2312" w:hAnsi="宋体" w:cs="宋体"/>
                <w:kern w:val="0"/>
                <w:sz w:val="24"/>
                <w:szCs w:val="24"/>
              </w:rPr>
              <w:t>为准</w:t>
            </w:r>
            <w:r>
              <w:rPr>
                <w:rFonts w:ascii="仿宋_GB2312" w:eastAsia="仿宋_GB2312" w:hAnsi="宋体" w:cs="宋体" w:hint="eastAsia"/>
                <w:kern w:val="0"/>
                <w:sz w:val="24"/>
                <w:szCs w:val="24"/>
              </w:rPr>
              <w:t>。</w:t>
            </w:r>
          </w:p>
          <w:p w14:paraId="27F51AF8"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宋体" w:cs="宋体" w:hint="eastAsia"/>
                <w:kern w:val="0"/>
                <w:sz w:val="24"/>
                <w:szCs w:val="24"/>
              </w:rPr>
              <w:t>本理财产品合同所列示产品份额类别仅为本产品项下某一类产品份额类别，其他类别的产品份额项下相关约定以对应的理财产品合同及产品管理人的信息披露为准。</w:t>
            </w:r>
          </w:p>
          <w:p w14:paraId="011853FF"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宋体" w:cs="宋体" w:hint="eastAsia"/>
                <w:kern w:val="0"/>
                <w:sz w:val="24"/>
                <w:szCs w:val="24"/>
              </w:rPr>
              <w:t>产品管理人有权在本理财产品项下增设新的产品份额类别，届时，产品管理人将依据本理财产品合同的约定进行信息披露。</w:t>
            </w:r>
          </w:p>
        </w:tc>
      </w:tr>
      <w:tr w:rsidR="003E7F78" w14:paraId="413BE1DA" w14:textId="77777777">
        <w:trPr>
          <w:trHeight w:val="390"/>
        </w:trPr>
        <w:tc>
          <w:tcPr>
            <w:tcW w:w="2127" w:type="dxa"/>
            <w:vAlign w:val="center"/>
          </w:tcPr>
          <w:p w14:paraId="46D2380F"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hint="eastAsia"/>
                <w:sz w:val="24"/>
                <w:szCs w:val="24"/>
              </w:rPr>
              <w:t>投资及收益币种</w:t>
            </w:r>
          </w:p>
        </w:tc>
        <w:tc>
          <w:tcPr>
            <w:tcW w:w="7299" w:type="dxa"/>
            <w:vAlign w:val="center"/>
          </w:tcPr>
          <w:p w14:paraId="09BD60EC"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人民币</w:t>
            </w:r>
          </w:p>
        </w:tc>
      </w:tr>
      <w:tr w:rsidR="003E7F78" w14:paraId="2430E817" w14:textId="77777777">
        <w:trPr>
          <w:trHeight w:val="390"/>
        </w:trPr>
        <w:tc>
          <w:tcPr>
            <w:tcW w:w="2127" w:type="dxa"/>
            <w:vAlign w:val="center"/>
          </w:tcPr>
          <w:p w14:paraId="315430CD"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募集方式</w:t>
            </w:r>
          </w:p>
        </w:tc>
        <w:tc>
          <w:tcPr>
            <w:tcW w:w="7299" w:type="dxa"/>
            <w:vAlign w:val="center"/>
          </w:tcPr>
          <w:p w14:paraId="05E102B1" w14:textId="77777777" w:rsidR="003E7F78" w:rsidRDefault="00741AB5">
            <w:pPr>
              <w:widowControl/>
              <w:spacing w:line="360" w:lineRule="auto"/>
              <w:rPr>
                <w:rFonts w:ascii="仿宋_GB2312" w:eastAsia="仿宋_GB2312" w:hAnsi="宋体" w:cs="宋体"/>
                <w:b/>
                <w:kern w:val="0"/>
                <w:sz w:val="24"/>
                <w:szCs w:val="24"/>
              </w:rPr>
            </w:pPr>
            <w:r>
              <w:rPr>
                <w:rFonts w:ascii="仿宋_GB2312" w:eastAsia="仿宋_GB2312" w:hAnsi="宋体" w:cs="宋体" w:hint="eastAsia"/>
                <w:kern w:val="0"/>
                <w:sz w:val="24"/>
                <w:szCs w:val="24"/>
              </w:rPr>
              <w:t>公募</w:t>
            </w:r>
          </w:p>
        </w:tc>
      </w:tr>
      <w:tr w:rsidR="003E7F78" w14:paraId="081996DD" w14:textId="77777777">
        <w:trPr>
          <w:trHeight w:val="390"/>
        </w:trPr>
        <w:tc>
          <w:tcPr>
            <w:tcW w:w="2127" w:type="dxa"/>
            <w:vAlign w:val="center"/>
          </w:tcPr>
          <w:p w14:paraId="03447F25"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运作方式</w:t>
            </w:r>
          </w:p>
        </w:tc>
        <w:tc>
          <w:tcPr>
            <w:tcW w:w="7299" w:type="dxa"/>
            <w:vAlign w:val="center"/>
          </w:tcPr>
          <w:p w14:paraId="75CE582C"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开放式</w:t>
            </w:r>
          </w:p>
        </w:tc>
      </w:tr>
      <w:tr w:rsidR="003E7F78" w14:paraId="69F1B440" w14:textId="77777777">
        <w:trPr>
          <w:trHeight w:val="390"/>
        </w:trPr>
        <w:tc>
          <w:tcPr>
            <w:tcW w:w="2127" w:type="dxa"/>
            <w:vAlign w:val="center"/>
          </w:tcPr>
          <w:p w14:paraId="58BD3EAD"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适合的投资者</w:t>
            </w:r>
          </w:p>
        </w:tc>
        <w:tc>
          <w:tcPr>
            <w:tcW w:w="7299" w:type="dxa"/>
            <w:vAlign w:val="center"/>
          </w:tcPr>
          <w:p w14:paraId="6F1A5AFF"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符合相关法律法规、监管规定的</w:t>
            </w:r>
            <w:r>
              <w:rPr>
                <w:rFonts w:ascii="仿宋_GB2312" w:eastAsia="仿宋_GB2312" w:hAnsi="宋体" w:cs="宋体"/>
                <w:kern w:val="0"/>
                <w:sz w:val="24"/>
                <w:szCs w:val="24"/>
              </w:rPr>
              <w:t>法人和其他组织</w:t>
            </w:r>
            <w:r>
              <w:rPr>
                <w:rFonts w:ascii="仿宋_GB2312" w:eastAsia="仿宋_GB2312" w:hAnsi="宋体" w:cs="宋体" w:hint="eastAsia"/>
                <w:kern w:val="0"/>
                <w:sz w:val="24"/>
                <w:szCs w:val="24"/>
              </w:rPr>
              <w:t>。</w:t>
            </w:r>
          </w:p>
          <w:p w14:paraId="6121D4E8" w14:textId="77777777" w:rsidR="003E7F78" w:rsidRDefault="00741AB5">
            <w:pPr>
              <w:widowControl/>
              <w:spacing w:line="360" w:lineRule="auto"/>
              <w:rPr>
                <w:rFonts w:ascii="仿宋_GB2312" w:hAnsi="宋体"/>
                <w:b/>
                <w:kern w:val="0"/>
                <w:sz w:val="24"/>
              </w:rPr>
            </w:pPr>
            <w:r>
              <w:rPr>
                <w:rFonts w:ascii="仿宋_GB2312" w:eastAsia="仿宋_GB2312" w:hAnsi="宋体" w:cs="宋体" w:hint="eastAsia"/>
                <w:b/>
                <w:kern w:val="0"/>
                <w:sz w:val="24"/>
                <w:szCs w:val="24"/>
              </w:rPr>
              <w:t>▲▲本理财产品不允许单一投资者持有份额超过本理财产品总份额</w:t>
            </w:r>
            <w:r>
              <w:rPr>
                <w:rFonts w:ascii="仿宋_GB2312" w:eastAsia="仿宋_GB2312" w:hAnsi="宋体" w:cs="宋体" w:hint="eastAsia"/>
                <w:b/>
                <w:kern w:val="0"/>
                <w:sz w:val="24"/>
                <w:szCs w:val="24"/>
              </w:rPr>
              <w:t>50%</w:t>
            </w:r>
            <w:r>
              <w:rPr>
                <w:rFonts w:ascii="仿宋_GB2312" w:eastAsia="仿宋_GB2312" w:hAnsi="宋体" w:cs="宋体" w:hint="eastAsia"/>
                <w:b/>
                <w:kern w:val="0"/>
                <w:sz w:val="24"/>
                <w:szCs w:val="24"/>
              </w:rPr>
              <w:t>。</w:t>
            </w:r>
          </w:p>
        </w:tc>
      </w:tr>
      <w:tr w:rsidR="003E7F78" w14:paraId="603E6F59" w14:textId="77777777">
        <w:trPr>
          <w:trHeight w:val="90"/>
        </w:trPr>
        <w:tc>
          <w:tcPr>
            <w:tcW w:w="2127" w:type="dxa"/>
            <w:vAlign w:val="center"/>
          </w:tcPr>
          <w:p w14:paraId="789CF1A2"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管理人</w:t>
            </w:r>
          </w:p>
        </w:tc>
        <w:tc>
          <w:tcPr>
            <w:tcW w:w="7299" w:type="dxa"/>
            <w:vAlign w:val="center"/>
          </w:tcPr>
          <w:p w14:paraId="37EED3C1"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交银理财</w:t>
            </w:r>
          </w:p>
        </w:tc>
      </w:tr>
      <w:tr w:rsidR="003E7F78" w14:paraId="232A02DB" w14:textId="77777777">
        <w:trPr>
          <w:trHeight w:val="390"/>
        </w:trPr>
        <w:tc>
          <w:tcPr>
            <w:tcW w:w="2127" w:type="dxa"/>
            <w:vAlign w:val="center"/>
          </w:tcPr>
          <w:p w14:paraId="56429A2C"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托管人</w:t>
            </w:r>
          </w:p>
        </w:tc>
        <w:tc>
          <w:tcPr>
            <w:tcW w:w="7299" w:type="dxa"/>
            <w:vAlign w:val="center"/>
          </w:tcPr>
          <w:p w14:paraId="542178F4"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交通银行</w:t>
            </w:r>
          </w:p>
        </w:tc>
      </w:tr>
      <w:tr w:rsidR="003E7F78" w14:paraId="37CDF104" w14:textId="77777777">
        <w:trPr>
          <w:trHeight w:val="390"/>
        </w:trPr>
        <w:tc>
          <w:tcPr>
            <w:tcW w:w="2127" w:type="dxa"/>
            <w:vAlign w:val="center"/>
          </w:tcPr>
          <w:p w14:paraId="1DBC59B6"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产品类型</w:t>
            </w:r>
          </w:p>
        </w:tc>
        <w:tc>
          <w:tcPr>
            <w:tcW w:w="7299" w:type="dxa"/>
            <w:vAlign w:val="center"/>
          </w:tcPr>
          <w:p w14:paraId="5DCA5FE6" w14:textId="77777777" w:rsidR="003E7F78" w:rsidRDefault="00741AB5">
            <w:pPr>
              <w:widowControl/>
              <w:spacing w:line="360" w:lineRule="auto"/>
              <w:rPr>
                <w:rFonts w:ascii="仿宋_GB2312" w:eastAsia="仿宋_GB2312" w:hAnsi="宋体" w:cs="宋体"/>
                <w:b/>
                <w:kern w:val="0"/>
                <w:sz w:val="24"/>
                <w:szCs w:val="24"/>
              </w:rPr>
            </w:pPr>
            <w:r>
              <w:rPr>
                <w:rFonts w:ascii="仿宋_GB2312" w:eastAsia="仿宋_GB2312" w:hAnsi="宋体" w:cs="宋体" w:hint="eastAsia"/>
                <w:bCs/>
                <w:kern w:val="0"/>
                <w:sz w:val="24"/>
                <w:szCs w:val="24"/>
              </w:rPr>
              <w:t>固定收益类、非保本浮动收益型</w:t>
            </w:r>
          </w:p>
        </w:tc>
      </w:tr>
      <w:tr w:rsidR="003E7F78" w14:paraId="1AF796FC" w14:textId="77777777">
        <w:trPr>
          <w:trHeight w:val="390"/>
        </w:trPr>
        <w:tc>
          <w:tcPr>
            <w:tcW w:w="2127" w:type="dxa"/>
            <w:vAlign w:val="center"/>
          </w:tcPr>
          <w:p w14:paraId="72A406F5"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产品风险评级</w:t>
            </w:r>
          </w:p>
        </w:tc>
        <w:tc>
          <w:tcPr>
            <w:tcW w:w="7299" w:type="dxa"/>
            <w:vAlign w:val="center"/>
          </w:tcPr>
          <w:p w14:paraId="19ABE369" w14:textId="77777777" w:rsidR="003E7F78" w:rsidRDefault="00741AB5">
            <w:pPr>
              <w:widowControl/>
              <w:spacing w:line="360" w:lineRule="auto"/>
              <w:rPr>
                <w:rFonts w:ascii="仿宋_GB2312" w:eastAsia="仿宋_GB2312"/>
                <w:sz w:val="24"/>
                <w:szCs w:val="24"/>
              </w:rPr>
            </w:pPr>
            <w:r>
              <w:rPr>
                <w:rFonts w:ascii="仿宋_GB2312" w:eastAsia="仿宋_GB2312" w:hAnsi="方正仿宋_GBK" w:cs="方正仿宋_GBK" w:hint="eastAsia"/>
                <w:sz w:val="24"/>
                <w:szCs w:val="24"/>
              </w:rPr>
              <w:t>较低风险产品（</w:t>
            </w:r>
            <w:r>
              <w:rPr>
                <w:rFonts w:ascii="仿宋_GB2312" w:eastAsia="仿宋_GB2312" w:hAnsi="方正仿宋_GBK" w:cs="方正仿宋_GBK" w:hint="eastAsia"/>
                <w:sz w:val="24"/>
                <w:szCs w:val="24"/>
              </w:rPr>
              <w:t>R2</w:t>
            </w:r>
            <w:r>
              <w:rPr>
                <w:rFonts w:ascii="仿宋_GB2312" w:eastAsia="仿宋_GB2312" w:hAnsi="方正仿宋_GBK" w:cs="方正仿宋_GBK" w:hint="eastAsia"/>
                <w:sz w:val="24"/>
                <w:szCs w:val="24"/>
              </w:rPr>
              <w:t>）</w:t>
            </w:r>
            <w:r>
              <w:rPr>
                <w:rFonts w:ascii="仿宋_GB2312" w:eastAsia="仿宋_GB2312" w:hint="eastAsia"/>
                <w:sz w:val="24"/>
                <w:szCs w:val="24"/>
              </w:rPr>
              <w:t>（本评级为交银理财内部评级，仅供参考）</w:t>
            </w:r>
          </w:p>
          <w:p w14:paraId="723FF71A"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方正仿宋_GBK" w:cs="方正仿宋_GBK" w:hint="eastAsia"/>
                <w:sz w:val="24"/>
                <w:szCs w:val="24"/>
              </w:rPr>
              <w:t>本理财产品通过代销机构渠道销售的，理财产品评级应当以代销机构最终披露的评级结果为准。</w:t>
            </w:r>
          </w:p>
        </w:tc>
      </w:tr>
      <w:tr w:rsidR="003E7F78" w14:paraId="366F7878" w14:textId="77777777">
        <w:trPr>
          <w:trHeight w:val="390"/>
        </w:trPr>
        <w:tc>
          <w:tcPr>
            <w:tcW w:w="2127" w:type="dxa"/>
            <w:vAlign w:val="center"/>
          </w:tcPr>
          <w:p w14:paraId="276802D0"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销售区域</w:t>
            </w:r>
          </w:p>
        </w:tc>
        <w:tc>
          <w:tcPr>
            <w:tcW w:w="7299" w:type="dxa"/>
            <w:vAlign w:val="center"/>
          </w:tcPr>
          <w:p w14:paraId="5C40A10E" w14:textId="77777777" w:rsidR="003E7F78" w:rsidRDefault="00741AB5">
            <w:pPr>
              <w:widowControl/>
              <w:spacing w:line="360" w:lineRule="auto"/>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中国</w:t>
            </w:r>
          </w:p>
        </w:tc>
      </w:tr>
      <w:tr w:rsidR="003E7F78" w14:paraId="4A1E4A6B" w14:textId="77777777">
        <w:trPr>
          <w:trHeight w:val="390"/>
        </w:trPr>
        <w:tc>
          <w:tcPr>
            <w:tcW w:w="2127" w:type="dxa"/>
            <w:vAlign w:val="center"/>
          </w:tcPr>
          <w:p w14:paraId="6D6D5A06" w14:textId="77777777" w:rsidR="003E7F78" w:rsidRDefault="00741AB5">
            <w:pPr>
              <w:widowControl/>
              <w:spacing w:line="360" w:lineRule="auto"/>
              <w:rPr>
                <w:rFonts w:ascii="仿宋_GB2312" w:eastAsia="仿宋_GB2312" w:hAnsi="宋体" w:cs="宋体"/>
                <w:b/>
                <w:kern w:val="0"/>
                <w:sz w:val="24"/>
                <w:szCs w:val="24"/>
              </w:rPr>
            </w:pPr>
            <w:r>
              <w:rPr>
                <w:rFonts w:ascii="仿宋_GB2312" w:eastAsia="仿宋_GB2312" w:hAnsi="宋体" w:cs="宋体" w:hint="eastAsia"/>
                <w:bCs/>
                <w:kern w:val="0"/>
                <w:sz w:val="24"/>
                <w:szCs w:val="24"/>
              </w:rPr>
              <w:t>产品规模</w:t>
            </w:r>
          </w:p>
        </w:tc>
        <w:tc>
          <w:tcPr>
            <w:tcW w:w="7299" w:type="dxa"/>
            <w:vAlign w:val="center"/>
          </w:tcPr>
          <w:p w14:paraId="17238E7F"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方正仿宋_GBK" w:cs="方正仿宋_GBK" w:hint="eastAsia"/>
                <w:kern w:val="0"/>
                <w:sz w:val="24"/>
                <w:szCs w:val="24"/>
              </w:rPr>
              <w:t>产品管理人可根据市场和产品运行情况调整产品规模上下限。</w:t>
            </w:r>
          </w:p>
        </w:tc>
      </w:tr>
      <w:tr w:rsidR="003E7F78" w14:paraId="13BA5774" w14:textId="77777777">
        <w:trPr>
          <w:trHeight w:val="390"/>
        </w:trPr>
        <w:tc>
          <w:tcPr>
            <w:tcW w:w="2127" w:type="dxa"/>
            <w:vAlign w:val="center"/>
          </w:tcPr>
          <w:p w14:paraId="0719D220" w14:textId="77777777" w:rsidR="003E7F78" w:rsidRDefault="00741AB5">
            <w:pPr>
              <w:widowControl/>
              <w:spacing w:line="360" w:lineRule="auto"/>
              <w:rPr>
                <w:rFonts w:ascii="仿宋_GB2312" w:eastAsia="仿宋_GB2312" w:hAnsi="宋体" w:cs="宋体"/>
                <w:b/>
                <w:kern w:val="0"/>
                <w:sz w:val="24"/>
                <w:szCs w:val="24"/>
              </w:rPr>
            </w:pPr>
            <w:r>
              <w:rPr>
                <w:rFonts w:ascii="仿宋_GB2312" w:eastAsia="仿宋_GB2312" w:hAnsi="宋体" w:cs="宋体" w:hint="eastAsia"/>
                <w:bCs/>
                <w:kern w:val="0"/>
                <w:sz w:val="24"/>
                <w:szCs w:val="24"/>
              </w:rPr>
              <w:t>募集期</w:t>
            </w:r>
          </w:p>
        </w:tc>
        <w:tc>
          <w:tcPr>
            <w:tcW w:w="7299" w:type="dxa"/>
            <w:vAlign w:val="bottom"/>
          </w:tcPr>
          <w:p w14:paraId="049ED4A5" w14:textId="77777777" w:rsidR="003E7F78" w:rsidRDefault="00741AB5">
            <w:pPr>
              <w:widowControl/>
              <w:spacing w:line="360" w:lineRule="auto"/>
              <w:rPr>
                <w:rFonts w:ascii="仿宋_GB2312" w:eastAsia="仿宋_GB2312"/>
                <w:sz w:val="24"/>
                <w:szCs w:val="24"/>
              </w:rPr>
            </w:pPr>
            <w:r>
              <w:rPr>
                <w:rFonts w:ascii="仿宋_GB2312" w:eastAsia="仿宋_GB2312" w:hAnsi="宋体" w:cs="Arial" w:hint="eastAsia"/>
                <w:sz w:val="24"/>
                <w:szCs w:val="24"/>
              </w:rPr>
              <w:t>202</w:t>
            </w:r>
            <w:r>
              <w:rPr>
                <w:rFonts w:ascii="仿宋_GB2312" w:eastAsia="仿宋_GB2312" w:hAnsi="宋体" w:cs="Arial"/>
                <w:sz w:val="24"/>
                <w:szCs w:val="24"/>
              </w:rPr>
              <w:t>4</w:t>
            </w:r>
            <w:r>
              <w:rPr>
                <w:rFonts w:ascii="仿宋_GB2312" w:eastAsia="仿宋_GB2312" w:hAnsi="宋体" w:cs="Arial"/>
                <w:sz w:val="24"/>
                <w:szCs w:val="24"/>
              </w:rPr>
              <w:t>年</w:t>
            </w:r>
            <w:r>
              <w:rPr>
                <w:rFonts w:ascii="仿宋_GB2312" w:eastAsia="仿宋_GB2312" w:hAnsi="宋体" w:cs="Arial" w:hint="eastAsia"/>
                <w:sz w:val="24"/>
                <w:szCs w:val="24"/>
              </w:rPr>
              <w:t>3</w:t>
            </w:r>
            <w:r>
              <w:rPr>
                <w:rFonts w:ascii="仿宋_GB2312" w:eastAsia="仿宋_GB2312" w:hAnsi="宋体" w:cs="Arial"/>
                <w:sz w:val="24"/>
                <w:szCs w:val="24"/>
              </w:rPr>
              <w:t>月</w:t>
            </w:r>
            <w:r>
              <w:rPr>
                <w:rFonts w:ascii="仿宋_GB2312" w:eastAsia="仿宋_GB2312" w:hAnsi="宋体" w:cs="Arial" w:hint="eastAsia"/>
                <w:sz w:val="24"/>
                <w:szCs w:val="24"/>
              </w:rPr>
              <w:t>14</w:t>
            </w:r>
            <w:r>
              <w:rPr>
                <w:rFonts w:ascii="仿宋_GB2312" w:eastAsia="仿宋_GB2312" w:hAnsi="宋体" w:cs="Arial"/>
                <w:sz w:val="24"/>
                <w:szCs w:val="24"/>
              </w:rPr>
              <w:t>日</w:t>
            </w:r>
            <w:r>
              <w:rPr>
                <w:rFonts w:ascii="仿宋_GB2312" w:eastAsia="仿宋_GB2312" w:hAnsi="宋体" w:cs="Arial" w:hint="eastAsia"/>
                <w:sz w:val="24"/>
                <w:szCs w:val="24"/>
              </w:rPr>
              <w:t>9:00</w:t>
            </w:r>
            <w:r>
              <w:rPr>
                <w:rFonts w:ascii="仿宋_GB2312" w:eastAsia="仿宋_GB2312" w:hAnsi="宋体" w:cs="Arial" w:hint="eastAsia"/>
                <w:sz w:val="24"/>
                <w:szCs w:val="24"/>
              </w:rPr>
              <w:t>（含）</w:t>
            </w:r>
            <w:r>
              <w:rPr>
                <w:rFonts w:ascii="仿宋_GB2312" w:eastAsia="仿宋_GB2312" w:hAnsi="宋体" w:cs="Arial" w:hint="eastAsia"/>
                <w:sz w:val="24"/>
                <w:szCs w:val="24"/>
              </w:rPr>
              <w:t>-202</w:t>
            </w:r>
            <w:r>
              <w:rPr>
                <w:rFonts w:ascii="仿宋_GB2312" w:eastAsia="仿宋_GB2312" w:hAnsi="宋体" w:cs="Arial"/>
                <w:sz w:val="24"/>
                <w:szCs w:val="24"/>
              </w:rPr>
              <w:t>4</w:t>
            </w:r>
            <w:r>
              <w:rPr>
                <w:rFonts w:ascii="仿宋_GB2312" w:eastAsia="仿宋_GB2312" w:hAnsi="宋体" w:cs="Arial"/>
                <w:sz w:val="24"/>
                <w:szCs w:val="24"/>
              </w:rPr>
              <w:t>年</w:t>
            </w:r>
            <w:r>
              <w:rPr>
                <w:rFonts w:ascii="仿宋_GB2312" w:eastAsia="仿宋_GB2312" w:hAnsi="宋体" w:cs="Arial" w:hint="eastAsia"/>
                <w:sz w:val="24"/>
                <w:szCs w:val="24"/>
              </w:rPr>
              <w:t>3</w:t>
            </w:r>
            <w:r>
              <w:rPr>
                <w:rFonts w:ascii="仿宋_GB2312" w:eastAsia="仿宋_GB2312" w:hAnsi="宋体" w:cs="Arial"/>
                <w:sz w:val="24"/>
                <w:szCs w:val="24"/>
              </w:rPr>
              <w:t>月</w:t>
            </w:r>
            <w:r>
              <w:rPr>
                <w:rFonts w:ascii="仿宋_GB2312" w:eastAsia="仿宋_GB2312" w:hAnsi="宋体" w:cs="Arial"/>
                <w:sz w:val="24"/>
                <w:szCs w:val="24"/>
              </w:rPr>
              <w:t>2</w:t>
            </w:r>
            <w:r>
              <w:rPr>
                <w:rFonts w:ascii="仿宋_GB2312" w:eastAsia="仿宋_GB2312" w:hAnsi="宋体" w:cs="Arial" w:hint="eastAsia"/>
                <w:sz w:val="24"/>
                <w:szCs w:val="24"/>
              </w:rPr>
              <w:t>0</w:t>
            </w:r>
            <w:r>
              <w:rPr>
                <w:rFonts w:ascii="仿宋_GB2312" w:eastAsia="仿宋_GB2312" w:hAnsi="宋体" w:cs="Arial"/>
                <w:sz w:val="24"/>
                <w:szCs w:val="24"/>
              </w:rPr>
              <w:t>日</w:t>
            </w:r>
            <w:r>
              <w:rPr>
                <w:rFonts w:ascii="仿宋_GB2312" w:eastAsia="仿宋_GB2312" w:hAnsi="宋体" w:cs="Arial" w:hint="eastAsia"/>
                <w:sz w:val="24"/>
                <w:szCs w:val="24"/>
              </w:rPr>
              <w:t>17:00</w:t>
            </w:r>
            <w:r>
              <w:rPr>
                <w:rFonts w:ascii="仿宋_GB2312" w:eastAsia="仿宋_GB2312" w:hAnsi="宋体" w:cs="Arial" w:hint="eastAsia"/>
                <w:sz w:val="24"/>
                <w:szCs w:val="24"/>
              </w:rPr>
              <w:t>（不含）。</w:t>
            </w:r>
            <w:r>
              <w:rPr>
                <w:rFonts w:ascii="仿宋_GB2312" w:eastAsia="仿宋_GB2312" w:hint="eastAsia"/>
                <w:sz w:val="24"/>
                <w:szCs w:val="24"/>
              </w:rPr>
              <w:t>产品管理人有权根据市场情况提前结束或延长募集期并相应调整产品成立日。</w:t>
            </w:r>
          </w:p>
          <w:p w14:paraId="5C506833" w14:textId="77777777" w:rsidR="003E7F78" w:rsidRDefault="00741AB5">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int="eastAsia"/>
                <w:sz w:val="24"/>
              </w:rPr>
              <w:t>如经管理人判断需</w:t>
            </w:r>
            <w:r>
              <w:rPr>
                <w:rFonts w:ascii="仿宋_GB2312" w:eastAsia="仿宋_GB2312" w:hint="eastAsia"/>
                <w:sz w:val="24"/>
                <w:szCs w:val="24"/>
              </w:rPr>
              <w:t>提前结束或</w:t>
            </w:r>
            <w:r>
              <w:rPr>
                <w:rFonts w:ascii="仿宋_GB2312" w:eastAsia="仿宋_GB2312" w:hint="eastAsia"/>
                <w:sz w:val="24"/>
              </w:rPr>
              <w:t>延长募集期，管理人将提前在</w:t>
            </w:r>
            <w:r>
              <w:rPr>
                <w:rFonts w:ascii="仿宋_GB2312" w:eastAsia="仿宋_GB2312" w:hAnsi="宋体" w:cs="宋体" w:hint="eastAsia"/>
                <w:kern w:val="0"/>
                <w:sz w:val="24"/>
                <w:szCs w:val="24"/>
              </w:rPr>
              <w:t>代销机构网站或管理人网站</w:t>
            </w:r>
            <w:r>
              <w:rPr>
                <w:rFonts w:ascii="仿宋_GB2312" w:eastAsia="仿宋_GB2312" w:hint="eastAsia"/>
                <w:sz w:val="24"/>
              </w:rPr>
              <w:t>公告。</w:t>
            </w:r>
          </w:p>
        </w:tc>
      </w:tr>
      <w:tr w:rsidR="003E7F78" w14:paraId="5FBA4371" w14:textId="77777777">
        <w:trPr>
          <w:trHeight w:val="390"/>
        </w:trPr>
        <w:tc>
          <w:tcPr>
            <w:tcW w:w="2127" w:type="dxa"/>
            <w:vAlign w:val="center"/>
          </w:tcPr>
          <w:p w14:paraId="6EB9B855" w14:textId="77777777" w:rsidR="003E7F78" w:rsidRDefault="00741AB5">
            <w:pPr>
              <w:widowControl/>
              <w:spacing w:line="360" w:lineRule="auto"/>
              <w:rPr>
                <w:rFonts w:ascii="仿宋_GB2312" w:eastAsia="仿宋_GB2312" w:hAnsi="宋体" w:cs="宋体"/>
                <w:bCs/>
                <w:kern w:val="0"/>
                <w:sz w:val="24"/>
                <w:szCs w:val="24"/>
              </w:rPr>
            </w:pPr>
            <w:r>
              <w:rPr>
                <w:rFonts w:ascii="仿宋_GB2312" w:eastAsia="仿宋_GB2312" w:hAnsi="宋体" w:cs="宋体" w:hint="eastAsia"/>
                <w:bCs/>
                <w:kern w:val="0"/>
                <w:sz w:val="24"/>
                <w:szCs w:val="24"/>
              </w:rPr>
              <w:t>产品的认购</w:t>
            </w:r>
          </w:p>
        </w:tc>
        <w:tc>
          <w:tcPr>
            <w:tcW w:w="7299" w:type="dxa"/>
            <w:vAlign w:val="bottom"/>
          </w:tcPr>
          <w:p w14:paraId="65E181BF" w14:textId="77777777" w:rsidR="003E7F78" w:rsidRDefault="00741AB5">
            <w:pPr>
              <w:pStyle w:val="a5"/>
              <w:spacing w:line="360" w:lineRule="auto"/>
              <w:rPr>
                <w:rFonts w:ascii="仿宋_GB2312" w:eastAsia="仿宋_GB2312" w:hAnsi="宋体" w:cs="Arial"/>
                <w:bCs/>
                <w:sz w:val="24"/>
                <w:szCs w:val="24"/>
              </w:rPr>
            </w:pPr>
            <w:r>
              <w:rPr>
                <w:rFonts w:ascii="仿宋_GB2312" w:eastAsia="仿宋_GB2312" w:hAnsi="宋体" w:cs="Arial" w:hint="eastAsia"/>
                <w:bCs/>
                <w:sz w:val="24"/>
                <w:szCs w:val="24"/>
              </w:rPr>
              <w:t>投资者可在募集期内购买本产品，投资者认购资金将被实时冻结，并于募集期最后一日</w:t>
            </w:r>
            <w:r>
              <w:rPr>
                <w:rFonts w:ascii="仿宋_GB2312" w:eastAsia="仿宋_GB2312" w:hAnsi="宋体" w:cs="Arial" w:hint="eastAsia"/>
                <w:bCs/>
                <w:sz w:val="24"/>
                <w:szCs w:val="24"/>
              </w:rPr>
              <w:t>17:00</w:t>
            </w:r>
            <w:r>
              <w:rPr>
                <w:rFonts w:ascii="仿宋_GB2312" w:eastAsia="仿宋_GB2312" w:hAnsi="宋体" w:cs="Arial"/>
                <w:bCs/>
                <w:sz w:val="24"/>
                <w:szCs w:val="24"/>
              </w:rPr>
              <w:t>后</w:t>
            </w:r>
            <w:r>
              <w:rPr>
                <w:rFonts w:ascii="仿宋_GB2312" w:eastAsia="仿宋_GB2312" w:hAnsi="宋体" w:cs="Arial" w:hint="eastAsia"/>
                <w:bCs/>
                <w:sz w:val="24"/>
                <w:szCs w:val="24"/>
              </w:rPr>
              <w:t>由代销机构划款，产品管理人在产品成立日确认产品份额。</w:t>
            </w:r>
          </w:p>
          <w:p w14:paraId="173B79BF" w14:textId="77777777" w:rsidR="003E7F78" w:rsidRDefault="00741AB5">
            <w:pPr>
              <w:pStyle w:val="a5"/>
              <w:spacing w:line="360" w:lineRule="auto"/>
              <w:rPr>
                <w:bCs/>
              </w:rPr>
            </w:pPr>
            <w:r>
              <w:rPr>
                <w:rFonts w:ascii="仿宋_GB2312" w:eastAsia="仿宋_GB2312" w:hAnsi="宋体" w:cs="Arial" w:hint="eastAsia"/>
                <w:bCs/>
                <w:sz w:val="24"/>
                <w:szCs w:val="24"/>
              </w:rPr>
              <w:t>▲▲本理财产品若发生非因管理人主观因素导致突破单一投资者持有份额超过本理财产品总份额</w:t>
            </w:r>
            <w:r>
              <w:rPr>
                <w:rFonts w:ascii="仿宋_GB2312" w:eastAsia="仿宋_GB2312" w:hAnsi="宋体" w:cs="Arial"/>
                <w:bCs/>
                <w:sz w:val="24"/>
                <w:szCs w:val="24"/>
              </w:rPr>
              <w:t>50%</w:t>
            </w:r>
            <w:r>
              <w:rPr>
                <w:rFonts w:ascii="仿宋_GB2312" w:eastAsia="仿宋_GB2312" w:hAnsi="宋体" w:cs="Arial"/>
                <w:bCs/>
                <w:sz w:val="24"/>
                <w:szCs w:val="24"/>
              </w:rPr>
              <w:t>的情况，在单一投资者持有比例降至</w:t>
            </w:r>
            <w:r>
              <w:rPr>
                <w:rFonts w:ascii="仿宋_GB2312" w:eastAsia="仿宋_GB2312" w:hAnsi="宋体" w:cs="Arial"/>
                <w:bCs/>
                <w:sz w:val="24"/>
                <w:szCs w:val="24"/>
              </w:rPr>
              <w:t>50%</w:t>
            </w:r>
            <w:r>
              <w:rPr>
                <w:rFonts w:ascii="仿宋_GB2312" w:eastAsia="仿宋_GB2312" w:hAnsi="宋体" w:cs="Arial"/>
                <w:bCs/>
                <w:sz w:val="24"/>
                <w:szCs w:val="24"/>
              </w:rPr>
              <w:t>以下之前时，管理人可拒绝或暂停接受该投资者的认购申请。</w:t>
            </w:r>
          </w:p>
        </w:tc>
      </w:tr>
      <w:tr w:rsidR="003E7F78" w14:paraId="1185CEF5" w14:textId="77777777">
        <w:trPr>
          <w:trHeight w:val="390"/>
        </w:trPr>
        <w:tc>
          <w:tcPr>
            <w:tcW w:w="2127" w:type="dxa"/>
            <w:vAlign w:val="center"/>
          </w:tcPr>
          <w:p w14:paraId="07BA2297" w14:textId="77777777" w:rsidR="003E7F78" w:rsidRDefault="00741AB5">
            <w:pPr>
              <w:widowControl/>
              <w:spacing w:line="360" w:lineRule="auto"/>
              <w:rPr>
                <w:rFonts w:ascii="仿宋_GB2312" w:eastAsia="仿宋_GB2312" w:hAnsi="宋体" w:cs="宋体"/>
                <w:bCs/>
                <w:kern w:val="0"/>
                <w:sz w:val="24"/>
                <w:szCs w:val="24"/>
              </w:rPr>
            </w:pPr>
            <w:r>
              <w:rPr>
                <w:rFonts w:ascii="仿宋_GB2312" w:eastAsia="仿宋_GB2312" w:hAnsi="宋体" w:cs="宋体" w:hint="eastAsia"/>
                <w:bCs/>
                <w:kern w:val="0"/>
                <w:sz w:val="24"/>
                <w:szCs w:val="24"/>
              </w:rPr>
              <w:t>产品成立日</w:t>
            </w:r>
          </w:p>
        </w:tc>
        <w:tc>
          <w:tcPr>
            <w:tcW w:w="7299" w:type="dxa"/>
            <w:vAlign w:val="bottom"/>
          </w:tcPr>
          <w:p w14:paraId="0ACDBAD9" w14:textId="77777777" w:rsidR="003E7F78" w:rsidRDefault="00741AB5">
            <w:pPr>
              <w:widowControl/>
              <w:spacing w:line="360" w:lineRule="auto"/>
              <w:rPr>
                <w:rFonts w:ascii="仿宋_GB2312" w:eastAsia="仿宋_GB2312" w:hAnsi="宋体" w:cs="宋体"/>
                <w:bCs/>
                <w:kern w:val="0"/>
                <w:sz w:val="24"/>
                <w:szCs w:val="24"/>
              </w:rPr>
            </w:pPr>
            <w:r>
              <w:rPr>
                <w:rFonts w:ascii="仿宋_GB2312" w:eastAsia="仿宋_GB2312" w:hAnsi="宋体" w:cs="Arial" w:hint="eastAsia"/>
                <w:sz w:val="24"/>
                <w:szCs w:val="24"/>
              </w:rPr>
              <w:t>202</w:t>
            </w:r>
            <w:r>
              <w:rPr>
                <w:rFonts w:ascii="仿宋_GB2312" w:eastAsia="仿宋_GB2312" w:hAnsi="宋体" w:cs="Arial"/>
                <w:sz w:val="24"/>
                <w:szCs w:val="24"/>
              </w:rPr>
              <w:t>4</w:t>
            </w:r>
            <w:r>
              <w:rPr>
                <w:rFonts w:ascii="仿宋_GB2312" w:eastAsia="仿宋_GB2312" w:hAnsi="宋体" w:cs="Arial"/>
                <w:sz w:val="24"/>
                <w:szCs w:val="24"/>
              </w:rPr>
              <w:t>年</w:t>
            </w:r>
            <w:r>
              <w:rPr>
                <w:rFonts w:ascii="仿宋_GB2312" w:eastAsia="仿宋_GB2312" w:hAnsi="宋体" w:cs="Arial" w:hint="eastAsia"/>
                <w:sz w:val="24"/>
                <w:szCs w:val="24"/>
              </w:rPr>
              <w:t>3</w:t>
            </w:r>
            <w:r>
              <w:rPr>
                <w:rFonts w:ascii="仿宋_GB2312" w:eastAsia="仿宋_GB2312" w:hAnsi="宋体" w:cs="Arial"/>
                <w:sz w:val="24"/>
                <w:szCs w:val="24"/>
              </w:rPr>
              <w:t>月</w:t>
            </w:r>
            <w:r>
              <w:rPr>
                <w:rFonts w:ascii="仿宋_GB2312" w:eastAsia="仿宋_GB2312" w:hAnsi="宋体" w:cs="Arial" w:hint="eastAsia"/>
                <w:sz w:val="24"/>
                <w:szCs w:val="24"/>
              </w:rPr>
              <w:t>21</w:t>
            </w:r>
            <w:r>
              <w:rPr>
                <w:rFonts w:ascii="仿宋_GB2312" w:eastAsia="仿宋_GB2312" w:hAnsi="宋体" w:cs="Arial"/>
                <w:sz w:val="24"/>
                <w:szCs w:val="24"/>
              </w:rPr>
              <w:t>日</w:t>
            </w:r>
          </w:p>
        </w:tc>
      </w:tr>
      <w:tr w:rsidR="003E7F78" w14:paraId="737053B6" w14:textId="77777777">
        <w:trPr>
          <w:trHeight w:val="390"/>
        </w:trPr>
        <w:tc>
          <w:tcPr>
            <w:tcW w:w="2127" w:type="dxa"/>
            <w:vAlign w:val="center"/>
          </w:tcPr>
          <w:p w14:paraId="5561425A" w14:textId="77777777" w:rsidR="003E7F78" w:rsidRDefault="00741AB5">
            <w:pPr>
              <w:widowControl/>
              <w:spacing w:line="360" w:lineRule="auto"/>
              <w:rPr>
                <w:rFonts w:ascii="仿宋_GB2312" w:eastAsia="仿宋_GB2312" w:hAnsi="宋体" w:cs="宋体"/>
                <w:bCs/>
                <w:kern w:val="0"/>
                <w:sz w:val="24"/>
                <w:szCs w:val="24"/>
              </w:rPr>
            </w:pPr>
            <w:r>
              <w:rPr>
                <w:rFonts w:ascii="仿宋_GB2312" w:eastAsia="仿宋_GB2312" w:hAnsi="宋体" w:hint="eastAsia"/>
                <w:sz w:val="24"/>
                <w:szCs w:val="24"/>
              </w:rPr>
              <w:t>产品封闭期</w:t>
            </w:r>
          </w:p>
        </w:tc>
        <w:tc>
          <w:tcPr>
            <w:tcW w:w="7299" w:type="dxa"/>
            <w:vAlign w:val="bottom"/>
          </w:tcPr>
          <w:p w14:paraId="0F3B5D20" w14:textId="77777777" w:rsidR="003E7F78" w:rsidRDefault="00741AB5">
            <w:pPr>
              <w:widowControl/>
              <w:spacing w:line="360" w:lineRule="auto"/>
              <w:rPr>
                <w:rFonts w:ascii="仿宋_GB2312" w:eastAsia="仿宋_GB2312" w:hAnsi="宋体" w:cs="Arial"/>
                <w:sz w:val="24"/>
                <w:szCs w:val="24"/>
              </w:rPr>
            </w:pPr>
            <w:r>
              <w:rPr>
                <w:rFonts w:ascii="仿宋_GB2312" w:eastAsia="仿宋_GB2312" w:hAnsi="宋体" w:cs="Arial" w:hint="eastAsia"/>
                <w:sz w:val="24"/>
                <w:szCs w:val="24"/>
              </w:rPr>
              <w:t>2024</w:t>
            </w:r>
            <w:r>
              <w:rPr>
                <w:rFonts w:ascii="仿宋_GB2312" w:eastAsia="仿宋_GB2312" w:hAnsi="宋体" w:cs="Arial"/>
                <w:sz w:val="24"/>
                <w:szCs w:val="24"/>
              </w:rPr>
              <w:t>年</w:t>
            </w:r>
            <w:r>
              <w:rPr>
                <w:rFonts w:ascii="仿宋_GB2312" w:eastAsia="仿宋_GB2312" w:hAnsi="宋体" w:cs="Arial" w:hint="eastAsia"/>
                <w:sz w:val="24"/>
                <w:szCs w:val="24"/>
              </w:rPr>
              <w:t>3</w:t>
            </w:r>
            <w:r>
              <w:rPr>
                <w:rFonts w:ascii="仿宋_GB2312" w:eastAsia="仿宋_GB2312" w:hAnsi="宋体" w:cs="Arial"/>
                <w:sz w:val="24"/>
                <w:szCs w:val="24"/>
              </w:rPr>
              <w:t>月</w:t>
            </w:r>
            <w:r>
              <w:rPr>
                <w:rFonts w:ascii="仿宋_GB2312" w:eastAsia="仿宋_GB2312" w:hAnsi="宋体" w:cs="Arial" w:hint="eastAsia"/>
                <w:sz w:val="24"/>
                <w:szCs w:val="24"/>
              </w:rPr>
              <w:t>21</w:t>
            </w:r>
            <w:r>
              <w:rPr>
                <w:rFonts w:ascii="仿宋_GB2312" w:eastAsia="仿宋_GB2312" w:hAnsi="宋体" w:cs="Arial"/>
                <w:sz w:val="24"/>
                <w:szCs w:val="24"/>
              </w:rPr>
              <w:t>日</w:t>
            </w:r>
            <w:r>
              <w:rPr>
                <w:rFonts w:ascii="仿宋_GB2312" w:eastAsia="仿宋_GB2312" w:hAnsi="宋体" w:cs="Arial" w:hint="eastAsia"/>
                <w:sz w:val="24"/>
                <w:szCs w:val="24"/>
              </w:rPr>
              <w:t>至</w:t>
            </w:r>
            <w:r>
              <w:rPr>
                <w:rFonts w:ascii="仿宋_GB2312" w:eastAsia="仿宋_GB2312" w:hAnsi="宋体" w:cs="Arial" w:hint="eastAsia"/>
                <w:sz w:val="24"/>
                <w:szCs w:val="24"/>
              </w:rPr>
              <w:t>2024</w:t>
            </w:r>
            <w:r>
              <w:rPr>
                <w:rFonts w:ascii="仿宋_GB2312" w:eastAsia="仿宋_GB2312" w:hAnsi="宋体" w:cs="Arial" w:hint="eastAsia"/>
                <w:sz w:val="24"/>
                <w:szCs w:val="24"/>
              </w:rPr>
              <w:t>年</w:t>
            </w:r>
            <w:r>
              <w:rPr>
                <w:rFonts w:ascii="仿宋_GB2312" w:eastAsia="仿宋_GB2312" w:hAnsi="宋体" w:cs="Arial" w:hint="eastAsia"/>
                <w:sz w:val="24"/>
                <w:szCs w:val="24"/>
              </w:rPr>
              <w:t>5</w:t>
            </w:r>
            <w:r>
              <w:rPr>
                <w:rFonts w:ascii="仿宋_GB2312" w:eastAsia="仿宋_GB2312" w:hAnsi="宋体" w:cs="Arial" w:hint="eastAsia"/>
                <w:sz w:val="24"/>
                <w:szCs w:val="24"/>
              </w:rPr>
              <w:t>月</w:t>
            </w:r>
            <w:r>
              <w:rPr>
                <w:rFonts w:ascii="仿宋_GB2312" w:eastAsia="仿宋_GB2312" w:hAnsi="宋体" w:cs="Arial" w:hint="eastAsia"/>
                <w:sz w:val="24"/>
                <w:szCs w:val="24"/>
              </w:rPr>
              <w:t>15</w:t>
            </w:r>
            <w:r>
              <w:rPr>
                <w:rFonts w:ascii="仿宋_GB2312" w:eastAsia="仿宋_GB2312" w:hAnsi="宋体" w:cs="Arial" w:hint="eastAsia"/>
                <w:sz w:val="24"/>
                <w:szCs w:val="24"/>
              </w:rPr>
              <w:t>日</w:t>
            </w:r>
          </w:p>
        </w:tc>
      </w:tr>
      <w:tr w:rsidR="003E7F78" w14:paraId="74586368" w14:textId="77777777">
        <w:trPr>
          <w:trHeight w:val="301"/>
        </w:trPr>
        <w:tc>
          <w:tcPr>
            <w:tcW w:w="2127" w:type="dxa"/>
            <w:vAlign w:val="center"/>
          </w:tcPr>
          <w:p w14:paraId="37486B13" w14:textId="77777777" w:rsidR="003E7F78" w:rsidRDefault="00741AB5">
            <w:pPr>
              <w:widowControl/>
              <w:spacing w:line="360" w:lineRule="auto"/>
              <w:rPr>
                <w:rFonts w:ascii="仿宋_GB2312" w:eastAsia="仿宋_GB2312" w:hAnsi="宋体"/>
                <w:bCs/>
                <w:sz w:val="24"/>
                <w:szCs w:val="24"/>
              </w:rPr>
            </w:pPr>
            <w:r>
              <w:rPr>
                <w:rFonts w:ascii="仿宋_GB2312" w:eastAsia="仿宋_GB2312" w:hAnsi="宋体" w:hint="eastAsia"/>
                <w:bCs/>
                <w:sz w:val="24"/>
                <w:szCs w:val="24"/>
              </w:rPr>
              <w:t>产品开放期</w:t>
            </w:r>
          </w:p>
        </w:tc>
        <w:tc>
          <w:tcPr>
            <w:tcW w:w="7299" w:type="dxa"/>
            <w:vAlign w:val="bottom"/>
          </w:tcPr>
          <w:p w14:paraId="7040786A" w14:textId="77777777" w:rsidR="003E7F78" w:rsidRDefault="00741AB5">
            <w:pPr>
              <w:widowControl/>
              <w:spacing w:line="360" w:lineRule="auto"/>
              <w:rPr>
                <w:rFonts w:ascii="仿宋_GB2312" w:eastAsia="仿宋_GB2312" w:hAnsi="宋体" w:cs="Arial"/>
                <w:bCs/>
                <w:sz w:val="24"/>
                <w:szCs w:val="24"/>
              </w:rPr>
            </w:pPr>
            <w:r>
              <w:rPr>
                <w:rFonts w:ascii="仿宋_GB2312" w:eastAsia="仿宋_GB2312" w:hAnsi="宋体" w:cs="Arial" w:hint="eastAsia"/>
                <w:sz w:val="24"/>
                <w:szCs w:val="24"/>
              </w:rPr>
              <w:t>2024</w:t>
            </w:r>
            <w:r>
              <w:rPr>
                <w:rFonts w:ascii="仿宋_GB2312" w:eastAsia="仿宋_GB2312" w:hAnsi="宋体" w:cs="Arial" w:hint="eastAsia"/>
                <w:sz w:val="24"/>
                <w:szCs w:val="24"/>
              </w:rPr>
              <w:t>年</w:t>
            </w:r>
            <w:r>
              <w:rPr>
                <w:rFonts w:ascii="仿宋_GB2312" w:eastAsia="仿宋_GB2312" w:hAnsi="宋体" w:cs="Arial" w:hint="eastAsia"/>
                <w:sz w:val="24"/>
                <w:szCs w:val="24"/>
              </w:rPr>
              <w:t>5</w:t>
            </w:r>
            <w:r>
              <w:rPr>
                <w:rFonts w:ascii="仿宋_GB2312" w:eastAsia="仿宋_GB2312" w:hAnsi="宋体" w:cs="Arial" w:hint="eastAsia"/>
                <w:sz w:val="24"/>
                <w:szCs w:val="24"/>
              </w:rPr>
              <w:t>月</w:t>
            </w:r>
            <w:r>
              <w:rPr>
                <w:rFonts w:ascii="仿宋_GB2312" w:eastAsia="仿宋_GB2312" w:hAnsi="宋体" w:cs="Arial" w:hint="eastAsia"/>
                <w:sz w:val="24"/>
                <w:szCs w:val="24"/>
              </w:rPr>
              <w:t>16</w:t>
            </w:r>
            <w:r>
              <w:rPr>
                <w:rFonts w:ascii="仿宋_GB2312" w:eastAsia="仿宋_GB2312" w:hAnsi="宋体" w:cs="Arial" w:hint="eastAsia"/>
                <w:sz w:val="24"/>
                <w:szCs w:val="24"/>
              </w:rPr>
              <w:t>日至产品终止日（不含）</w:t>
            </w:r>
          </w:p>
        </w:tc>
      </w:tr>
      <w:tr w:rsidR="003E7F78" w14:paraId="6615420A" w14:textId="77777777">
        <w:trPr>
          <w:trHeight w:val="301"/>
        </w:trPr>
        <w:tc>
          <w:tcPr>
            <w:tcW w:w="2127" w:type="dxa"/>
            <w:vAlign w:val="center"/>
          </w:tcPr>
          <w:p w14:paraId="7DEA7202" w14:textId="77777777" w:rsidR="003E7F78" w:rsidRDefault="00741AB5">
            <w:pPr>
              <w:widowControl/>
              <w:spacing w:line="360" w:lineRule="auto"/>
              <w:rPr>
                <w:rFonts w:ascii="仿宋_GB2312" w:eastAsia="仿宋_GB2312" w:hAnsi="宋体"/>
                <w:bCs/>
                <w:sz w:val="24"/>
                <w:szCs w:val="24"/>
              </w:rPr>
            </w:pPr>
            <w:r>
              <w:rPr>
                <w:rFonts w:ascii="仿宋_GB2312" w:eastAsia="仿宋_GB2312" w:hAnsi="宋体" w:hint="eastAsia"/>
                <w:bCs/>
                <w:sz w:val="24"/>
                <w:szCs w:val="24"/>
              </w:rPr>
              <w:t>工作日</w:t>
            </w:r>
          </w:p>
        </w:tc>
        <w:tc>
          <w:tcPr>
            <w:tcW w:w="7299" w:type="dxa"/>
            <w:vAlign w:val="center"/>
          </w:tcPr>
          <w:p w14:paraId="26249FDA" w14:textId="77777777" w:rsidR="003E7F78" w:rsidRDefault="00741AB5">
            <w:pPr>
              <w:widowControl/>
              <w:spacing w:line="360" w:lineRule="auto"/>
              <w:jc w:val="left"/>
              <w:rPr>
                <w:rFonts w:ascii="仿宋_GB2312" w:eastAsia="仿宋_GB2312" w:hAnsi="宋体" w:cs="Arial"/>
                <w:bCs/>
                <w:sz w:val="24"/>
                <w:szCs w:val="24"/>
              </w:rPr>
            </w:pPr>
            <w:r>
              <w:rPr>
                <w:rFonts w:ascii="仿宋_GB2312" w:eastAsia="仿宋_GB2312" w:hAnsi="宋体" w:hint="eastAsia"/>
                <w:bCs/>
                <w:sz w:val="24"/>
                <w:szCs w:val="24"/>
              </w:rPr>
              <w:t>指交易所市场（上海证券交易所和深圳证券交易所）开放的工作日</w:t>
            </w:r>
          </w:p>
        </w:tc>
      </w:tr>
      <w:tr w:rsidR="003E7F78" w14:paraId="38709B8E" w14:textId="77777777">
        <w:trPr>
          <w:trHeight w:val="301"/>
        </w:trPr>
        <w:tc>
          <w:tcPr>
            <w:tcW w:w="2127" w:type="dxa"/>
            <w:vAlign w:val="center"/>
          </w:tcPr>
          <w:p w14:paraId="58935D49" w14:textId="77777777" w:rsidR="003E7F78" w:rsidRDefault="00741AB5">
            <w:pPr>
              <w:widowControl/>
              <w:spacing w:line="360" w:lineRule="auto"/>
              <w:rPr>
                <w:rFonts w:ascii="仿宋_GB2312" w:eastAsia="仿宋_GB2312" w:hAnsi="宋体"/>
                <w:bCs/>
                <w:sz w:val="24"/>
                <w:szCs w:val="24"/>
              </w:rPr>
            </w:pPr>
            <w:r>
              <w:rPr>
                <w:rFonts w:ascii="仿宋_GB2312" w:eastAsia="仿宋_GB2312" w:hAnsi="宋体" w:hint="eastAsia"/>
                <w:bCs/>
                <w:sz w:val="24"/>
                <w:szCs w:val="24"/>
              </w:rPr>
              <w:t>产品开放日和交易时间</w:t>
            </w:r>
          </w:p>
        </w:tc>
        <w:tc>
          <w:tcPr>
            <w:tcW w:w="7299" w:type="dxa"/>
            <w:vAlign w:val="center"/>
          </w:tcPr>
          <w:p w14:paraId="286EA9B0" w14:textId="77777777" w:rsidR="003E7F78" w:rsidRDefault="00741AB5">
            <w:pPr>
              <w:widowControl/>
              <w:spacing w:line="360" w:lineRule="auto"/>
              <w:jc w:val="left"/>
              <w:rPr>
                <w:rFonts w:ascii="仿宋_GB2312" w:eastAsia="仿宋_GB2312" w:hAnsi="宋体" w:cs="Arial"/>
                <w:bCs/>
                <w:sz w:val="24"/>
                <w:szCs w:val="24"/>
              </w:rPr>
            </w:pPr>
            <w:r>
              <w:rPr>
                <w:rFonts w:ascii="仿宋_GB2312" w:eastAsia="仿宋_GB2312" w:hAnsi="宋体" w:cs="Arial" w:hint="eastAsia"/>
                <w:bCs/>
                <w:sz w:val="24"/>
                <w:szCs w:val="24"/>
              </w:rPr>
              <w:t>产品开放期内的每一个自然日</w:t>
            </w:r>
            <w:r>
              <w:rPr>
                <w:rFonts w:ascii="仿宋_GB2312" w:eastAsia="仿宋_GB2312" w:hAnsi="宋体" w:cs="Arial"/>
                <w:bCs/>
                <w:sz w:val="24"/>
                <w:szCs w:val="24"/>
              </w:rPr>
              <w:t>0:00-24:00</w:t>
            </w:r>
            <w:r>
              <w:rPr>
                <w:rFonts w:ascii="仿宋_GB2312" w:eastAsia="仿宋_GB2312" w:hAnsi="宋体" w:cs="宋体" w:hint="eastAsia"/>
                <w:bCs/>
                <w:kern w:val="0"/>
                <w:sz w:val="24"/>
                <w:szCs w:val="24"/>
              </w:rPr>
              <w:t>。</w:t>
            </w:r>
          </w:p>
        </w:tc>
      </w:tr>
      <w:tr w:rsidR="003E7F78" w14:paraId="109F54C5" w14:textId="77777777">
        <w:trPr>
          <w:trHeight w:val="301"/>
        </w:trPr>
        <w:tc>
          <w:tcPr>
            <w:tcW w:w="2127" w:type="dxa"/>
            <w:vAlign w:val="center"/>
          </w:tcPr>
          <w:p w14:paraId="530C6F86" w14:textId="77777777" w:rsidR="003E7F78" w:rsidRDefault="00741AB5">
            <w:pPr>
              <w:widowControl/>
              <w:spacing w:line="360" w:lineRule="auto"/>
              <w:rPr>
                <w:rFonts w:ascii="仿宋_GB2312" w:hAnsi="宋体"/>
                <w:bCs/>
                <w:kern w:val="0"/>
                <w:sz w:val="24"/>
              </w:rPr>
            </w:pPr>
            <w:r>
              <w:rPr>
                <w:rFonts w:ascii="仿宋_GB2312" w:eastAsia="仿宋_GB2312" w:hAnsi="宋体" w:hint="eastAsia"/>
                <w:bCs/>
                <w:sz w:val="24"/>
                <w:szCs w:val="24"/>
              </w:rPr>
              <w:t>产品终止日</w:t>
            </w:r>
          </w:p>
        </w:tc>
        <w:tc>
          <w:tcPr>
            <w:tcW w:w="7299" w:type="dxa"/>
            <w:vAlign w:val="bottom"/>
          </w:tcPr>
          <w:p w14:paraId="1F1F58D3" w14:textId="77777777" w:rsidR="003E7F78" w:rsidRDefault="00741AB5">
            <w:pPr>
              <w:widowControl/>
              <w:spacing w:line="360" w:lineRule="auto"/>
              <w:rPr>
                <w:rFonts w:ascii="仿宋_GB2312"/>
                <w:bCs/>
                <w:sz w:val="24"/>
              </w:rPr>
            </w:pPr>
            <w:r>
              <w:rPr>
                <w:rFonts w:ascii="仿宋_GB2312" w:eastAsia="仿宋_GB2312" w:hAnsi="宋体" w:cs="Arial" w:hint="eastAsia"/>
                <w:bCs/>
                <w:sz w:val="24"/>
                <w:szCs w:val="24"/>
              </w:rPr>
              <w:t>持续运作，产品管理人有权根据实际情况终止，详见“产品说明部分”第六条（一）“产品的终止”。</w:t>
            </w:r>
          </w:p>
        </w:tc>
      </w:tr>
      <w:tr w:rsidR="003E7F78" w14:paraId="14BAF30A" w14:textId="77777777">
        <w:trPr>
          <w:trHeight w:val="301"/>
        </w:trPr>
        <w:tc>
          <w:tcPr>
            <w:tcW w:w="2127" w:type="dxa"/>
            <w:vAlign w:val="center"/>
          </w:tcPr>
          <w:p w14:paraId="4B83D34C" w14:textId="77777777" w:rsidR="003E7F78" w:rsidRDefault="00741AB5">
            <w:pPr>
              <w:widowControl/>
              <w:spacing w:line="360" w:lineRule="auto"/>
              <w:rPr>
                <w:rFonts w:ascii="仿宋_GB2312" w:eastAsia="仿宋_GB2312" w:hAnsi="宋体"/>
                <w:strike/>
                <w:sz w:val="24"/>
                <w:szCs w:val="24"/>
              </w:rPr>
            </w:pPr>
            <w:r>
              <w:rPr>
                <w:rFonts w:ascii="仿宋_GB2312" w:eastAsia="仿宋_GB2312" w:hAnsi="宋体" w:hint="eastAsia"/>
                <w:sz w:val="24"/>
                <w:szCs w:val="24"/>
              </w:rPr>
              <w:t>净值公布</w:t>
            </w:r>
          </w:p>
        </w:tc>
        <w:tc>
          <w:tcPr>
            <w:tcW w:w="7299" w:type="dxa"/>
            <w:vAlign w:val="bottom"/>
          </w:tcPr>
          <w:p w14:paraId="1B4DDA43" w14:textId="77777777" w:rsidR="003E7F78" w:rsidRDefault="00741AB5">
            <w:pPr>
              <w:widowControl/>
              <w:spacing w:line="360" w:lineRule="auto"/>
              <w:rPr>
                <w:rFonts w:ascii="仿宋_GB2312" w:eastAsia="仿宋_GB2312" w:hAnsi="宋体" w:cs="Arial"/>
                <w:strike/>
                <w:sz w:val="24"/>
                <w:szCs w:val="24"/>
              </w:rPr>
            </w:pPr>
            <w:r>
              <w:rPr>
                <w:rFonts w:ascii="仿宋_GB2312" w:eastAsia="仿宋_GB2312" w:hAnsi="宋体" w:cs="Arial" w:hint="eastAsia"/>
                <w:sz w:val="24"/>
                <w:szCs w:val="24"/>
              </w:rPr>
              <w:t>产品成立后的每个工作日为估值日。</w:t>
            </w:r>
            <w:r>
              <w:rPr>
                <w:rFonts w:ascii="仿宋_GB2312" w:eastAsia="仿宋_GB2312" w:hAnsi="宋体" w:cs="Arial"/>
                <w:sz w:val="24"/>
                <w:szCs w:val="24"/>
              </w:rPr>
              <w:br/>
            </w:r>
            <w:r>
              <w:rPr>
                <w:rFonts w:ascii="仿宋_GB2312" w:eastAsia="仿宋_GB2312" w:hAnsi="宋体" w:cs="Arial"/>
                <w:sz w:val="24"/>
                <w:szCs w:val="24"/>
              </w:rPr>
              <w:t>产品管理人于估值日后的两个工作日内公布估值日产品单位净值。</w:t>
            </w:r>
          </w:p>
        </w:tc>
      </w:tr>
      <w:tr w:rsidR="003E7F78" w14:paraId="5B135C31" w14:textId="77777777">
        <w:trPr>
          <w:trHeight w:val="301"/>
        </w:trPr>
        <w:tc>
          <w:tcPr>
            <w:tcW w:w="2127" w:type="dxa"/>
            <w:vAlign w:val="center"/>
          </w:tcPr>
          <w:p w14:paraId="630A9109" w14:textId="77777777" w:rsidR="003E7F78" w:rsidRDefault="00741AB5">
            <w:pPr>
              <w:widowControl/>
              <w:spacing w:line="360" w:lineRule="auto"/>
              <w:rPr>
                <w:rFonts w:ascii="仿宋_GB2312" w:eastAsia="仿宋_GB2312" w:hAnsi="宋体"/>
                <w:sz w:val="24"/>
                <w:szCs w:val="24"/>
              </w:rPr>
            </w:pPr>
            <w:r>
              <w:rPr>
                <w:rFonts w:ascii="仿宋_GB2312" w:eastAsia="仿宋_GB2312" w:hAnsi="宋体" w:cs="宋体" w:hint="eastAsia"/>
                <w:kern w:val="0"/>
                <w:sz w:val="24"/>
                <w:szCs w:val="24"/>
              </w:rPr>
              <w:t>投资起点</w:t>
            </w:r>
          </w:p>
        </w:tc>
        <w:tc>
          <w:tcPr>
            <w:tcW w:w="7299" w:type="dxa"/>
            <w:vAlign w:val="bottom"/>
          </w:tcPr>
          <w:p w14:paraId="276AEE46" w14:textId="77777777" w:rsidR="003E7F78" w:rsidRDefault="00741AB5">
            <w:pPr>
              <w:widowControl/>
              <w:spacing w:line="360" w:lineRule="auto"/>
              <w:rPr>
                <w:rFonts w:ascii="仿宋_GB2312" w:eastAsia="仿宋_GB2312" w:hAnsi="宋体" w:cs="Arial"/>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C</w:t>
            </w:r>
            <w:r>
              <w:rPr>
                <w:rFonts w:ascii="仿宋_GB2312" w:eastAsia="仿宋_GB2312" w:hAnsi="宋体" w:cs="宋体" w:hint="eastAsia"/>
                <w:kern w:val="0"/>
                <w:sz w:val="24"/>
                <w:szCs w:val="24"/>
              </w:rPr>
              <w:t>类份额：</w:t>
            </w:r>
            <w:r>
              <w:rPr>
                <w:rFonts w:ascii="仿宋_GB2312" w:eastAsia="仿宋_GB2312" w:hAnsi="宋体" w:cs="Arial" w:hint="eastAsia"/>
                <w:sz w:val="24"/>
                <w:szCs w:val="24"/>
              </w:rPr>
              <w:t>投资起点为</w:t>
            </w:r>
            <w:r>
              <w:rPr>
                <w:rFonts w:ascii="仿宋_GB2312" w:eastAsia="仿宋_GB2312" w:hAnsi="宋体" w:cs="Arial" w:hint="eastAsia"/>
                <w:sz w:val="24"/>
                <w:szCs w:val="24"/>
              </w:rPr>
              <w:t>1</w:t>
            </w:r>
            <w:r>
              <w:rPr>
                <w:rFonts w:ascii="仿宋_GB2312" w:eastAsia="仿宋_GB2312" w:hAnsi="宋体" w:cs="Arial" w:hint="eastAsia"/>
                <w:sz w:val="24"/>
                <w:szCs w:val="24"/>
              </w:rPr>
              <w:t>元，并以</w:t>
            </w:r>
            <w:r>
              <w:rPr>
                <w:rFonts w:ascii="仿宋_GB2312" w:eastAsia="仿宋_GB2312" w:hAnsi="宋体" w:cs="Arial" w:hint="eastAsia"/>
                <w:sz w:val="24"/>
                <w:szCs w:val="24"/>
              </w:rPr>
              <w:t>1</w:t>
            </w:r>
            <w:r>
              <w:rPr>
                <w:rFonts w:ascii="仿宋_GB2312" w:eastAsia="仿宋_GB2312" w:hAnsi="宋体" w:cs="Arial" w:hint="eastAsia"/>
                <w:sz w:val="24"/>
                <w:szCs w:val="24"/>
              </w:rPr>
              <w:t>元为单位递增。</w:t>
            </w:r>
          </w:p>
          <w:p w14:paraId="4C43AB67" w14:textId="77777777" w:rsidR="003E7F78" w:rsidRDefault="00741AB5">
            <w:pPr>
              <w:widowControl/>
              <w:spacing w:line="360" w:lineRule="auto"/>
              <w:rPr>
                <w:rFonts w:ascii="仿宋_GB2312" w:eastAsia="仿宋_GB2312" w:hAnsi="宋体" w:cs="Arial"/>
                <w:sz w:val="24"/>
                <w:szCs w:val="24"/>
              </w:rPr>
            </w:pPr>
            <w:r>
              <w:rPr>
                <w:rFonts w:ascii="仿宋_GB2312" w:eastAsia="仿宋_GB2312" w:hAnsi="宋体" w:cs="Arial" w:hint="eastAsia"/>
                <w:sz w:val="24"/>
                <w:szCs w:val="24"/>
              </w:rPr>
              <w:t>单户持仓上限</w:t>
            </w:r>
            <w:r>
              <w:rPr>
                <w:rFonts w:ascii="仿宋_GB2312" w:eastAsia="仿宋_GB2312" w:hAnsi="宋体" w:cs="Arial" w:hint="eastAsia"/>
                <w:sz w:val="24"/>
                <w:szCs w:val="24"/>
              </w:rPr>
              <w:t>1</w:t>
            </w:r>
            <w:r>
              <w:rPr>
                <w:rFonts w:ascii="仿宋_GB2312" w:eastAsia="仿宋_GB2312" w:hAnsi="宋体" w:cs="Arial" w:hint="eastAsia"/>
                <w:sz w:val="24"/>
                <w:szCs w:val="24"/>
              </w:rPr>
              <w:t>亿份。</w:t>
            </w:r>
          </w:p>
        </w:tc>
      </w:tr>
      <w:tr w:rsidR="003E7F78" w14:paraId="6E02EA5F" w14:textId="77777777">
        <w:trPr>
          <w:trHeight w:val="416"/>
        </w:trPr>
        <w:tc>
          <w:tcPr>
            <w:tcW w:w="2127" w:type="dxa"/>
            <w:vAlign w:val="center"/>
          </w:tcPr>
          <w:p w14:paraId="10C4B279" w14:textId="77777777" w:rsidR="003E7F78" w:rsidRDefault="00741AB5">
            <w:pPr>
              <w:widowControl/>
              <w:spacing w:line="360" w:lineRule="auto"/>
              <w:rPr>
                <w:rFonts w:ascii="仿宋_GB2312" w:eastAsia="仿宋_GB2312" w:hAnsi="宋体"/>
                <w:bCs/>
                <w:sz w:val="24"/>
                <w:szCs w:val="24"/>
              </w:rPr>
            </w:pPr>
            <w:r>
              <w:rPr>
                <w:rFonts w:ascii="仿宋_GB2312" w:eastAsia="仿宋_GB2312" w:hAnsi="宋体" w:hint="eastAsia"/>
                <w:bCs/>
                <w:sz w:val="24"/>
                <w:szCs w:val="24"/>
              </w:rPr>
              <w:t>产品的申购及赎回</w:t>
            </w:r>
          </w:p>
        </w:tc>
        <w:tc>
          <w:tcPr>
            <w:tcW w:w="7299" w:type="dxa"/>
            <w:vAlign w:val="bottom"/>
          </w:tcPr>
          <w:p w14:paraId="64FF8A4C" w14:textId="77777777" w:rsidR="003E7F78" w:rsidRDefault="00741AB5">
            <w:pPr>
              <w:widowControl/>
              <w:tabs>
                <w:tab w:val="left" w:pos="312"/>
              </w:tabs>
              <w:spacing w:line="360" w:lineRule="auto"/>
              <w:rPr>
                <w:rFonts w:ascii="仿宋_GB2312" w:eastAsia="仿宋_GB2312" w:hAnsi="宋体" w:cs="Arial"/>
                <w:bCs/>
                <w:sz w:val="24"/>
                <w:szCs w:val="24"/>
              </w:rPr>
            </w:pPr>
            <w:r>
              <w:rPr>
                <w:rFonts w:ascii="仿宋_GB2312" w:eastAsia="仿宋_GB2312" w:hAnsi="宋体" w:cs="Arial"/>
                <w:bCs/>
                <w:sz w:val="24"/>
                <w:szCs w:val="24"/>
              </w:rPr>
              <w:t>1.</w:t>
            </w:r>
            <w:r>
              <w:rPr>
                <w:rFonts w:ascii="仿宋_GB2312" w:eastAsia="仿宋_GB2312" w:hAnsi="宋体" w:cs="Arial"/>
                <w:bCs/>
                <w:sz w:val="24"/>
                <w:szCs w:val="24"/>
              </w:rPr>
              <w:t>申购和赎回申请受理时间：投资者可在产品开放期内产品开放日的交易时间提出申购、赎回申请。</w:t>
            </w:r>
          </w:p>
          <w:p w14:paraId="3A69643F" w14:textId="77777777" w:rsidR="003E7F78" w:rsidRDefault="00741AB5">
            <w:pPr>
              <w:widowControl/>
              <w:tabs>
                <w:tab w:val="left" w:pos="312"/>
              </w:tabs>
              <w:spacing w:line="360" w:lineRule="auto"/>
              <w:rPr>
                <w:rFonts w:ascii="仿宋_GB2312" w:eastAsia="仿宋_GB2312" w:hAnsi="宋体" w:cs="Arial"/>
                <w:sz w:val="24"/>
                <w:szCs w:val="24"/>
              </w:rPr>
            </w:pPr>
            <w:r>
              <w:rPr>
                <w:rFonts w:ascii="仿宋_GB2312" w:eastAsia="仿宋_GB2312" w:hAnsi="宋体" w:cs="Arial"/>
                <w:bCs/>
                <w:sz w:val="24"/>
                <w:szCs w:val="24"/>
              </w:rPr>
              <w:t>2.</w:t>
            </w:r>
            <w:r>
              <w:rPr>
                <w:rFonts w:ascii="仿宋_GB2312" w:eastAsia="仿宋_GB2312" w:hAnsi="宋体" w:cs="Arial"/>
                <w:bCs/>
                <w:sz w:val="24"/>
                <w:szCs w:val="24"/>
              </w:rPr>
              <w:t>申购的确认时间：</w:t>
            </w:r>
            <w:r>
              <w:rPr>
                <w:rFonts w:ascii="仿宋_GB2312" w:eastAsia="仿宋_GB2312" w:hAnsi="宋体" w:cs="Arial"/>
                <w:sz w:val="24"/>
                <w:szCs w:val="24"/>
              </w:rPr>
              <w:t>投资者在工作日</w:t>
            </w:r>
            <w:r>
              <w:rPr>
                <w:rFonts w:ascii="仿宋_GB2312" w:eastAsia="仿宋_GB2312" w:hAnsi="宋体" w:cs="Arial" w:hint="eastAsia"/>
                <w:sz w:val="24"/>
                <w:szCs w:val="24"/>
              </w:rPr>
              <w:t>17:00</w:t>
            </w:r>
            <w:r>
              <w:rPr>
                <w:rFonts w:ascii="仿宋_GB2312" w:eastAsia="仿宋_GB2312" w:hAnsi="宋体" w:cs="Arial"/>
                <w:sz w:val="24"/>
                <w:szCs w:val="24"/>
              </w:rPr>
              <w:t>（不含）之前提出的申购申请，视为当日的申购申请，申购申请日为提出申购申请当日；投资者在工作日</w:t>
            </w:r>
            <w:r>
              <w:rPr>
                <w:rFonts w:ascii="仿宋_GB2312" w:eastAsia="仿宋_GB2312" w:hAnsi="宋体" w:cs="Arial" w:hint="eastAsia"/>
                <w:sz w:val="24"/>
                <w:szCs w:val="24"/>
              </w:rPr>
              <w:t>17:00</w:t>
            </w:r>
            <w:r>
              <w:rPr>
                <w:rFonts w:ascii="仿宋_GB2312" w:eastAsia="仿宋_GB2312" w:hAnsi="宋体" w:cs="Arial"/>
                <w:sz w:val="24"/>
                <w:szCs w:val="24"/>
              </w:rPr>
              <w:t>（含）之后或非工作日提出的申购申请，视为提出申购申请之日的下一工作日的申购申请，申购申请日为提出申购申请之日的下一工作日。申购确认日是申购申请日（含）后第</w:t>
            </w:r>
            <w:r>
              <w:rPr>
                <w:rFonts w:ascii="仿宋_GB2312" w:eastAsia="仿宋_GB2312" w:hAnsi="宋体" w:cs="Arial" w:hint="eastAsia"/>
                <w:sz w:val="24"/>
                <w:szCs w:val="24"/>
              </w:rPr>
              <w:t>一</w:t>
            </w:r>
            <w:r>
              <w:rPr>
                <w:rFonts w:ascii="仿宋_GB2312" w:eastAsia="仿宋_GB2312" w:hAnsi="宋体" w:cs="Arial"/>
                <w:sz w:val="24"/>
                <w:szCs w:val="24"/>
              </w:rPr>
              <w:t>个工作日。投资者提出申购申请后，投资资金将实</w:t>
            </w:r>
            <w:r>
              <w:rPr>
                <w:rFonts w:ascii="仿宋_GB2312" w:eastAsia="仿宋_GB2312" w:hAnsi="宋体" w:cs="Arial" w:hint="eastAsia"/>
                <w:sz w:val="24"/>
                <w:szCs w:val="24"/>
              </w:rPr>
              <w:t>时冻结，并于申购申请日扣划。资金冻结期间将按照代销机构公</w:t>
            </w:r>
            <w:r>
              <w:rPr>
                <w:rFonts w:ascii="仿宋_GB2312" w:eastAsia="仿宋_GB2312" w:hAnsi="宋体" w:cs="Arial" w:hint="eastAsia"/>
                <w:sz w:val="24"/>
                <w:szCs w:val="24"/>
              </w:rPr>
              <w:t>布的人民币活期存款利率计算活期存款利息，该等利息不作为申购资金扣收。投资者实际申购份额以产品管理人确认份额为准。产品管理人确认投资者申购申请的，投资者自申购申请确认日起持有理财产品份额。</w:t>
            </w:r>
          </w:p>
          <w:p w14:paraId="7837882B" w14:textId="77777777" w:rsidR="003E7F78" w:rsidRDefault="00741AB5">
            <w:pPr>
              <w:widowControl/>
              <w:tabs>
                <w:tab w:val="left" w:pos="312"/>
              </w:tabs>
              <w:spacing w:line="360" w:lineRule="auto"/>
              <w:rPr>
                <w:rFonts w:ascii="仿宋_GB2312" w:eastAsia="仿宋_GB2312" w:hAnsi="宋体" w:cs="Arial"/>
                <w:bCs/>
                <w:sz w:val="24"/>
                <w:szCs w:val="24"/>
              </w:rPr>
            </w:pPr>
            <w:r>
              <w:rPr>
                <w:rFonts w:ascii="仿宋_GB2312" w:eastAsia="仿宋_GB2312" w:hAnsi="宋体" w:cs="Arial"/>
                <w:bCs/>
                <w:sz w:val="24"/>
                <w:szCs w:val="24"/>
              </w:rPr>
              <w:t>3.</w:t>
            </w:r>
            <w:r>
              <w:rPr>
                <w:rFonts w:ascii="仿宋_GB2312" w:eastAsia="仿宋_GB2312" w:hAnsi="宋体" w:cs="Arial"/>
                <w:bCs/>
                <w:sz w:val="24"/>
                <w:szCs w:val="24"/>
              </w:rPr>
              <w:t>赎回的确认时间：</w:t>
            </w:r>
            <w:r>
              <w:rPr>
                <w:rFonts w:ascii="仿宋_GB2312" w:eastAsia="仿宋_GB2312" w:hAnsi="宋体" w:cs="Arial"/>
                <w:sz w:val="24"/>
                <w:szCs w:val="24"/>
              </w:rPr>
              <w:t>投资者在产品开放期内产品开放日的交易时间可提出赎回申请。投资者在工作日</w:t>
            </w:r>
            <w:r>
              <w:rPr>
                <w:rFonts w:ascii="仿宋_GB2312" w:eastAsia="仿宋_GB2312" w:hAnsi="宋体" w:cs="Arial" w:hint="eastAsia"/>
                <w:sz w:val="24"/>
                <w:szCs w:val="24"/>
              </w:rPr>
              <w:t>17:00</w:t>
            </w:r>
            <w:r>
              <w:rPr>
                <w:rFonts w:ascii="仿宋_GB2312" w:eastAsia="仿宋_GB2312" w:hAnsi="宋体" w:cs="Arial"/>
                <w:sz w:val="24"/>
                <w:szCs w:val="24"/>
              </w:rPr>
              <w:t>（不含）之前提出的赎回申请，视为当日的赎回申请，赎回申请日为提出赎回申请当日；投资者在工作日</w:t>
            </w:r>
            <w:r>
              <w:rPr>
                <w:rFonts w:ascii="仿宋_GB2312" w:eastAsia="仿宋_GB2312" w:hAnsi="宋体" w:cs="Arial" w:hint="eastAsia"/>
                <w:sz w:val="24"/>
                <w:szCs w:val="24"/>
              </w:rPr>
              <w:t>17:00</w:t>
            </w:r>
            <w:r>
              <w:rPr>
                <w:rFonts w:ascii="仿宋_GB2312" w:eastAsia="仿宋_GB2312" w:hAnsi="宋体" w:cs="Arial"/>
                <w:sz w:val="24"/>
                <w:szCs w:val="24"/>
              </w:rPr>
              <w:t>（含）之后或非工作日提出的赎回</w:t>
            </w:r>
            <w:r>
              <w:rPr>
                <w:rFonts w:ascii="仿宋_GB2312" w:eastAsia="仿宋_GB2312" w:hAnsi="宋体" w:cs="Arial" w:hint="eastAsia"/>
                <w:sz w:val="24"/>
                <w:szCs w:val="24"/>
              </w:rPr>
              <w:t>申请，视为提出赎回申请之日的下一工作日的赎回申请，赎回申请日为提出赎回申请之日的下一工作日。赎回确认日是赎回申请日（含）后第一个工作日。投资者实际赎回份额以产品管理人确认份额为准，赎回资金将于赎回确认日后两个工作日内到账。具体到账时间以代销机构提示为准</w:t>
            </w:r>
            <w:r>
              <w:rPr>
                <w:rFonts w:ascii="仿宋_GB2312" w:eastAsia="仿宋_GB2312" w:hAnsi="宋体" w:cs="Arial" w:hint="eastAsia"/>
                <w:bCs/>
                <w:sz w:val="24"/>
                <w:szCs w:val="24"/>
              </w:rPr>
              <w:t>。</w:t>
            </w:r>
          </w:p>
          <w:p w14:paraId="056FDE2C" w14:textId="77777777" w:rsidR="003E7F78" w:rsidRDefault="00741AB5">
            <w:pPr>
              <w:widowControl/>
              <w:tabs>
                <w:tab w:val="left" w:pos="312"/>
              </w:tabs>
              <w:spacing w:line="360" w:lineRule="auto"/>
              <w:rPr>
                <w:rFonts w:ascii="仿宋_GB2312" w:eastAsia="仿宋_GB2312" w:hAnsi="宋体" w:cs="Arial"/>
                <w:bCs/>
                <w:sz w:val="24"/>
                <w:szCs w:val="24"/>
              </w:rPr>
            </w:pPr>
            <w:r>
              <w:rPr>
                <w:rFonts w:ascii="仿宋_GB2312" w:eastAsia="仿宋_GB2312" w:hAnsi="宋体" w:cs="Arial"/>
                <w:bCs/>
                <w:sz w:val="24"/>
                <w:szCs w:val="24"/>
              </w:rPr>
              <w:t>4.</w:t>
            </w:r>
            <w:r>
              <w:rPr>
                <w:rFonts w:ascii="仿宋_GB2312" w:eastAsia="仿宋_GB2312" w:hAnsi="宋体" w:cs="Arial"/>
                <w:bCs/>
                <w:sz w:val="24"/>
                <w:szCs w:val="24"/>
              </w:rPr>
              <w:t>申购</w:t>
            </w:r>
            <w:r>
              <w:rPr>
                <w:rFonts w:ascii="仿宋_GB2312" w:eastAsia="仿宋_GB2312" w:hAnsi="宋体" w:cs="Arial"/>
                <w:bCs/>
                <w:sz w:val="24"/>
                <w:szCs w:val="24"/>
              </w:rPr>
              <w:t>/</w:t>
            </w:r>
            <w:r>
              <w:rPr>
                <w:rFonts w:ascii="仿宋_GB2312" w:eastAsia="仿宋_GB2312" w:hAnsi="宋体" w:cs="Arial"/>
                <w:bCs/>
                <w:sz w:val="24"/>
                <w:szCs w:val="24"/>
              </w:rPr>
              <w:t>赎回价格：申购</w:t>
            </w:r>
            <w:r>
              <w:rPr>
                <w:rFonts w:ascii="仿宋_GB2312" w:eastAsia="仿宋_GB2312" w:hAnsi="宋体" w:cs="Arial"/>
                <w:bCs/>
                <w:sz w:val="24"/>
                <w:szCs w:val="24"/>
              </w:rPr>
              <w:t>/</w:t>
            </w:r>
            <w:r>
              <w:rPr>
                <w:rFonts w:ascii="仿宋_GB2312" w:eastAsia="仿宋_GB2312" w:hAnsi="宋体" w:cs="Arial"/>
                <w:bCs/>
                <w:sz w:val="24"/>
                <w:szCs w:val="24"/>
              </w:rPr>
              <w:t>赎回申请日的产品单位净值。</w:t>
            </w:r>
          </w:p>
          <w:p w14:paraId="2FAAFDE6" w14:textId="77777777" w:rsidR="003E7F78" w:rsidRDefault="00741AB5">
            <w:pPr>
              <w:widowControl/>
              <w:tabs>
                <w:tab w:val="left" w:pos="312"/>
              </w:tabs>
              <w:spacing w:line="360" w:lineRule="auto"/>
              <w:rPr>
                <w:rFonts w:ascii="仿宋_GB2312" w:eastAsia="仿宋_GB2312" w:hAnsi="宋体" w:cs="Arial"/>
                <w:b/>
                <w:bCs/>
                <w:sz w:val="24"/>
                <w:szCs w:val="24"/>
              </w:rPr>
            </w:pPr>
            <w:r>
              <w:rPr>
                <w:rFonts w:ascii="仿宋_GB2312" w:eastAsia="仿宋_GB2312" w:hAnsi="宋体" w:hint="eastAsia"/>
                <w:b/>
                <w:bCs/>
                <w:sz w:val="24"/>
                <w:szCs w:val="24"/>
              </w:rPr>
              <w:t>▲▲</w:t>
            </w:r>
            <w:r>
              <w:rPr>
                <w:rFonts w:ascii="仿宋_GB2312" w:eastAsia="仿宋_GB2312" w:hAnsi="宋体" w:cs="Arial" w:hint="eastAsia"/>
                <w:b/>
                <w:bCs/>
                <w:sz w:val="24"/>
                <w:szCs w:val="24"/>
              </w:rPr>
              <w:t>5</w:t>
            </w:r>
            <w:r>
              <w:rPr>
                <w:rFonts w:ascii="仿宋_GB2312" w:eastAsia="仿宋_GB2312" w:hAnsi="宋体" w:cs="Arial"/>
                <w:b/>
                <w:bCs/>
                <w:sz w:val="24"/>
                <w:szCs w:val="24"/>
              </w:rPr>
              <w:t>.</w:t>
            </w:r>
            <w:r>
              <w:rPr>
                <w:rFonts w:ascii="仿宋_GB2312" w:eastAsia="仿宋_GB2312" w:hAnsi="宋体" w:cs="Arial"/>
                <w:b/>
                <w:bCs/>
                <w:sz w:val="24"/>
                <w:szCs w:val="24"/>
              </w:rPr>
              <w:t>大额赎回：本理财产品存续期间任一工作日，若</w:t>
            </w:r>
            <w:r>
              <w:rPr>
                <w:rFonts w:ascii="仿宋_GB2312" w:eastAsia="仿宋_GB2312" w:hAnsi="宋体" w:cs="Arial" w:hint="eastAsia"/>
                <w:b/>
                <w:bCs/>
                <w:sz w:val="24"/>
                <w:szCs w:val="24"/>
              </w:rPr>
              <w:t>产品净赎回总份额超过前一个工作日产品总份额的</w:t>
            </w:r>
            <w:r>
              <w:rPr>
                <w:rFonts w:ascii="仿宋_GB2312" w:eastAsia="仿宋_GB2312" w:hAnsi="宋体" w:cs="Arial"/>
                <w:b/>
                <w:bCs/>
                <w:sz w:val="24"/>
                <w:szCs w:val="24"/>
              </w:rPr>
              <w:t>10%</w:t>
            </w:r>
            <w:r>
              <w:rPr>
                <w:rFonts w:ascii="仿宋_GB2312" w:eastAsia="仿宋_GB2312" w:hAnsi="宋体" w:cs="Arial"/>
                <w:b/>
                <w:bCs/>
                <w:sz w:val="24"/>
                <w:szCs w:val="24"/>
              </w:rPr>
              <w:t>，为大额赎回。</w:t>
            </w:r>
            <w:r>
              <w:rPr>
                <w:rFonts w:ascii="仿宋_GB2312" w:eastAsia="仿宋_GB2312" w:hint="eastAsia"/>
                <w:b/>
                <w:bCs/>
                <w:sz w:val="24"/>
                <w:szCs w:val="24"/>
              </w:rPr>
              <w:t>产品发生大额赎回的，产品管理人接受的赎回份额不得低于产品总份额的</w:t>
            </w:r>
            <w:r>
              <w:rPr>
                <w:rFonts w:ascii="仿宋_GB2312" w:eastAsia="仿宋_GB2312" w:hint="eastAsia"/>
                <w:b/>
                <w:bCs/>
                <w:sz w:val="24"/>
                <w:szCs w:val="24"/>
              </w:rPr>
              <w:t>10%</w:t>
            </w:r>
            <w:r>
              <w:rPr>
                <w:rFonts w:ascii="仿宋_GB2312" w:eastAsia="仿宋_GB2312" w:hint="eastAsia"/>
                <w:b/>
                <w:bCs/>
                <w:sz w:val="24"/>
                <w:szCs w:val="24"/>
              </w:rPr>
              <w:t>。对于赎回申请，应</w:t>
            </w:r>
            <w:r>
              <w:rPr>
                <w:rFonts w:ascii="仿宋_GB2312" w:eastAsia="仿宋_GB2312" w:hint="eastAsia"/>
                <w:b/>
                <w:bCs/>
                <w:sz w:val="24"/>
                <w:szCs w:val="24"/>
              </w:rPr>
              <w:t>当按单个投资者申请赎回份额占当期申请赎回总份额的比例，确定该单个投资者当期办理的赎回份额，当期未获受理部分</w:t>
            </w:r>
            <w:r>
              <w:rPr>
                <w:rFonts w:ascii="仿宋_GB2312" w:eastAsia="仿宋_GB2312" w:hAnsi="宋体" w:cs="宋体" w:hint="eastAsia"/>
                <w:b/>
                <w:bCs/>
                <w:kern w:val="0"/>
                <w:sz w:val="24"/>
                <w:szCs w:val="24"/>
              </w:rPr>
              <w:t>予以取消</w:t>
            </w:r>
            <w:r>
              <w:rPr>
                <w:rFonts w:ascii="仿宋_GB2312" w:eastAsia="仿宋_GB2312" w:hAnsi="宋体" w:cs="Arial"/>
                <w:b/>
                <w:bCs/>
                <w:sz w:val="24"/>
                <w:szCs w:val="24"/>
              </w:rPr>
              <w:t>。</w:t>
            </w:r>
          </w:p>
          <w:p w14:paraId="4DDB3812" w14:textId="77777777" w:rsidR="003E7F78" w:rsidRDefault="00741AB5">
            <w:pPr>
              <w:widowControl/>
              <w:spacing w:line="360" w:lineRule="auto"/>
              <w:rPr>
                <w:rFonts w:ascii="仿宋_GB2312" w:eastAsia="仿宋_GB2312" w:hAnsi="宋体" w:cs="Arial"/>
                <w:bCs/>
                <w:sz w:val="24"/>
                <w:szCs w:val="24"/>
                <w:highlight w:val="green"/>
              </w:rPr>
            </w:pPr>
            <w:r>
              <w:rPr>
                <w:rFonts w:ascii="仿宋_GB2312" w:eastAsia="仿宋_GB2312" w:hAnsi="宋体" w:cs="Arial" w:hint="eastAsia"/>
                <w:bCs/>
                <w:sz w:val="24"/>
                <w:szCs w:val="24"/>
              </w:rPr>
              <w:t>▲▲本理财产品若发生非因管理人主观因素导致突破单一投资者持有份额超过本理财产品总份额</w:t>
            </w:r>
            <w:r>
              <w:rPr>
                <w:rFonts w:ascii="仿宋_GB2312" w:eastAsia="仿宋_GB2312" w:hAnsi="宋体" w:cs="Arial"/>
                <w:bCs/>
                <w:sz w:val="24"/>
                <w:szCs w:val="24"/>
              </w:rPr>
              <w:t>50%</w:t>
            </w:r>
            <w:r>
              <w:rPr>
                <w:rFonts w:ascii="仿宋_GB2312" w:eastAsia="仿宋_GB2312" w:hAnsi="宋体" w:cs="Arial"/>
                <w:bCs/>
                <w:sz w:val="24"/>
                <w:szCs w:val="24"/>
              </w:rPr>
              <w:t>的情况，在单一投资者持有比例降至</w:t>
            </w:r>
            <w:r>
              <w:rPr>
                <w:rFonts w:ascii="仿宋_GB2312" w:eastAsia="仿宋_GB2312" w:hAnsi="宋体" w:cs="Arial"/>
                <w:bCs/>
                <w:sz w:val="24"/>
                <w:szCs w:val="24"/>
              </w:rPr>
              <w:t>50%</w:t>
            </w:r>
            <w:r>
              <w:rPr>
                <w:rFonts w:ascii="仿宋_GB2312" w:eastAsia="仿宋_GB2312" w:hAnsi="宋体" w:cs="Arial"/>
                <w:bCs/>
                <w:sz w:val="24"/>
                <w:szCs w:val="24"/>
              </w:rPr>
              <w:t>以下之前时，管理人可拒绝或暂停接受该投资者的申购申请。</w:t>
            </w:r>
          </w:p>
        </w:tc>
      </w:tr>
      <w:tr w:rsidR="003E7F78" w14:paraId="59055EFE" w14:textId="77777777">
        <w:trPr>
          <w:trHeight w:val="301"/>
        </w:trPr>
        <w:tc>
          <w:tcPr>
            <w:tcW w:w="2127" w:type="dxa"/>
            <w:vAlign w:val="center"/>
          </w:tcPr>
          <w:p w14:paraId="00E62491" w14:textId="77777777" w:rsidR="003E7F78" w:rsidRDefault="00741AB5">
            <w:pPr>
              <w:widowControl/>
              <w:spacing w:line="360" w:lineRule="auto"/>
              <w:rPr>
                <w:rFonts w:ascii="仿宋_GB2312" w:hAnsi="方正仿宋_GBK"/>
                <w:b/>
                <w:kern w:val="0"/>
                <w:sz w:val="24"/>
              </w:rPr>
            </w:pPr>
            <w:r>
              <w:rPr>
                <w:rFonts w:ascii="仿宋_GB2312" w:eastAsia="仿宋_GB2312" w:hAnsi="宋体" w:hint="eastAsia"/>
                <w:bCs/>
                <w:sz w:val="24"/>
                <w:szCs w:val="24"/>
              </w:rPr>
              <w:t>业绩比较基准</w:t>
            </w:r>
          </w:p>
        </w:tc>
        <w:tc>
          <w:tcPr>
            <w:tcW w:w="7299" w:type="dxa"/>
            <w:vAlign w:val="bottom"/>
          </w:tcPr>
          <w:p w14:paraId="18159171" w14:textId="77777777" w:rsidR="003E7F78" w:rsidRDefault="00741AB5">
            <w:pPr>
              <w:widowControl/>
              <w:spacing w:line="360" w:lineRule="auto"/>
              <w:rPr>
                <w:rFonts w:ascii="仿宋_GB2312" w:eastAsia="仿宋_GB2312" w:hAnsi="宋体" w:cs="Arial"/>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C</w:t>
            </w:r>
            <w:r>
              <w:rPr>
                <w:rFonts w:ascii="仿宋_GB2312" w:eastAsia="仿宋_GB2312" w:hAnsi="宋体" w:cs="宋体" w:hint="eastAsia"/>
                <w:kern w:val="0"/>
                <w:sz w:val="24"/>
                <w:szCs w:val="24"/>
              </w:rPr>
              <w:t>类份额：</w:t>
            </w:r>
            <w:r>
              <w:rPr>
                <w:rFonts w:ascii="仿宋_GB2312" w:eastAsia="仿宋_GB2312" w:hAnsi="宋体" w:cs="Arial" w:hint="eastAsia"/>
                <w:sz w:val="24"/>
                <w:szCs w:val="24"/>
              </w:rPr>
              <w:t>业绩比较基准：</w:t>
            </w:r>
            <w:r>
              <w:rPr>
                <w:rFonts w:ascii="仿宋_GB2312" w:eastAsia="仿宋_GB2312" w:hAnsi="宋体" w:cs="Arial" w:hint="eastAsia"/>
                <w:sz w:val="24"/>
                <w:szCs w:val="24"/>
              </w:rPr>
              <w:t>2.</w:t>
            </w:r>
            <w:r>
              <w:rPr>
                <w:rFonts w:ascii="仿宋_GB2312" w:eastAsia="仿宋_GB2312" w:hAnsi="宋体" w:cs="Arial"/>
                <w:sz w:val="24"/>
                <w:szCs w:val="24"/>
              </w:rPr>
              <w:t>3</w:t>
            </w:r>
            <w:r>
              <w:rPr>
                <w:rFonts w:ascii="仿宋_GB2312" w:eastAsia="仿宋_GB2312" w:hAnsi="宋体" w:cs="Arial" w:hint="eastAsia"/>
                <w:sz w:val="24"/>
                <w:szCs w:val="24"/>
              </w:rPr>
              <w:t>0</w:t>
            </w:r>
            <w:r>
              <w:rPr>
                <w:rFonts w:ascii="仿宋_GB2312" w:eastAsia="仿宋_GB2312" w:hAnsi="宋体" w:cs="Arial"/>
                <w:sz w:val="24"/>
                <w:szCs w:val="24"/>
              </w:rPr>
              <w:t>%</w:t>
            </w:r>
            <w:r>
              <w:rPr>
                <w:rFonts w:ascii="仿宋_GB2312" w:eastAsia="仿宋_GB2312" w:hAnsi="宋体" w:cs="Arial" w:hint="eastAsia"/>
                <w:sz w:val="24"/>
                <w:szCs w:val="24"/>
              </w:rPr>
              <w:t>/</w:t>
            </w:r>
            <w:r>
              <w:rPr>
                <w:rFonts w:ascii="仿宋_GB2312" w:eastAsia="仿宋_GB2312" w:hAnsi="宋体" w:cs="Arial" w:hint="eastAsia"/>
                <w:sz w:val="24"/>
                <w:szCs w:val="24"/>
              </w:rPr>
              <w:t>年</w:t>
            </w:r>
            <w:r>
              <w:rPr>
                <w:rFonts w:ascii="仿宋_GB2312" w:eastAsia="仿宋_GB2312" w:hAnsi="宋体" w:cs="Arial"/>
                <w:sz w:val="24"/>
                <w:szCs w:val="24"/>
              </w:rPr>
              <w:t>-</w:t>
            </w:r>
            <w:r>
              <w:rPr>
                <w:rFonts w:ascii="仿宋_GB2312" w:eastAsia="仿宋_GB2312" w:hAnsi="宋体" w:cs="Arial" w:hint="eastAsia"/>
                <w:sz w:val="24"/>
                <w:szCs w:val="24"/>
              </w:rPr>
              <w:t>3.</w:t>
            </w:r>
            <w:r>
              <w:rPr>
                <w:rFonts w:ascii="仿宋_GB2312" w:eastAsia="仿宋_GB2312" w:hAnsi="宋体" w:cs="Arial"/>
                <w:sz w:val="24"/>
                <w:szCs w:val="24"/>
              </w:rPr>
              <w:t>3</w:t>
            </w:r>
            <w:r>
              <w:rPr>
                <w:rFonts w:ascii="仿宋_GB2312" w:eastAsia="仿宋_GB2312" w:hAnsi="宋体" w:cs="Arial" w:hint="eastAsia"/>
                <w:sz w:val="24"/>
                <w:szCs w:val="24"/>
              </w:rPr>
              <w:t>0</w:t>
            </w:r>
            <w:r>
              <w:rPr>
                <w:rFonts w:ascii="仿宋_GB2312" w:eastAsia="仿宋_GB2312" w:hAnsi="宋体" w:cs="Arial"/>
                <w:sz w:val="24"/>
                <w:szCs w:val="24"/>
              </w:rPr>
              <w:t>%</w:t>
            </w:r>
            <w:r>
              <w:rPr>
                <w:rFonts w:ascii="仿宋_GB2312" w:eastAsia="仿宋_GB2312" w:hAnsi="宋体" w:cs="Arial" w:hint="eastAsia"/>
                <w:sz w:val="24"/>
                <w:szCs w:val="24"/>
              </w:rPr>
              <w:t>/</w:t>
            </w:r>
            <w:r>
              <w:rPr>
                <w:rFonts w:ascii="仿宋_GB2312" w:eastAsia="仿宋_GB2312" w:hAnsi="宋体" w:cs="Arial" w:hint="eastAsia"/>
                <w:sz w:val="24"/>
                <w:szCs w:val="24"/>
              </w:rPr>
              <w:t>年，生效日期：</w:t>
            </w:r>
            <w:r>
              <w:rPr>
                <w:rFonts w:ascii="仿宋_GB2312" w:eastAsia="仿宋_GB2312" w:hAnsi="宋体" w:cs="Arial" w:hint="eastAsia"/>
                <w:sz w:val="24"/>
                <w:szCs w:val="24"/>
              </w:rPr>
              <w:t>2024</w:t>
            </w:r>
            <w:r>
              <w:rPr>
                <w:rFonts w:ascii="仿宋_GB2312" w:eastAsia="仿宋_GB2312" w:hAnsi="宋体" w:cs="Arial" w:hint="eastAsia"/>
                <w:sz w:val="24"/>
                <w:szCs w:val="24"/>
              </w:rPr>
              <w:t>年</w:t>
            </w:r>
            <w:r>
              <w:rPr>
                <w:rFonts w:ascii="仿宋_GB2312" w:eastAsia="仿宋_GB2312" w:hAnsi="宋体" w:cs="Arial" w:hint="eastAsia"/>
                <w:sz w:val="24"/>
                <w:szCs w:val="24"/>
              </w:rPr>
              <w:t>5</w:t>
            </w:r>
            <w:r>
              <w:rPr>
                <w:rFonts w:ascii="仿宋_GB2312" w:eastAsia="仿宋_GB2312" w:hAnsi="宋体" w:cs="Arial" w:hint="eastAsia"/>
                <w:sz w:val="24"/>
                <w:szCs w:val="24"/>
              </w:rPr>
              <w:t>月</w:t>
            </w:r>
            <w:r>
              <w:rPr>
                <w:rFonts w:ascii="仿宋_GB2312" w:eastAsia="仿宋_GB2312" w:hAnsi="宋体" w:cs="Arial" w:hint="eastAsia"/>
                <w:sz w:val="24"/>
                <w:szCs w:val="24"/>
              </w:rPr>
              <w:t>28</w:t>
            </w:r>
            <w:r>
              <w:rPr>
                <w:rFonts w:ascii="仿宋_GB2312" w:eastAsia="仿宋_GB2312" w:hAnsi="宋体" w:cs="Arial" w:hint="eastAsia"/>
                <w:sz w:val="24"/>
                <w:szCs w:val="24"/>
              </w:rPr>
              <w:t>日</w:t>
            </w:r>
            <w:r>
              <w:rPr>
                <w:rFonts w:ascii="仿宋_GB2312" w:eastAsia="仿宋_GB2312" w:hAnsi="宋体" w:cs="Arial"/>
                <w:sz w:val="24"/>
                <w:szCs w:val="24"/>
              </w:rPr>
              <w:t>。本产品合同中任何业绩比较基准、测算收益或类似表述均属不具有法律约束力的用语，不代表投资者可能获得的实际收益，亦不构成交银理财对本理财产品的任何收益承诺。</w:t>
            </w:r>
          </w:p>
          <w:p w14:paraId="0E794976" w14:textId="77777777" w:rsidR="003E7F78" w:rsidRDefault="00741AB5">
            <w:pPr>
              <w:widowControl/>
              <w:spacing w:line="360" w:lineRule="auto"/>
              <w:rPr>
                <w:rFonts w:ascii="仿宋_GB2312" w:eastAsia="仿宋_GB2312" w:hAnsi="宋体" w:cs="Arial"/>
                <w:sz w:val="24"/>
                <w:szCs w:val="24"/>
              </w:rPr>
            </w:pPr>
            <w:r>
              <w:rPr>
                <w:rFonts w:ascii="仿宋_GB2312" w:eastAsia="仿宋_GB2312" w:hAnsi="宋体" w:cs="Arial" w:hint="eastAsia"/>
                <w:sz w:val="24"/>
                <w:szCs w:val="24"/>
              </w:rPr>
              <w:t>产品管理人可根据市场情况调整业绩比较基准，并至少于调整之日前</w:t>
            </w:r>
            <w:r>
              <w:rPr>
                <w:rFonts w:ascii="仿宋_GB2312" w:eastAsia="仿宋_GB2312" w:hAnsi="宋体" w:cs="Arial"/>
                <w:sz w:val="24"/>
                <w:szCs w:val="24"/>
              </w:rPr>
              <w:t>2</w:t>
            </w:r>
            <w:r>
              <w:rPr>
                <w:rFonts w:ascii="仿宋_GB2312" w:eastAsia="仿宋_GB2312" w:hAnsi="宋体" w:cs="Arial"/>
                <w:sz w:val="24"/>
                <w:szCs w:val="24"/>
              </w:rPr>
              <w:t>个工作日进行公告。投资者每笔份额适用的业绩比较基准指该笔份额申购确认日当日有效的最新业绩比较基准。</w:t>
            </w:r>
          </w:p>
          <w:p w14:paraId="5E03F5B1" w14:textId="77777777" w:rsidR="003E7F78" w:rsidRDefault="00741AB5">
            <w:pPr>
              <w:widowControl/>
              <w:spacing w:line="360" w:lineRule="auto"/>
              <w:rPr>
                <w:rFonts w:ascii="仿宋_GB2312" w:eastAsia="仿宋_GB2312" w:hAnsi="宋体" w:cs="Arial"/>
                <w:sz w:val="24"/>
                <w:szCs w:val="24"/>
              </w:rPr>
            </w:pPr>
            <w:r>
              <w:rPr>
                <w:rFonts w:ascii="仿宋_GB2312" w:eastAsia="仿宋_GB2312" w:hint="eastAsia"/>
                <w:sz w:val="24"/>
                <w:szCs w:val="24"/>
              </w:rPr>
              <w:t>本理财产品为固定收益类产品，拟投资于债权类资产，并适当配置优先股等权益类资产和金融衍生品类资产</w:t>
            </w:r>
            <w:r>
              <w:rPr>
                <w:rFonts w:ascii="仿宋_GB2312" w:eastAsia="仿宋_GB2312" w:hint="eastAsia"/>
                <w:sz w:val="24"/>
                <w:szCs w:val="24"/>
              </w:rPr>
              <w:t>，</w:t>
            </w:r>
            <w:r>
              <w:rPr>
                <w:rFonts w:ascii="仿宋_GB2312" w:eastAsia="仿宋_GB2312" w:hint="eastAsia"/>
                <w:sz w:val="24"/>
                <w:szCs w:val="24"/>
              </w:rPr>
              <w:t>其中投资金融衍生品仅限于以套期保值为目的的国债期货。</w:t>
            </w:r>
            <w:r>
              <w:rPr>
                <w:rFonts w:ascii="仿宋_GB2312" w:eastAsia="仿宋_GB2312" w:hint="eastAsia"/>
                <w:sz w:val="24"/>
                <w:szCs w:val="24"/>
              </w:rPr>
              <w:cr/>
            </w:r>
            <w:r>
              <w:rPr>
                <w:rFonts w:ascii="仿宋_GB2312" w:eastAsia="仿宋_GB2312" w:hint="eastAsia"/>
                <w:sz w:val="24"/>
                <w:szCs w:val="24"/>
              </w:rPr>
              <w:t>根据产品投资范围和投资周期，判断不同资产在经</w:t>
            </w:r>
            <w:r>
              <w:rPr>
                <w:rFonts w:ascii="仿宋_GB2312" w:eastAsia="仿宋_GB2312" w:hint="eastAsia"/>
                <w:sz w:val="24"/>
                <w:szCs w:val="24"/>
              </w:rPr>
              <w:t>济周期的不同阶段的相对投资价值，确定不同资产在组合资产中的配置比例，采取择时择券策略、标的选择、杠杆套息策略、骑乘收益策略、基金优选策略，综合评估宏观经济环境、债券市场的历史走势，参照近期利率水平、中债综合财富指数收益率等情况，考虑资本利得收益并结合产品投资策略进行综合测算。</w:t>
            </w:r>
            <w:r>
              <w:rPr>
                <w:rFonts w:ascii="仿宋_GB2312" w:eastAsia="仿宋_GB2312" w:hAnsi="宋体" w:cs="Arial" w:hint="eastAsia"/>
                <w:sz w:val="24"/>
                <w:szCs w:val="24"/>
              </w:rPr>
              <w:t>基于本产品的投资特点，考虑到资产的信用利差、久期敞口以及流动性溢价，预判业绩比较基准的波动幅度。扣除相关税费成本之后，综合得到产品业绩比较基准下限为</w:t>
            </w:r>
            <w:r>
              <w:rPr>
                <w:rFonts w:ascii="仿宋_GB2312" w:eastAsia="仿宋_GB2312" w:hAnsi="宋体" w:cs="Arial" w:hint="eastAsia"/>
                <w:sz w:val="24"/>
                <w:szCs w:val="24"/>
              </w:rPr>
              <w:t>2.</w:t>
            </w:r>
            <w:r>
              <w:rPr>
                <w:rFonts w:ascii="仿宋_GB2312" w:eastAsia="仿宋_GB2312" w:hAnsi="宋体" w:cs="Arial"/>
                <w:sz w:val="24"/>
                <w:szCs w:val="24"/>
              </w:rPr>
              <w:t>3</w:t>
            </w:r>
            <w:r>
              <w:rPr>
                <w:rFonts w:ascii="仿宋_GB2312" w:eastAsia="仿宋_GB2312" w:hAnsi="宋体" w:cs="Arial" w:hint="eastAsia"/>
                <w:sz w:val="24"/>
                <w:szCs w:val="24"/>
              </w:rPr>
              <w:t>0</w:t>
            </w:r>
            <w:r>
              <w:rPr>
                <w:rFonts w:ascii="仿宋_GB2312" w:eastAsia="仿宋_GB2312" w:hAnsi="宋体" w:cs="Arial"/>
                <w:sz w:val="24"/>
                <w:szCs w:val="24"/>
              </w:rPr>
              <w:t>%</w:t>
            </w:r>
            <w:r>
              <w:rPr>
                <w:rFonts w:ascii="仿宋_GB2312" w:eastAsia="仿宋_GB2312" w:hAnsi="宋体" w:cs="Arial" w:hint="eastAsia"/>
                <w:sz w:val="24"/>
                <w:szCs w:val="24"/>
              </w:rPr>
              <w:t>/</w:t>
            </w:r>
            <w:r>
              <w:rPr>
                <w:rFonts w:ascii="仿宋_GB2312" w:eastAsia="仿宋_GB2312" w:hAnsi="宋体" w:cs="Arial" w:hint="eastAsia"/>
                <w:sz w:val="24"/>
                <w:szCs w:val="24"/>
              </w:rPr>
              <w:t>年</w:t>
            </w:r>
            <w:r>
              <w:rPr>
                <w:rFonts w:ascii="仿宋_GB2312" w:eastAsia="仿宋_GB2312" w:hAnsi="宋体" w:cs="Arial"/>
                <w:sz w:val="24"/>
                <w:szCs w:val="24"/>
              </w:rPr>
              <w:t>，产品业绩比较基准上限为</w:t>
            </w:r>
            <w:r>
              <w:rPr>
                <w:rFonts w:ascii="仿宋_GB2312" w:eastAsia="仿宋_GB2312" w:hAnsi="宋体" w:cs="Arial" w:hint="eastAsia"/>
                <w:sz w:val="24"/>
                <w:szCs w:val="24"/>
              </w:rPr>
              <w:t>3.</w:t>
            </w:r>
            <w:r>
              <w:rPr>
                <w:rFonts w:ascii="仿宋_GB2312" w:eastAsia="仿宋_GB2312" w:hAnsi="宋体" w:cs="Arial"/>
                <w:sz w:val="24"/>
                <w:szCs w:val="24"/>
              </w:rPr>
              <w:t>3</w:t>
            </w:r>
            <w:r>
              <w:rPr>
                <w:rFonts w:ascii="仿宋_GB2312" w:eastAsia="仿宋_GB2312" w:hAnsi="宋体" w:cs="Arial" w:hint="eastAsia"/>
                <w:sz w:val="24"/>
                <w:szCs w:val="24"/>
              </w:rPr>
              <w:t>0</w:t>
            </w:r>
            <w:r>
              <w:rPr>
                <w:rFonts w:ascii="仿宋_GB2312" w:eastAsia="仿宋_GB2312" w:hAnsi="宋体" w:cs="Arial"/>
                <w:sz w:val="24"/>
                <w:szCs w:val="24"/>
              </w:rPr>
              <w:t>%</w:t>
            </w:r>
            <w:r>
              <w:rPr>
                <w:rFonts w:ascii="仿宋_GB2312" w:eastAsia="仿宋_GB2312" w:hAnsi="宋体" w:cs="Arial" w:hint="eastAsia"/>
                <w:sz w:val="24"/>
                <w:szCs w:val="24"/>
              </w:rPr>
              <w:t>/</w:t>
            </w:r>
            <w:r>
              <w:rPr>
                <w:rFonts w:ascii="仿宋_GB2312" w:eastAsia="仿宋_GB2312" w:hAnsi="宋体" w:cs="Arial" w:hint="eastAsia"/>
                <w:sz w:val="24"/>
                <w:szCs w:val="24"/>
              </w:rPr>
              <w:t>年</w:t>
            </w:r>
            <w:r>
              <w:rPr>
                <w:rFonts w:ascii="仿宋_GB2312" w:eastAsia="仿宋_GB2312" w:hAnsi="宋体" w:cs="Arial"/>
                <w:sz w:val="24"/>
                <w:szCs w:val="24"/>
              </w:rPr>
              <w:t>。</w:t>
            </w:r>
          </w:p>
          <w:p w14:paraId="58F563E0" w14:textId="77777777" w:rsidR="003E7F78" w:rsidRDefault="00741AB5">
            <w:pPr>
              <w:widowControl/>
              <w:spacing w:line="360" w:lineRule="auto"/>
              <w:rPr>
                <w:rFonts w:ascii="仿宋_GB2312" w:eastAsia="仿宋_GB2312" w:hAnsi="宋体" w:cs="Arial"/>
                <w:sz w:val="24"/>
                <w:szCs w:val="24"/>
              </w:rPr>
            </w:pPr>
            <w:r>
              <w:rPr>
                <w:rFonts w:ascii="仿宋_GB2312" w:eastAsia="仿宋_GB2312" w:hAnsi="宋体" w:cs="Arial" w:hint="eastAsia"/>
                <w:b/>
                <w:sz w:val="24"/>
                <w:szCs w:val="24"/>
              </w:rPr>
              <w:t>▲▲业绩比较基准是本机构基于产品</w:t>
            </w:r>
            <w:r>
              <w:rPr>
                <w:rFonts w:ascii="仿宋_GB2312" w:eastAsia="仿宋_GB2312" w:hAnsi="宋体" w:cs="Arial" w:hint="eastAsia"/>
                <w:b/>
                <w:sz w:val="24"/>
                <w:szCs w:val="24"/>
              </w:rPr>
              <w:t>性质、投资策略、过往经验等因素对产品设定的投资目标，业绩比较基准不是预期收益率，不代表产品的未来表现和实际收益，不构成对产品收益的承诺。</w:t>
            </w:r>
          </w:p>
        </w:tc>
      </w:tr>
      <w:tr w:rsidR="003E7F78" w14:paraId="72C478F5" w14:textId="77777777">
        <w:trPr>
          <w:trHeight w:val="1692"/>
        </w:trPr>
        <w:tc>
          <w:tcPr>
            <w:tcW w:w="2127" w:type="dxa"/>
            <w:vAlign w:val="center"/>
          </w:tcPr>
          <w:p w14:paraId="3E1A0F37" w14:textId="77777777" w:rsidR="003E7F78" w:rsidRDefault="00741AB5">
            <w:pPr>
              <w:widowControl/>
              <w:spacing w:line="360" w:lineRule="auto"/>
              <w:rPr>
                <w:rFonts w:ascii="仿宋_GB2312" w:eastAsia="仿宋_GB2312" w:hAnsi="宋体" w:cs="宋体"/>
                <w:b/>
                <w:kern w:val="0"/>
                <w:sz w:val="24"/>
                <w:szCs w:val="24"/>
              </w:rPr>
            </w:pPr>
            <w:r>
              <w:rPr>
                <w:rFonts w:ascii="仿宋_GB2312" w:eastAsia="仿宋_GB2312" w:hAnsi="方正黑体_GBK" w:cs="方正黑体_GBK" w:hint="eastAsia"/>
                <w:b/>
                <w:bCs/>
                <w:sz w:val="24"/>
                <w:szCs w:val="24"/>
              </w:rPr>
              <w:t>▲▲</w:t>
            </w:r>
            <w:r>
              <w:rPr>
                <w:rFonts w:ascii="仿宋_GB2312" w:eastAsia="仿宋_GB2312" w:hAnsi="宋体" w:hint="eastAsia"/>
                <w:b/>
                <w:sz w:val="24"/>
                <w:szCs w:val="24"/>
              </w:rPr>
              <w:t>产品费用</w:t>
            </w:r>
          </w:p>
        </w:tc>
        <w:tc>
          <w:tcPr>
            <w:tcW w:w="7299" w:type="dxa"/>
            <w:vAlign w:val="bottom"/>
          </w:tcPr>
          <w:p w14:paraId="08C67BC3" w14:textId="77777777" w:rsidR="003E7F78" w:rsidRDefault="00741AB5">
            <w:pPr>
              <w:widowControl/>
              <w:spacing w:line="360" w:lineRule="auto"/>
              <w:jc w:val="left"/>
              <w:rPr>
                <w:rFonts w:ascii="仿宋_GB2312" w:eastAsia="仿宋_GB2312" w:hAnsi="方正仿宋_GBK" w:cs="方正仿宋_GBK"/>
                <w:b/>
                <w:sz w:val="24"/>
                <w:szCs w:val="24"/>
              </w:rPr>
            </w:pPr>
            <w:r>
              <w:rPr>
                <w:rFonts w:ascii="仿宋_GB2312" w:eastAsia="仿宋_GB2312" w:hAnsi="方正仿宋_GBK" w:cs="方正仿宋_GBK"/>
                <w:b/>
                <w:sz w:val="24"/>
                <w:szCs w:val="24"/>
              </w:rPr>
              <w:t>1.</w:t>
            </w:r>
            <w:r>
              <w:rPr>
                <w:rFonts w:ascii="仿宋_GB2312" w:eastAsia="仿宋_GB2312" w:hAnsi="方正仿宋_GBK" w:cs="方正仿宋_GBK"/>
                <w:b/>
                <w:sz w:val="24"/>
                <w:szCs w:val="24"/>
              </w:rPr>
              <w:t>认购</w:t>
            </w:r>
            <w:r>
              <w:rPr>
                <w:rFonts w:ascii="仿宋_GB2312" w:eastAsia="仿宋_GB2312" w:hAnsi="方正仿宋_GBK" w:cs="方正仿宋_GBK"/>
                <w:b/>
                <w:sz w:val="24"/>
                <w:szCs w:val="24"/>
              </w:rPr>
              <w:t>/</w:t>
            </w:r>
            <w:r>
              <w:rPr>
                <w:rFonts w:ascii="仿宋_GB2312" w:eastAsia="仿宋_GB2312" w:hAnsi="方正仿宋_GBK" w:cs="方正仿宋_GBK"/>
                <w:b/>
                <w:sz w:val="24"/>
                <w:szCs w:val="24"/>
              </w:rPr>
              <w:t>申购</w:t>
            </w:r>
            <w:r>
              <w:rPr>
                <w:rFonts w:ascii="仿宋_GB2312" w:eastAsia="仿宋_GB2312" w:hAnsi="方正仿宋_GBK" w:cs="方正仿宋_GBK"/>
                <w:b/>
                <w:sz w:val="24"/>
                <w:szCs w:val="24"/>
              </w:rPr>
              <w:t>/</w:t>
            </w:r>
            <w:r>
              <w:rPr>
                <w:rFonts w:ascii="仿宋_GB2312" w:eastAsia="仿宋_GB2312" w:hAnsi="方正仿宋_GBK" w:cs="方正仿宋_GBK"/>
                <w:b/>
                <w:sz w:val="24"/>
                <w:szCs w:val="24"/>
              </w:rPr>
              <w:t>赎回费率：本理财产品暂不收取认购</w:t>
            </w:r>
            <w:r>
              <w:rPr>
                <w:rFonts w:ascii="仿宋_GB2312" w:eastAsia="仿宋_GB2312" w:hAnsi="方正仿宋_GBK" w:cs="方正仿宋_GBK"/>
                <w:b/>
                <w:sz w:val="24"/>
                <w:szCs w:val="24"/>
              </w:rPr>
              <w:t>/</w:t>
            </w:r>
            <w:r>
              <w:rPr>
                <w:rFonts w:ascii="仿宋_GB2312" w:eastAsia="仿宋_GB2312" w:hAnsi="方正仿宋_GBK" w:cs="方正仿宋_GBK"/>
                <w:b/>
                <w:sz w:val="24"/>
                <w:szCs w:val="24"/>
              </w:rPr>
              <w:t>申购</w:t>
            </w:r>
            <w:r>
              <w:rPr>
                <w:rFonts w:ascii="仿宋_GB2312" w:eastAsia="仿宋_GB2312" w:hAnsi="方正仿宋_GBK" w:cs="方正仿宋_GBK"/>
                <w:b/>
                <w:sz w:val="24"/>
                <w:szCs w:val="24"/>
              </w:rPr>
              <w:t>/</w:t>
            </w:r>
            <w:r>
              <w:rPr>
                <w:rFonts w:ascii="仿宋_GB2312" w:eastAsia="仿宋_GB2312" w:hAnsi="方正仿宋_GBK" w:cs="方正仿宋_GBK"/>
                <w:b/>
                <w:sz w:val="24"/>
                <w:szCs w:val="24"/>
              </w:rPr>
              <w:t>赎回费；</w:t>
            </w:r>
          </w:p>
          <w:p w14:paraId="4186A5F5" w14:textId="77777777" w:rsidR="003E7F78" w:rsidRDefault="00741AB5">
            <w:pPr>
              <w:widowControl/>
              <w:spacing w:line="360" w:lineRule="auto"/>
              <w:rPr>
                <w:rFonts w:ascii="仿宋_GB2312" w:eastAsia="仿宋_GB2312" w:hAnsi="方正仿宋_GBK" w:cs="方正仿宋_GBK"/>
                <w:b/>
                <w:bCs/>
                <w:sz w:val="24"/>
                <w:szCs w:val="24"/>
              </w:rPr>
            </w:pPr>
            <w:r>
              <w:rPr>
                <w:rFonts w:ascii="仿宋_GB2312" w:eastAsia="仿宋_GB2312" w:hAnsi="方正仿宋_GBK" w:cs="方正仿宋_GBK"/>
                <w:b/>
                <w:bCs/>
                <w:sz w:val="24"/>
                <w:szCs w:val="24"/>
              </w:rPr>
              <w:t>2.</w:t>
            </w:r>
            <w:r>
              <w:rPr>
                <w:rFonts w:ascii="仿宋_GB2312" w:eastAsia="仿宋_GB2312" w:hAnsi="方正仿宋_GBK" w:cs="方正仿宋_GBK" w:hint="eastAsia"/>
                <w:b/>
                <w:bCs/>
                <w:sz w:val="24"/>
                <w:szCs w:val="24"/>
              </w:rPr>
              <w:t>销售手续费率：★</w:t>
            </w:r>
            <w:r>
              <w:rPr>
                <w:rFonts w:ascii="仿宋_GB2312" w:eastAsia="仿宋_GB2312" w:hAnsi="方正仿宋_GBK" w:cs="方正仿宋_GBK" w:hint="eastAsia"/>
                <w:b/>
                <w:bCs/>
                <w:sz w:val="24"/>
                <w:szCs w:val="24"/>
              </w:rPr>
              <w:t>C</w:t>
            </w:r>
            <w:r>
              <w:rPr>
                <w:rFonts w:ascii="仿宋_GB2312" w:eastAsia="仿宋_GB2312" w:hAnsi="方正仿宋_GBK" w:cs="方正仿宋_GBK" w:hint="eastAsia"/>
                <w:b/>
                <w:bCs/>
                <w:sz w:val="24"/>
                <w:szCs w:val="24"/>
              </w:rPr>
              <w:t>类份额：</w:t>
            </w:r>
            <w:r>
              <w:rPr>
                <w:rFonts w:ascii="仿宋_GB2312" w:eastAsia="仿宋_GB2312" w:hAnsi="方正仿宋_GBK" w:cs="方正仿宋_GBK"/>
                <w:b/>
                <w:bCs/>
                <w:sz w:val="24"/>
                <w:szCs w:val="24"/>
              </w:rPr>
              <w:t>0.</w:t>
            </w:r>
            <w:r>
              <w:rPr>
                <w:rFonts w:ascii="仿宋_GB2312" w:eastAsia="仿宋_GB2312" w:hAnsi="方正仿宋_GBK" w:cs="方正仿宋_GBK" w:hint="eastAsia"/>
                <w:b/>
                <w:bCs/>
                <w:sz w:val="24"/>
                <w:szCs w:val="24"/>
              </w:rPr>
              <w:t>2</w:t>
            </w:r>
            <w:r>
              <w:rPr>
                <w:rFonts w:ascii="仿宋_GB2312" w:eastAsia="仿宋_GB2312" w:hAnsi="方正仿宋_GBK" w:cs="方正仿宋_GBK"/>
                <w:b/>
                <w:bCs/>
                <w:sz w:val="24"/>
                <w:szCs w:val="24"/>
              </w:rPr>
              <w:t>0%/</w:t>
            </w:r>
            <w:r>
              <w:rPr>
                <w:rFonts w:ascii="仿宋_GB2312" w:eastAsia="仿宋_GB2312" w:hAnsi="方正仿宋_GBK" w:cs="方正仿宋_GBK" w:hint="eastAsia"/>
                <w:b/>
                <w:bCs/>
                <w:sz w:val="24"/>
                <w:szCs w:val="24"/>
              </w:rPr>
              <w:t>年；</w:t>
            </w:r>
          </w:p>
          <w:p w14:paraId="659971BB" w14:textId="77777777" w:rsidR="003E7F78" w:rsidRDefault="00741AB5">
            <w:pPr>
              <w:widowControl/>
              <w:spacing w:line="360" w:lineRule="auto"/>
              <w:rPr>
                <w:rFonts w:ascii="仿宋_GB2312" w:eastAsia="仿宋_GB2312" w:hAnsi="方正仿宋_GBK" w:cs="方正仿宋_GBK"/>
                <w:b/>
                <w:bCs/>
                <w:sz w:val="24"/>
                <w:szCs w:val="24"/>
              </w:rPr>
            </w:pPr>
            <w:r>
              <w:rPr>
                <w:rFonts w:ascii="仿宋_GB2312" w:eastAsia="仿宋_GB2312" w:hAnsi="方正仿宋_GBK" w:cs="方正仿宋_GBK"/>
                <w:b/>
                <w:bCs/>
                <w:sz w:val="24"/>
                <w:szCs w:val="24"/>
              </w:rPr>
              <w:t>3.</w:t>
            </w:r>
            <w:r>
              <w:rPr>
                <w:rFonts w:ascii="仿宋_GB2312" w:eastAsia="仿宋_GB2312" w:hAnsi="方正仿宋_GBK" w:cs="方正仿宋_GBK" w:hint="eastAsia"/>
                <w:b/>
                <w:bCs/>
                <w:sz w:val="24"/>
                <w:szCs w:val="24"/>
              </w:rPr>
              <w:t>固定管理费率：</w:t>
            </w:r>
            <w:r>
              <w:rPr>
                <w:rFonts w:ascii="仿宋_GB2312" w:eastAsia="仿宋_GB2312" w:hAnsi="方正仿宋_GBK" w:cs="方正仿宋_GBK"/>
                <w:b/>
                <w:bCs/>
                <w:sz w:val="24"/>
                <w:szCs w:val="24"/>
              </w:rPr>
              <w:t>0.1</w:t>
            </w:r>
            <w:r>
              <w:rPr>
                <w:rFonts w:ascii="仿宋_GB2312" w:eastAsia="仿宋_GB2312" w:hAnsi="方正仿宋_GBK" w:cs="方正仿宋_GBK" w:hint="eastAsia"/>
                <w:b/>
                <w:bCs/>
                <w:sz w:val="24"/>
                <w:szCs w:val="24"/>
              </w:rPr>
              <w:t>2</w:t>
            </w:r>
            <w:r>
              <w:rPr>
                <w:rFonts w:ascii="仿宋_GB2312" w:eastAsia="仿宋_GB2312" w:hAnsi="方正仿宋_GBK" w:cs="方正仿宋_GBK"/>
                <w:b/>
                <w:bCs/>
                <w:sz w:val="24"/>
                <w:szCs w:val="24"/>
              </w:rPr>
              <w:t>%/</w:t>
            </w:r>
            <w:r>
              <w:rPr>
                <w:rFonts w:ascii="仿宋_GB2312" w:eastAsia="仿宋_GB2312" w:hAnsi="方正仿宋_GBK" w:cs="方正仿宋_GBK" w:hint="eastAsia"/>
                <w:b/>
                <w:bCs/>
                <w:sz w:val="24"/>
                <w:szCs w:val="24"/>
              </w:rPr>
              <w:t>年；</w:t>
            </w:r>
          </w:p>
          <w:p w14:paraId="4AAD08F2" w14:textId="77777777" w:rsidR="003E7F78" w:rsidRDefault="00741AB5">
            <w:pPr>
              <w:widowControl/>
              <w:spacing w:line="360" w:lineRule="auto"/>
              <w:rPr>
                <w:rFonts w:ascii="仿宋_GB2312" w:eastAsia="仿宋_GB2312" w:hAnsi="方正仿宋_GBK" w:cs="方正仿宋_GBK"/>
                <w:b/>
                <w:bCs/>
                <w:sz w:val="24"/>
                <w:szCs w:val="24"/>
              </w:rPr>
            </w:pPr>
            <w:r>
              <w:rPr>
                <w:rFonts w:ascii="仿宋_GB2312"/>
                <w:b/>
                <w:bCs/>
                <w:sz w:val="24"/>
              </w:rPr>
              <w:t>4</w:t>
            </w:r>
            <w:r>
              <w:rPr>
                <w:rFonts w:ascii="仿宋_GB2312" w:eastAsia="仿宋_GB2312" w:hAnsi="方正仿宋_GBK" w:cs="方正仿宋_GBK"/>
                <w:b/>
                <w:bCs/>
                <w:sz w:val="24"/>
                <w:szCs w:val="24"/>
              </w:rPr>
              <w:t>.</w:t>
            </w:r>
            <w:r>
              <w:rPr>
                <w:rFonts w:ascii="仿宋_GB2312" w:eastAsia="仿宋_GB2312" w:hAnsi="方正仿宋_GBK" w:cs="方正仿宋_GBK" w:hint="eastAsia"/>
                <w:b/>
                <w:bCs/>
                <w:sz w:val="24"/>
                <w:szCs w:val="24"/>
              </w:rPr>
              <w:t>托管费率：</w:t>
            </w:r>
            <w:r>
              <w:rPr>
                <w:rFonts w:ascii="仿宋_GB2312" w:eastAsia="仿宋_GB2312" w:hAnsi="方正仿宋_GBK" w:cs="方正仿宋_GBK"/>
                <w:b/>
                <w:bCs/>
                <w:sz w:val="24"/>
                <w:szCs w:val="24"/>
              </w:rPr>
              <w:t>0.02%/</w:t>
            </w:r>
            <w:r>
              <w:rPr>
                <w:rFonts w:ascii="仿宋_GB2312" w:eastAsia="仿宋_GB2312" w:hAnsi="方正仿宋_GBK" w:cs="方正仿宋_GBK" w:hint="eastAsia"/>
                <w:b/>
                <w:bCs/>
                <w:sz w:val="24"/>
                <w:szCs w:val="24"/>
              </w:rPr>
              <w:t>年；</w:t>
            </w:r>
          </w:p>
          <w:p w14:paraId="6B3D08F9" w14:textId="77777777" w:rsidR="003E7F78" w:rsidRDefault="00741AB5">
            <w:pPr>
              <w:widowControl/>
              <w:spacing w:line="360" w:lineRule="auto"/>
              <w:rPr>
                <w:rFonts w:ascii="仿宋_GB2312" w:eastAsia="仿宋_GB2312" w:hAnsi="方正仿宋_GBK" w:cs="方正仿宋_GBK"/>
                <w:b/>
                <w:sz w:val="24"/>
                <w:szCs w:val="24"/>
              </w:rPr>
            </w:pPr>
            <w:r>
              <w:rPr>
                <w:rFonts w:ascii="仿宋_GB2312" w:eastAsia="仿宋_GB2312" w:hAnsi="方正仿宋_GBK" w:cs="方正仿宋_GBK"/>
                <w:b/>
                <w:sz w:val="24"/>
                <w:szCs w:val="24"/>
              </w:rPr>
              <w:t>5.</w:t>
            </w:r>
            <w:r>
              <w:rPr>
                <w:rFonts w:ascii="仿宋_GB2312" w:eastAsia="仿宋_GB2312" w:hAnsi="方正仿宋_GBK" w:cs="方正仿宋_GBK"/>
                <w:b/>
                <w:sz w:val="24"/>
                <w:szCs w:val="24"/>
              </w:rPr>
              <w:t>产品运作和清算中产生的其他资金汇划费、结算费、交易手续费、注册登记费、信息披露费、账户服务费、审计费、律师费等，按照实际发生时从理财产品中列支；</w:t>
            </w:r>
          </w:p>
          <w:p w14:paraId="1F8E293A" w14:textId="77777777" w:rsidR="003E7F78" w:rsidRDefault="00741AB5">
            <w:pPr>
              <w:widowControl/>
              <w:spacing w:line="360" w:lineRule="auto"/>
              <w:rPr>
                <w:rFonts w:ascii="仿宋_GB2312" w:eastAsia="仿宋_GB2312" w:hAnsi="Arial" w:cs="Arial"/>
                <w:b/>
                <w:kern w:val="0"/>
                <w:sz w:val="24"/>
                <w:szCs w:val="24"/>
              </w:rPr>
            </w:pPr>
            <w:r>
              <w:rPr>
                <w:rFonts w:ascii="仿宋_GB2312" w:eastAsia="仿宋_GB2312" w:hAnsi="Arial" w:cs="Arial" w:hint="eastAsia"/>
                <w:b/>
                <w:kern w:val="0"/>
                <w:sz w:val="24"/>
                <w:szCs w:val="24"/>
              </w:rPr>
              <w:t>6.</w:t>
            </w:r>
            <w:r>
              <w:rPr>
                <w:rFonts w:ascii="仿宋_GB2312" w:eastAsia="仿宋_GB2312" w:hAnsi="Arial" w:cs="Arial" w:hint="eastAsia"/>
                <w:b/>
                <w:kern w:val="0"/>
                <w:sz w:val="24"/>
                <w:szCs w:val="24"/>
              </w:rPr>
              <w:t>产品承担的费用还包括投后管理费、项目推荐费、财务顾问费等，按照实际发生时从理财产品中列支；</w:t>
            </w:r>
          </w:p>
          <w:p w14:paraId="2BD057C9" w14:textId="77777777" w:rsidR="003E7F78" w:rsidRDefault="00741AB5">
            <w:pPr>
              <w:widowControl/>
              <w:spacing w:line="360" w:lineRule="auto"/>
              <w:rPr>
                <w:rFonts w:ascii="仿宋_GB2312" w:eastAsia="仿宋_GB2312" w:hAnsi="Arial" w:cs="Arial"/>
                <w:b/>
                <w:kern w:val="0"/>
                <w:sz w:val="24"/>
                <w:szCs w:val="24"/>
              </w:rPr>
            </w:pPr>
            <w:r>
              <w:rPr>
                <w:rFonts w:ascii="仿宋_GB2312" w:eastAsia="仿宋_GB2312" w:hAnsi="Arial" w:cs="Arial" w:hint="eastAsia"/>
                <w:b/>
                <w:kern w:val="0"/>
                <w:sz w:val="24"/>
                <w:szCs w:val="24"/>
              </w:rPr>
              <w:t>7.</w:t>
            </w:r>
            <w:r>
              <w:rPr>
                <w:rFonts w:ascii="仿宋_GB2312" w:eastAsia="仿宋_GB2312" w:hAnsi="Arial" w:cs="Arial" w:hint="eastAsia"/>
                <w:b/>
                <w:kern w:val="0"/>
                <w:sz w:val="24"/>
                <w:szCs w:val="24"/>
              </w:rPr>
              <w:t>超额业绩报酬：本产品不收取。</w:t>
            </w:r>
          </w:p>
        </w:tc>
      </w:tr>
      <w:tr w:rsidR="003E7F78" w14:paraId="35DA660D" w14:textId="77777777">
        <w:trPr>
          <w:trHeight w:val="301"/>
        </w:trPr>
        <w:tc>
          <w:tcPr>
            <w:tcW w:w="2127" w:type="dxa"/>
            <w:vAlign w:val="center"/>
          </w:tcPr>
          <w:p w14:paraId="76613F05" w14:textId="77777777" w:rsidR="003E7F78" w:rsidRDefault="00741AB5">
            <w:pPr>
              <w:widowControl/>
              <w:spacing w:line="360" w:lineRule="auto"/>
              <w:rPr>
                <w:rFonts w:ascii="仿宋_GB2312" w:eastAsia="仿宋_GB2312" w:hAnsi="宋体"/>
                <w:sz w:val="24"/>
                <w:szCs w:val="24"/>
              </w:rPr>
            </w:pPr>
            <w:r>
              <w:rPr>
                <w:rFonts w:ascii="仿宋_GB2312" w:eastAsia="仿宋_GB2312" w:hAnsi="宋体" w:hint="eastAsia"/>
                <w:sz w:val="24"/>
                <w:szCs w:val="24"/>
              </w:rPr>
              <w:t>税款</w:t>
            </w:r>
          </w:p>
        </w:tc>
        <w:tc>
          <w:tcPr>
            <w:tcW w:w="7299" w:type="dxa"/>
            <w:vAlign w:val="bottom"/>
          </w:tcPr>
          <w:p w14:paraId="0BBB91F0" w14:textId="77777777" w:rsidR="003E7F78" w:rsidRDefault="00741AB5">
            <w:pPr>
              <w:widowControl/>
              <w:spacing w:line="360" w:lineRule="auto"/>
              <w:rPr>
                <w:rFonts w:ascii="仿宋_GB2312" w:eastAsia="仿宋_GB2312" w:hAnsi="宋体"/>
                <w:sz w:val="24"/>
                <w:szCs w:val="24"/>
              </w:rPr>
            </w:pPr>
            <w:r>
              <w:rPr>
                <w:rFonts w:ascii="仿宋_GB2312" w:eastAsia="仿宋_GB2312" w:hAnsi="宋体" w:hint="eastAsia"/>
                <w:sz w:val="24"/>
                <w:szCs w:val="24"/>
              </w:rPr>
              <w:t>根据相关税收法律法规规定，本产品运营过程中产生的税费，由理财产品承担。投资者从理财产品取得的收益应纳税款由投资者自行申报及缴纳，管理人不承担相关代扣代缴或纳税义务。</w:t>
            </w:r>
          </w:p>
        </w:tc>
      </w:tr>
    </w:tbl>
    <w:p w14:paraId="1689CD9A" w14:textId="77777777" w:rsidR="003E7F78" w:rsidRDefault="00741AB5">
      <w:pPr>
        <w:snapToGrid w:val="0"/>
        <w:spacing w:beforeLines="50" w:before="156" w:line="360" w:lineRule="auto"/>
        <w:ind w:firstLineChars="200" w:firstLine="482"/>
        <w:outlineLvl w:val="2"/>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二、投资运作</w:t>
      </w:r>
    </w:p>
    <w:p w14:paraId="3FA14E5C"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（一）投资范围</w:t>
      </w:r>
    </w:p>
    <w:p w14:paraId="2A47E8DA" w14:textId="77777777" w:rsidR="003E7F78" w:rsidRDefault="00741AB5">
      <w:pPr>
        <w:widowControl/>
        <w:spacing w:line="360" w:lineRule="auto"/>
        <w:ind w:firstLineChars="200" w:firstLine="480"/>
        <w:rPr>
          <w:rFonts w:ascii="仿宋_GB2312" w:eastAsia="仿宋_GB2312" w:hAnsi="宋体"/>
          <w:color w:val="000000"/>
          <w:sz w:val="24"/>
          <w:szCs w:val="24"/>
        </w:rPr>
      </w:pPr>
      <w:r>
        <w:rPr>
          <w:rFonts w:ascii="仿宋_GB2312" w:eastAsia="仿宋_GB2312" w:hAnsi="宋体" w:cs="Arial" w:hint="eastAsia"/>
          <w:sz w:val="24"/>
          <w:szCs w:val="24"/>
        </w:rPr>
        <w:t>1.</w:t>
      </w:r>
      <w:r>
        <w:rPr>
          <w:rFonts w:ascii="仿宋_GB2312" w:eastAsia="仿宋_GB2312" w:hAnsi="宋体" w:hint="eastAsia"/>
          <w:color w:val="000000"/>
          <w:sz w:val="24"/>
          <w:szCs w:val="24"/>
        </w:rPr>
        <w:t>本产品投资于符合监管要求的资产，主要投资范围包括但不限于（以下比例若无特别说明，均包含本数）：</w:t>
      </w:r>
    </w:p>
    <w:p w14:paraId="23BCCD56" w14:textId="77777777" w:rsidR="003E7F78" w:rsidRDefault="00741AB5">
      <w:pPr>
        <w:widowControl/>
        <w:spacing w:line="360" w:lineRule="auto"/>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直接或通过资产管理产品投资债权类资产</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包括但不限于银行存款、同业存款和债券回购等货币市场工具；同业存单、国债、政策性金融债、地方政府债、商业性金融债、超短期融资券、短期融资券、中期票据</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包括永续中票</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、企业债、公司债</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包括可续期公司债</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、非公开定向债务融资工具、资产支持证券、次级债</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包括二级资本债</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、可交换公司债券和可转换公司债券等银行间市场、证券交易所市场及经国务院同意设立的其他交易市场的债券及债务融资工具；境</w:t>
      </w:r>
      <w:r>
        <w:rPr>
          <w:rFonts w:ascii="仿宋_GB2312" w:eastAsia="仿宋_GB2312" w:hAnsi="宋体" w:hint="eastAsia"/>
          <w:color w:val="000000"/>
          <w:sz w:val="24"/>
          <w:szCs w:val="24"/>
        </w:rPr>
        <w:t>内外发行的货币型公募证券投资基金和境内外发行的债券型公募证券投资基金等；境外发行的货币市场工具、境外发行的债券、境外发行的票据和境外发行的资产支持证券；以上债权类资产占产品资产总值的比例为</w:t>
      </w:r>
      <w:r>
        <w:rPr>
          <w:rFonts w:ascii="仿宋_GB2312" w:eastAsia="仿宋_GB2312" w:hAnsi="宋体" w:hint="eastAsia"/>
          <w:color w:val="000000"/>
          <w:sz w:val="24"/>
          <w:szCs w:val="24"/>
        </w:rPr>
        <w:t>80%-100%</w:t>
      </w:r>
      <w:r>
        <w:rPr>
          <w:rFonts w:ascii="仿宋_GB2312" w:eastAsia="仿宋_GB2312" w:hAnsi="宋体" w:hint="eastAsia"/>
          <w:color w:val="000000"/>
          <w:sz w:val="24"/>
          <w:szCs w:val="24"/>
        </w:rPr>
        <w:t>；</w:t>
      </w:r>
    </w:p>
    <w:p w14:paraId="1D1E236D" w14:textId="77777777" w:rsidR="003E7F78" w:rsidRDefault="00741AB5">
      <w:pPr>
        <w:widowControl/>
        <w:spacing w:line="360" w:lineRule="auto"/>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直接或通过资产管理产品投资权益类资产，包括但不限于境内外发行的优先股等；以上权益类资产占产品资产总值的比例为</w:t>
      </w:r>
      <w:r>
        <w:rPr>
          <w:rFonts w:ascii="仿宋_GB2312" w:eastAsia="仿宋_GB2312" w:hAnsi="宋体" w:hint="eastAsia"/>
          <w:color w:val="000000"/>
          <w:sz w:val="24"/>
          <w:szCs w:val="24"/>
        </w:rPr>
        <w:t>0%-5%</w:t>
      </w:r>
      <w:r>
        <w:rPr>
          <w:rFonts w:ascii="仿宋_GB2312" w:eastAsia="仿宋_GB2312" w:hAnsi="宋体" w:hint="eastAsia"/>
          <w:color w:val="000000"/>
          <w:sz w:val="24"/>
          <w:szCs w:val="24"/>
        </w:rPr>
        <w:t>；</w:t>
      </w:r>
    </w:p>
    <w:p w14:paraId="2841D581" w14:textId="77777777" w:rsidR="003E7F78" w:rsidRDefault="00741AB5">
      <w:pPr>
        <w:autoSpaceDE w:val="0"/>
        <w:autoSpaceDN w:val="0"/>
        <w:adjustRightInd w:val="0"/>
        <w:spacing w:line="360" w:lineRule="auto"/>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直接或通过资产管理产品投资金融衍生品类资产，包括但不限于境内外发行的国债期货等；以上金融衍生品类资产占产品资产总值的比例为</w:t>
      </w:r>
      <w:r>
        <w:rPr>
          <w:rFonts w:ascii="仿宋_GB2312" w:eastAsia="仿宋_GB2312" w:hAnsi="宋体" w:hint="eastAsia"/>
          <w:color w:val="000000"/>
          <w:sz w:val="24"/>
          <w:szCs w:val="24"/>
        </w:rPr>
        <w:t>0%-1%</w:t>
      </w:r>
      <w:r>
        <w:rPr>
          <w:rFonts w:ascii="仿宋_GB2312" w:eastAsia="仿宋_GB2312" w:hAnsi="宋体" w:hint="eastAsia"/>
          <w:color w:val="000000"/>
          <w:sz w:val="24"/>
          <w:szCs w:val="24"/>
        </w:rPr>
        <w:t>。</w:t>
      </w:r>
    </w:p>
    <w:p w14:paraId="00A88597" w14:textId="77777777" w:rsidR="003E7F78" w:rsidRDefault="00741AB5">
      <w:pPr>
        <w:widowControl/>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w:t>
      </w:r>
      <w:r>
        <w:rPr>
          <w:rFonts w:ascii="仿宋_GB2312" w:eastAsia="仿宋_GB2312" w:hAnsi="宋体" w:cs="Arial" w:hint="eastAsia"/>
          <w:b/>
          <w:bCs/>
          <w:sz w:val="24"/>
          <w:szCs w:val="24"/>
        </w:rPr>
        <w:t>2</w:t>
      </w:r>
      <w:r>
        <w:rPr>
          <w:rFonts w:ascii="仿宋_GB2312" w:eastAsia="仿宋_GB2312" w:hAnsi="宋体" w:cs="Arial"/>
          <w:b/>
          <w:bCs/>
          <w:sz w:val="24"/>
          <w:szCs w:val="24"/>
        </w:rPr>
        <w:t>.</w:t>
      </w:r>
      <w:r>
        <w:rPr>
          <w:rFonts w:ascii="仿宋_GB2312" w:eastAsia="仿宋_GB2312" w:hAnsi="宋体" w:cs="Arial"/>
          <w:b/>
          <w:bCs/>
          <w:sz w:val="24"/>
          <w:szCs w:val="24"/>
        </w:rPr>
        <w:t>特别提示：</w:t>
      </w:r>
    </w:p>
    <w:p w14:paraId="5C19AF85" w14:textId="77777777" w:rsidR="003E7F78" w:rsidRDefault="00741AB5">
      <w:pPr>
        <w:widowControl/>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w:t>
      </w:r>
      <w:r>
        <w:rPr>
          <w:rFonts w:ascii="仿宋_GB2312" w:eastAsia="仿宋_GB2312" w:hAnsi="宋体" w:cs="Arial"/>
          <w:b/>
          <w:bCs/>
          <w:sz w:val="24"/>
          <w:szCs w:val="24"/>
        </w:rPr>
        <w:t>1</w:t>
      </w:r>
      <w:r>
        <w:rPr>
          <w:rFonts w:ascii="仿宋_GB2312" w:eastAsia="仿宋_GB2312" w:hAnsi="宋体" w:cs="Arial"/>
          <w:b/>
          <w:bCs/>
          <w:sz w:val="24"/>
          <w:szCs w:val="24"/>
        </w:rPr>
        <w:t>）非因产品管理人原因导</w:t>
      </w:r>
      <w:r>
        <w:rPr>
          <w:rFonts w:ascii="仿宋_GB2312" w:eastAsia="仿宋_GB2312" w:hAnsi="宋体" w:cs="Arial"/>
          <w:b/>
          <w:bCs/>
          <w:sz w:val="24"/>
          <w:szCs w:val="24"/>
        </w:rPr>
        <w:t>致本理财产品合同项下理财产品投资突破前述投资比例限制的，产品管理人将在所投资的流动性受限资产可出售、可转让或者恢复交易之日起</w:t>
      </w:r>
      <w:r>
        <w:rPr>
          <w:rFonts w:ascii="仿宋_GB2312" w:eastAsia="仿宋_GB2312" w:hAnsi="宋体" w:cs="Arial"/>
          <w:b/>
          <w:bCs/>
          <w:sz w:val="24"/>
          <w:szCs w:val="24"/>
        </w:rPr>
        <w:t>15</w:t>
      </w:r>
      <w:r>
        <w:rPr>
          <w:rFonts w:ascii="仿宋_GB2312" w:eastAsia="仿宋_GB2312" w:hAnsi="宋体" w:cs="Arial"/>
          <w:b/>
          <w:bCs/>
          <w:sz w:val="24"/>
          <w:szCs w:val="24"/>
        </w:rPr>
        <w:t>个交易日内调整至上述投资比例内。</w:t>
      </w:r>
    </w:p>
    <w:p w14:paraId="606F6DF6" w14:textId="77777777" w:rsidR="003E7F78" w:rsidRDefault="00741AB5">
      <w:pPr>
        <w:widowControl/>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w:t>
      </w:r>
      <w:r>
        <w:rPr>
          <w:rFonts w:ascii="仿宋_GB2312" w:eastAsia="仿宋_GB2312" w:hAnsi="宋体" w:cs="Arial"/>
          <w:b/>
          <w:bCs/>
          <w:sz w:val="24"/>
          <w:szCs w:val="24"/>
        </w:rPr>
        <w:t>2</w:t>
      </w:r>
      <w:r>
        <w:rPr>
          <w:rFonts w:ascii="仿宋_GB2312" w:eastAsia="仿宋_GB2312" w:hAnsi="宋体" w:cs="Arial"/>
          <w:b/>
          <w:bCs/>
          <w:sz w:val="24"/>
          <w:szCs w:val="24"/>
        </w:rPr>
        <w:t>）在本产品存续期内，前述投资比例暂时超出浮动区间且可能对产品单位净值产生重大影响的，产品管理人将根据本理财产品合同约定向投资者进行信息披露。</w:t>
      </w:r>
    </w:p>
    <w:p w14:paraId="2DDA6A35" w14:textId="77777777" w:rsidR="003E7F78" w:rsidRDefault="00741AB5">
      <w:pPr>
        <w:widowControl/>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w:t>
      </w:r>
      <w:r>
        <w:rPr>
          <w:rFonts w:ascii="仿宋_GB2312" w:eastAsia="仿宋_GB2312" w:hAnsi="宋体" w:cs="Arial"/>
          <w:b/>
          <w:bCs/>
          <w:sz w:val="24"/>
          <w:szCs w:val="24"/>
        </w:rPr>
        <w:t>3</w:t>
      </w:r>
      <w:r>
        <w:rPr>
          <w:rFonts w:ascii="仿宋_GB2312" w:eastAsia="仿宋_GB2312" w:hAnsi="宋体" w:cs="Arial"/>
          <w:b/>
          <w:bCs/>
          <w:sz w:val="24"/>
          <w:szCs w:val="24"/>
        </w:rPr>
        <w:t>）本理财产品可能按照国务院金融管理部门相关规定开展回购业务。</w:t>
      </w:r>
    </w:p>
    <w:p w14:paraId="2F29460D"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（二）投资限制</w:t>
      </w:r>
    </w:p>
    <w:p w14:paraId="5D712F8C"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1.</w:t>
      </w:r>
      <w:r>
        <w:rPr>
          <w:rFonts w:ascii="仿宋_GB2312" w:eastAsia="仿宋_GB2312" w:hAnsi="宋体" w:cs="Arial" w:hint="eastAsia"/>
          <w:sz w:val="24"/>
          <w:szCs w:val="24"/>
        </w:rPr>
        <w:t>产品的资产总值不得超过产品资产净值的</w:t>
      </w:r>
      <w:r>
        <w:rPr>
          <w:rFonts w:ascii="仿宋_GB2312" w:eastAsia="仿宋_GB2312" w:hAnsi="宋体" w:cs="Arial" w:hint="eastAsia"/>
          <w:sz w:val="24"/>
          <w:szCs w:val="24"/>
        </w:rPr>
        <w:t>140%</w:t>
      </w:r>
      <w:r>
        <w:rPr>
          <w:rFonts w:ascii="仿宋_GB2312" w:eastAsia="仿宋_GB2312" w:hAnsi="宋体" w:cs="Arial" w:hint="eastAsia"/>
          <w:sz w:val="24"/>
          <w:szCs w:val="24"/>
        </w:rPr>
        <w:t>。</w:t>
      </w:r>
    </w:p>
    <w:p w14:paraId="5A39EAFE"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2.</w:t>
      </w:r>
      <w:r>
        <w:rPr>
          <w:rFonts w:ascii="仿宋_GB2312" w:eastAsia="仿宋_GB2312" w:hAnsi="宋体" w:cs="Arial" w:hint="eastAsia"/>
          <w:sz w:val="24"/>
          <w:szCs w:val="24"/>
        </w:rPr>
        <w:t>现金或期限在</w:t>
      </w:r>
      <w:r>
        <w:rPr>
          <w:rFonts w:ascii="仿宋_GB2312" w:eastAsia="仿宋_GB2312" w:hAnsi="宋体" w:cs="Arial" w:hint="eastAsia"/>
          <w:sz w:val="24"/>
          <w:szCs w:val="24"/>
        </w:rPr>
        <w:t>1</w:t>
      </w:r>
      <w:r>
        <w:rPr>
          <w:rFonts w:ascii="仿宋_GB2312" w:eastAsia="仿宋_GB2312" w:hAnsi="宋体" w:cs="Arial" w:hint="eastAsia"/>
          <w:sz w:val="24"/>
          <w:szCs w:val="24"/>
        </w:rPr>
        <w:t>年以内的国债、中央银行票据和政策性金融债券的资产总额</w:t>
      </w:r>
      <w:r>
        <w:rPr>
          <w:rFonts w:ascii="仿宋_GB2312" w:eastAsia="仿宋_GB2312" w:hAnsi="宋体" w:cs="Arial" w:hint="eastAsia"/>
          <w:sz w:val="24"/>
          <w:szCs w:val="24"/>
        </w:rPr>
        <w:t>不得低于产品资产净值的</w:t>
      </w:r>
      <w:r>
        <w:rPr>
          <w:rFonts w:ascii="仿宋_GB2312" w:eastAsia="仿宋_GB2312" w:hAnsi="宋体" w:cs="Arial" w:hint="eastAsia"/>
          <w:sz w:val="24"/>
          <w:szCs w:val="24"/>
        </w:rPr>
        <w:t>5%</w:t>
      </w:r>
      <w:r>
        <w:rPr>
          <w:rFonts w:ascii="仿宋_GB2312" w:eastAsia="仿宋_GB2312" w:hAnsi="宋体" w:cs="Arial" w:hint="eastAsia"/>
          <w:sz w:val="24"/>
          <w:szCs w:val="24"/>
        </w:rPr>
        <w:t>。</w:t>
      </w:r>
    </w:p>
    <w:p w14:paraId="7AF90A01"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3.</w:t>
      </w:r>
      <w:r>
        <w:rPr>
          <w:rFonts w:ascii="仿宋_GB2312" w:eastAsia="仿宋_GB2312" w:hAnsi="宋体" w:cs="Arial" w:hint="eastAsia"/>
          <w:sz w:val="24"/>
          <w:szCs w:val="24"/>
        </w:rPr>
        <w:t>持有单只证券或单只公募证券投资基金的市值不得超过该理财产品净资产的</w:t>
      </w:r>
      <w:r>
        <w:rPr>
          <w:rFonts w:ascii="仿宋_GB2312" w:eastAsia="仿宋_GB2312" w:hAnsi="宋体" w:cs="Arial" w:hint="eastAsia"/>
          <w:sz w:val="24"/>
          <w:szCs w:val="24"/>
        </w:rPr>
        <w:t>10%</w:t>
      </w:r>
      <w:r>
        <w:rPr>
          <w:rFonts w:ascii="仿宋_GB2312" w:eastAsia="仿宋_GB2312" w:hAnsi="宋体" w:cs="Arial" w:hint="eastAsia"/>
          <w:sz w:val="24"/>
          <w:szCs w:val="24"/>
        </w:rPr>
        <w:t>。</w:t>
      </w:r>
    </w:p>
    <w:p w14:paraId="3F01D29B"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4.</w:t>
      </w:r>
      <w:r>
        <w:rPr>
          <w:rFonts w:ascii="仿宋_GB2312" w:eastAsia="仿宋_GB2312" w:hAnsi="宋体" w:cs="Arial" w:hint="eastAsia"/>
          <w:sz w:val="24"/>
          <w:szCs w:val="24"/>
        </w:rPr>
        <w:t>本产品投资金融衍生品仅限于以套期保值为目的的国债期货，以保证金计占产品资产总值的比例为</w:t>
      </w:r>
      <w:r>
        <w:rPr>
          <w:rFonts w:ascii="仿宋_GB2312" w:eastAsia="仿宋_GB2312" w:hAnsi="宋体" w:cs="Arial" w:hint="eastAsia"/>
          <w:sz w:val="24"/>
          <w:szCs w:val="24"/>
        </w:rPr>
        <w:t>0%-1%</w:t>
      </w:r>
      <w:r>
        <w:rPr>
          <w:rFonts w:ascii="仿宋_GB2312" w:eastAsia="仿宋_GB2312" w:hAnsi="宋体" w:cs="Arial" w:hint="eastAsia"/>
          <w:sz w:val="24"/>
          <w:szCs w:val="24"/>
        </w:rPr>
        <w:t>。</w:t>
      </w:r>
    </w:p>
    <w:p w14:paraId="43F96318"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5.</w:t>
      </w:r>
      <w:r>
        <w:rPr>
          <w:rFonts w:ascii="仿宋_GB2312" w:eastAsia="仿宋_GB2312" w:hAnsi="宋体" w:cs="Arial" w:hint="eastAsia"/>
          <w:sz w:val="24"/>
          <w:szCs w:val="24"/>
        </w:rPr>
        <w:t>本产品投资权益类资产与金融衍生品类资产（以保证金计）合计占产品资产总值的比例不超过</w:t>
      </w:r>
      <w:r>
        <w:rPr>
          <w:rFonts w:ascii="仿宋_GB2312" w:eastAsia="仿宋_GB2312" w:hAnsi="宋体" w:cs="Arial" w:hint="eastAsia"/>
          <w:sz w:val="24"/>
          <w:szCs w:val="24"/>
        </w:rPr>
        <w:t>5%</w:t>
      </w:r>
      <w:r>
        <w:rPr>
          <w:rFonts w:ascii="仿宋_GB2312" w:eastAsia="仿宋_GB2312" w:hAnsi="宋体" w:cs="Arial" w:hint="eastAsia"/>
          <w:sz w:val="24"/>
          <w:szCs w:val="24"/>
        </w:rPr>
        <w:t>。</w:t>
      </w:r>
    </w:p>
    <w:p w14:paraId="515B60F1"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6.</w:t>
      </w:r>
      <w:r>
        <w:rPr>
          <w:rFonts w:ascii="仿宋_GB2312" w:eastAsia="仿宋_GB2312" w:hAnsi="宋体" w:cs="Arial" w:hint="eastAsia"/>
          <w:sz w:val="24"/>
          <w:szCs w:val="24"/>
        </w:rPr>
        <w:t>本产品投资权益类资产仅限于优先股。</w:t>
      </w:r>
    </w:p>
    <w:p w14:paraId="39A2D37F" w14:textId="77777777" w:rsidR="003E7F78" w:rsidRDefault="00741AB5">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（三）投资策略</w:t>
      </w:r>
    </w:p>
    <w:p w14:paraId="36986FBA" w14:textId="77777777" w:rsidR="003E7F78" w:rsidRDefault="00741AB5">
      <w:pPr>
        <w:adjustRightInd w:val="0"/>
        <w:snapToGrid w:val="0"/>
        <w:spacing w:line="500" w:lineRule="exact"/>
        <w:ind w:firstLineChars="200" w:firstLine="480"/>
        <w:rPr>
          <w:rFonts w:ascii="仿宋_GB2312" w:eastAsia="仿宋_GB2312" w:hAnsi="宋体" w:cs="Arial"/>
          <w:sz w:val="24"/>
          <w:szCs w:val="24"/>
        </w:rPr>
      </w:pPr>
      <w:r>
        <w:rPr>
          <w:rFonts w:ascii="仿宋_GB2312" w:eastAsia="仿宋_GB2312" w:hAnsi="宋体" w:cs="Arial" w:hint="eastAsia"/>
          <w:sz w:val="24"/>
          <w:szCs w:val="24"/>
        </w:rPr>
        <w:t>本理财产品通过判断不同资产在经济周期的不同阶段的相对投资价值，确定不同资产在组合资产中的配置比例，采取择时择券策略、标的选择、杠杆套息策略、骑乘收益策略、基金优选策略，实现资产组合的稳健增值。</w:t>
      </w:r>
    </w:p>
    <w:p w14:paraId="1102FC14" w14:textId="77777777" w:rsidR="003E7F78" w:rsidRDefault="00741AB5">
      <w:pPr>
        <w:autoSpaceDE w:val="0"/>
        <w:autoSpaceDN w:val="0"/>
        <w:adjustRightInd w:val="0"/>
        <w:spacing w:line="360" w:lineRule="auto"/>
        <w:ind w:firstLineChars="200" w:firstLine="482"/>
        <w:rPr>
          <w:rFonts w:ascii="仿宋_GB2312" w:eastAsia="仿宋_GB2312" w:hAnsi="宋体" w:cs="Arial"/>
          <w:sz w:val="24"/>
          <w:szCs w:val="24"/>
        </w:rPr>
      </w:pPr>
      <w:r>
        <w:rPr>
          <w:rFonts w:ascii="仿宋_GB2312" w:eastAsia="仿宋_GB2312" w:hAnsi="方正黑体_GBK" w:cs="方正黑体_GBK" w:hint="eastAsia"/>
          <w:b/>
          <w:sz w:val="24"/>
          <w:szCs w:val="24"/>
        </w:rPr>
        <w:t>▲▲本产品业绩比较基准由产品</w:t>
      </w:r>
      <w:r>
        <w:rPr>
          <w:rFonts w:ascii="仿宋_GB2312" w:eastAsia="仿宋_GB2312" w:hAnsi="方正黑体_GBK" w:cs="方正黑体_GBK"/>
          <w:b/>
          <w:sz w:val="24"/>
          <w:szCs w:val="24"/>
        </w:rPr>
        <w:t>管理人依据</w:t>
      </w:r>
      <w:r>
        <w:rPr>
          <w:rFonts w:ascii="仿宋_GB2312" w:eastAsia="仿宋_GB2312" w:hAnsi="方正黑体_GBK" w:cs="方正黑体_GBK" w:hint="eastAsia"/>
          <w:b/>
          <w:sz w:val="24"/>
          <w:szCs w:val="24"/>
        </w:rPr>
        <w:t>本</w:t>
      </w:r>
      <w:r>
        <w:rPr>
          <w:rFonts w:ascii="仿宋_GB2312" w:eastAsia="仿宋_GB2312" w:hAnsi="方正黑体_GBK" w:cs="方正黑体_GBK"/>
          <w:b/>
          <w:sz w:val="24"/>
          <w:szCs w:val="24"/>
        </w:rPr>
        <w:t>理财产品的投资范围及</w:t>
      </w:r>
      <w:r>
        <w:rPr>
          <w:rFonts w:ascii="仿宋_GB2312" w:eastAsia="仿宋_GB2312" w:hAnsi="方正黑体_GBK" w:cs="方正黑体_GBK" w:hint="eastAsia"/>
          <w:b/>
          <w:sz w:val="24"/>
          <w:szCs w:val="24"/>
        </w:rPr>
        <w:t>比例</w:t>
      </w:r>
      <w:r>
        <w:rPr>
          <w:rFonts w:ascii="仿宋_GB2312" w:eastAsia="仿宋_GB2312" w:hAnsi="方正黑体_GBK" w:cs="方正黑体_GBK"/>
          <w:b/>
          <w:sz w:val="24"/>
          <w:szCs w:val="24"/>
        </w:rPr>
        <w:t>、投资策略，并综合考量市场环境等因素</w:t>
      </w:r>
      <w:r>
        <w:rPr>
          <w:rFonts w:ascii="仿宋_GB2312" w:eastAsia="仿宋_GB2312" w:hAnsi="方正黑体_GBK" w:cs="方正黑体_GBK" w:hint="eastAsia"/>
          <w:b/>
          <w:sz w:val="24"/>
          <w:szCs w:val="24"/>
        </w:rPr>
        <w:t>测算</w:t>
      </w:r>
      <w:r>
        <w:rPr>
          <w:rFonts w:ascii="仿宋_GB2312" w:eastAsia="仿宋_GB2312" w:hAnsi="方正黑体_GBK" w:cs="方正黑体_GBK"/>
          <w:b/>
          <w:sz w:val="24"/>
          <w:szCs w:val="24"/>
        </w:rPr>
        <w:t>。</w:t>
      </w:r>
      <w:r>
        <w:rPr>
          <w:rFonts w:ascii="仿宋_GB2312" w:eastAsia="仿宋_GB2312" w:hAnsi="方正黑体_GBK" w:cs="方正黑体_GBK" w:hint="eastAsia"/>
          <w:b/>
          <w:sz w:val="24"/>
          <w:szCs w:val="24"/>
        </w:rPr>
        <w:t>业绩</w:t>
      </w:r>
      <w:r>
        <w:rPr>
          <w:rFonts w:ascii="仿宋_GB2312" w:eastAsia="仿宋_GB2312" w:hAnsi="方正黑体_GBK" w:cs="方正黑体_GBK"/>
          <w:b/>
          <w:sz w:val="24"/>
          <w:szCs w:val="24"/>
        </w:rPr>
        <w:t>比较</w:t>
      </w:r>
      <w:r>
        <w:rPr>
          <w:rFonts w:ascii="仿宋_GB2312" w:eastAsia="仿宋_GB2312" w:hAnsi="方正黑体_GBK" w:cs="方正黑体_GBK" w:hint="eastAsia"/>
          <w:b/>
          <w:sz w:val="24"/>
          <w:szCs w:val="24"/>
        </w:rPr>
        <w:t>基准是</w:t>
      </w:r>
      <w:r>
        <w:rPr>
          <w:rFonts w:ascii="仿宋_GB2312" w:eastAsia="仿宋_GB2312" w:hAnsi="方正黑体_GBK" w:cs="方正黑体_GBK"/>
          <w:b/>
          <w:sz w:val="24"/>
          <w:szCs w:val="24"/>
        </w:rPr>
        <w:t>本机构基于产品性质、投资策略、</w:t>
      </w:r>
      <w:r>
        <w:rPr>
          <w:rFonts w:ascii="仿宋_GB2312" w:eastAsia="仿宋_GB2312" w:hAnsi="方正黑体_GBK" w:cs="方正黑体_GBK" w:hint="eastAsia"/>
          <w:b/>
          <w:sz w:val="24"/>
          <w:szCs w:val="24"/>
        </w:rPr>
        <w:t>过</w:t>
      </w:r>
      <w:r>
        <w:rPr>
          <w:rFonts w:ascii="仿宋_GB2312" w:eastAsia="仿宋_GB2312" w:hAnsi="方正黑体_GBK" w:cs="方正黑体_GBK"/>
          <w:b/>
          <w:sz w:val="24"/>
          <w:szCs w:val="24"/>
        </w:rPr>
        <w:t>往经验等因素对产品设定的投资目标</w:t>
      </w:r>
      <w:r>
        <w:rPr>
          <w:rFonts w:ascii="仿宋_GB2312" w:eastAsia="仿宋_GB2312" w:hAnsi="方正黑体_GBK" w:cs="方正黑体_GBK" w:hint="eastAsia"/>
          <w:b/>
          <w:sz w:val="24"/>
          <w:szCs w:val="24"/>
        </w:rPr>
        <w:t>，</w:t>
      </w:r>
      <w:r>
        <w:rPr>
          <w:rFonts w:ascii="仿宋_GB2312" w:eastAsia="仿宋_GB2312" w:hAnsi="方正黑体_GBK" w:cs="方正黑体_GBK"/>
          <w:b/>
          <w:sz w:val="24"/>
          <w:szCs w:val="24"/>
        </w:rPr>
        <w:t>不代表产品的未来表现和实际收益，不构成对产品收益的承诺。</w:t>
      </w:r>
    </w:p>
    <w:p w14:paraId="3A8D4603" w14:textId="77777777" w:rsidR="003E7F78" w:rsidRDefault="00741AB5">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（四）拟投资市场和资产的风险评估</w:t>
      </w:r>
    </w:p>
    <w:p w14:paraId="58C3A426" w14:textId="77777777" w:rsidR="003E7F78" w:rsidRDefault="00741AB5">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本理财产品属于固定收益类理财产品，拟投资</w:t>
      </w:r>
      <w:r>
        <w:rPr>
          <w:rFonts w:ascii="仿宋_GB2312" w:eastAsia="仿宋_GB2312" w:hAnsi="宋体" w:cs="Arial" w:hint="eastAsia"/>
          <w:b/>
          <w:bCs/>
          <w:sz w:val="24"/>
          <w:szCs w:val="24"/>
        </w:rPr>
        <w:t>市场和资产可能面临的风险如下：</w:t>
      </w:r>
    </w:p>
    <w:p w14:paraId="647D3572" w14:textId="77777777" w:rsidR="003E7F78" w:rsidRDefault="00741AB5">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1</w:t>
      </w:r>
      <w:r>
        <w:rPr>
          <w:rFonts w:ascii="仿宋_GB2312" w:eastAsia="仿宋_GB2312" w:hAnsi="宋体" w:cs="Arial"/>
          <w:b/>
          <w:bCs/>
          <w:sz w:val="24"/>
          <w:szCs w:val="24"/>
        </w:rPr>
        <w:t>.</w:t>
      </w:r>
      <w:r>
        <w:rPr>
          <w:rFonts w:ascii="仿宋_GB2312" w:eastAsia="仿宋_GB2312" w:hAnsi="宋体" w:cs="Arial" w:hint="eastAsia"/>
          <w:b/>
          <w:bCs/>
          <w:sz w:val="24"/>
          <w:szCs w:val="24"/>
        </w:rPr>
        <w:t>投资于债券的可能风险：国家政策、经济周期、利率、汇率等因素可能发生的变化导致的市场风险；债券发行人的经营状况、信用质量降低等可能发生的变化导致的信用风险；非公开定向债务融资工具可能的流通和转让限制导致的流动性风险等。</w:t>
      </w:r>
    </w:p>
    <w:p w14:paraId="327848FB" w14:textId="77777777" w:rsidR="003E7F78" w:rsidRDefault="00741AB5">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2</w:t>
      </w:r>
      <w:r>
        <w:rPr>
          <w:rFonts w:ascii="仿宋_GB2312" w:eastAsia="仿宋_GB2312" w:hAnsi="宋体" w:cs="Arial"/>
          <w:b/>
          <w:bCs/>
          <w:sz w:val="24"/>
          <w:szCs w:val="24"/>
        </w:rPr>
        <w:t>.</w:t>
      </w:r>
      <w:r>
        <w:rPr>
          <w:rFonts w:ascii="仿宋_GB2312" w:eastAsia="仿宋_GB2312" w:hAnsi="宋体" w:cs="Arial" w:hint="eastAsia"/>
          <w:b/>
          <w:bCs/>
          <w:sz w:val="24"/>
          <w:szCs w:val="24"/>
        </w:rPr>
        <w:t>投资于资产支持证券的可能风险：资产支持证券项下的基础资产现金流可能未能及时完整取得导致的信用风险；资产支持证券可能的市场成交量不足、缺乏意愿交易对手导致的流动性风险等。</w:t>
      </w:r>
    </w:p>
    <w:p w14:paraId="4B94949B" w14:textId="77777777" w:rsidR="003E7F78" w:rsidRDefault="00741AB5">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3</w:t>
      </w:r>
      <w:r>
        <w:rPr>
          <w:rFonts w:ascii="仿宋_GB2312" w:eastAsia="仿宋_GB2312" w:hAnsi="宋体" w:cs="Arial"/>
          <w:b/>
          <w:bCs/>
          <w:sz w:val="24"/>
          <w:szCs w:val="24"/>
        </w:rPr>
        <w:t>.</w:t>
      </w:r>
      <w:r>
        <w:rPr>
          <w:rFonts w:ascii="仿宋_GB2312" w:eastAsia="仿宋_GB2312" w:hAnsi="宋体" w:cs="Arial" w:hint="eastAsia"/>
          <w:b/>
          <w:bCs/>
          <w:sz w:val="24"/>
          <w:szCs w:val="24"/>
        </w:rPr>
        <w:t>投资于权益类资产的可能风险：国家政策、经济周期、利率、汇率等因素可能发生的变化导</w:t>
      </w:r>
      <w:r>
        <w:rPr>
          <w:rFonts w:ascii="仿宋_GB2312" w:eastAsia="仿宋_GB2312" w:hAnsi="宋体" w:cs="Arial" w:hint="eastAsia"/>
          <w:b/>
          <w:bCs/>
          <w:sz w:val="24"/>
          <w:szCs w:val="24"/>
        </w:rPr>
        <w:t>致的市场风险；本理财产品将投资股票等权益类资产，包括但不限于境内外上市公司优先股等，由于公司经营受多种因素影响，如果理财所投资的公司经营不善，其股票价格可能下跌，或者能够用于分配的利润减少，使理财产品投资收益下降的风险。境内外上市公司优先股等可能的流通和转让限制导致的流动性风险等。</w:t>
      </w:r>
    </w:p>
    <w:p w14:paraId="1E15ECD5" w14:textId="77777777" w:rsidR="003E7F78" w:rsidRDefault="00741AB5">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4</w:t>
      </w:r>
      <w:r>
        <w:rPr>
          <w:rFonts w:ascii="仿宋_GB2312" w:eastAsia="仿宋_GB2312" w:hAnsi="宋体" w:cs="Arial"/>
          <w:b/>
          <w:bCs/>
          <w:sz w:val="24"/>
          <w:szCs w:val="24"/>
        </w:rPr>
        <w:t>.</w:t>
      </w:r>
      <w:r>
        <w:rPr>
          <w:rFonts w:ascii="仿宋_GB2312" w:eastAsia="仿宋_GB2312" w:hAnsi="宋体" w:cs="Arial" w:hint="eastAsia"/>
          <w:b/>
          <w:bCs/>
          <w:sz w:val="24"/>
          <w:szCs w:val="24"/>
        </w:rPr>
        <w:t>投资于金融衍生品类资产的可能风险：因政策、经济周期、利率、汇率等因素可能发生的变化导致的市场风险；因资产交易量不足、缺乏意愿交易对手等因素导致的流动性风险；因交易对手未履约导致的信用风险等。</w:t>
      </w:r>
    </w:p>
    <w:p w14:paraId="4A2B57C8" w14:textId="77777777" w:rsidR="003E7F78" w:rsidRDefault="00741AB5">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以上风险仅为列举性质，未能详尽列</w:t>
      </w:r>
      <w:r>
        <w:rPr>
          <w:rFonts w:ascii="仿宋_GB2312" w:eastAsia="仿宋_GB2312" w:hAnsi="宋体" w:cs="Arial" w:hint="eastAsia"/>
          <w:b/>
          <w:bCs/>
          <w:sz w:val="24"/>
          <w:szCs w:val="24"/>
        </w:rPr>
        <w:t>明拟投资市场和资产面临的全部风险和可能导致投资者投资本金及收益损失的所有因素。</w:t>
      </w:r>
    </w:p>
    <w:p w14:paraId="7BD37A88" w14:textId="77777777" w:rsidR="003E7F78" w:rsidRDefault="00741AB5">
      <w:pPr>
        <w:spacing w:line="360" w:lineRule="auto"/>
        <w:ind w:firstLineChars="177" w:firstLine="426"/>
        <w:outlineLvl w:val="2"/>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三、产品的托管机构和代销机构的基本信息和主要职责</w:t>
      </w:r>
    </w:p>
    <w:p w14:paraId="7B109C4D"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（一）托管人基本信息：</w:t>
      </w:r>
    </w:p>
    <w:p w14:paraId="47494190"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交通银行股份有限公司</w:t>
      </w:r>
    </w:p>
    <w:p w14:paraId="60651A6F"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法定代表人：任德奇</w:t>
      </w:r>
    </w:p>
    <w:p w14:paraId="21B40E76"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注册地址：中国（上海）自由贸易试验区银城中路</w:t>
      </w:r>
      <w:r>
        <w:rPr>
          <w:rFonts w:ascii="仿宋_GB2312" w:eastAsia="仿宋_GB2312" w:hAnsi="方正仿宋_GBK" w:cs="方正仿宋_GBK"/>
          <w:sz w:val="24"/>
          <w:szCs w:val="24"/>
        </w:rPr>
        <w:t>188</w:t>
      </w:r>
      <w:r>
        <w:rPr>
          <w:rFonts w:ascii="仿宋_GB2312" w:eastAsia="仿宋_GB2312" w:hAnsi="方正仿宋_GBK" w:cs="方正仿宋_GBK"/>
          <w:sz w:val="24"/>
          <w:szCs w:val="24"/>
        </w:rPr>
        <w:t>号</w:t>
      </w:r>
    </w:p>
    <w:p w14:paraId="139B7B31"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▲▲产品管理人在此特别披露：托管人为产品管理人的关联方，产品管理人聘请其担任托管人已履行了现行法律法规和监管规定所规定必须履行的程序</w:t>
      </w:r>
      <w:r>
        <w:rPr>
          <w:rFonts w:ascii="仿宋_GB2312" w:eastAsia="仿宋_GB2312" w:hAnsi="方正仿宋_GBK" w:cs="方正仿宋_GBK"/>
          <w:sz w:val="24"/>
          <w:szCs w:val="24"/>
        </w:rPr>
        <w:t>,</w:t>
      </w:r>
      <w:r>
        <w:rPr>
          <w:rFonts w:ascii="仿宋_GB2312" w:eastAsia="仿宋_GB2312" w:hAnsi="方正仿宋_GBK" w:cs="方正仿宋_GBK"/>
          <w:sz w:val="24"/>
          <w:szCs w:val="24"/>
        </w:rPr>
        <w:t>产品管理人、投资者同意并接受理财产品由托管人托管。</w:t>
      </w:r>
    </w:p>
    <w:p w14:paraId="4ED1D4BA"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（二）托管人主要职责：</w:t>
      </w:r>
    </w:p>
    <w:p w14:paraId="62DAB9D0"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1.</w:t>
      </w:r>
      <w:r>
        <w:rPr>
          <w:rFonts w:ascii="仿宋_GB2312" w:eastAsia="仿宋_GB2312" w:hAnsi="方正仿宋_GBK" w:cs="方正仿宋_GBK"/>
          <w:sz w:val="24"/>
          <w:szCs w:val="24"/>
        </w:rPr>
        <w:t>安全保管理财产品财产；</w:t>
      </w:r>
    </w:p>
    <w:p w14:paraId="7C173D05"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2.</w:t>
      </w:r>
      <w:r>
        <w:rPr>
          <w:rFonts w:ascii="仿宋_GB2312" w:eastAsia="仿宋_GB2312" w:hAnsi="方正仿宋_GBK" w:cs="方正仿宋_GBK"/>
          <w:sz w:val="24"/>
          <w:szCs w:val="24"/>
        </w:rPr>
        <w:t>为理财产品开立银行托管账户、证券账户等；</w:t>
      </w:r>
    </w:p>
    <w:p w14:paraId="228CEE91"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3.</w:t>
      </w:r>
      <w:r>
        <w:rPr>
          <w:rFonts w:ascii="仿宋_GB2312" w:eastAsia="仿宋_GB2312" w:hAnsi="方正仿宋_GBK" w:cs="方正仿宋_GBK"/>
          <w:sz w:val="24"/>
          <w:szCs w:val="24"/>
        </w:rPr>
        <w:t>确认与执行理财产品资金划拨指令，办理理财产品资金的收付，核对理财产品资金划拨记录；</w:t>
      </w:r>
    </w:p>
    <w:p w14:paraId="13A8ECFF"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4.</w:t>
      </w:r>
      <w:r>
        <w:rPr>
          <w:rFonts w:ascii="仿宋_GB2312" w:eastAsia="仿宋_GB2312" w:hAnsi="方正仿宋_GBK" w:cs="方正仿宋_GBK"/>
          <w:sz w:val="24"/>
          <w:szCs w:val="24"/>
        </w:rPr>
        <w:t>建立与理财产品</w:t>
      </w:r>
      <w:r>
        <w:rPr>
          <w:rFonts w:ascii="仿宋_GB2312" w:eastAsia="仿宋_GB2312" w:hAnsi="方正仿宋_GBK" w:cs="方正仿宋_GBK" w:hint="eastAsia"/>
          <w:sz w:val="24"/>
          <w:szCs w:val="24"/>
        </w:rPr>
        <w:t>管理人的对账机制，复核理财产品资产净值、理财产品份额申购、赎回价格，及时核查投资资金的支付和到账情况；</w:t>
      </w:r>
    </w:p>
    <w:p w14:paraId="5298AE94"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5.</w:t>
      </w:r>
      <w:r>
        <w:rPr>
          <w:rFonts w:ascii="仿宋_GB2312" w:eastAsia="仿宋_GB2312" w:hAnsi="方正仿宋_GBK" w:cs="方正仿宋_GBK"/>
          <w:sz w:val="24"/>
          <w:szCs w:val="24"/>
        </w:rPr>
        <w:t>监督理财产品投资运作；</w:t>
      </w:r>
    </w:p>
    <w:p w14:paraId="466E4998"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6.</w:t>
      </w:r>
      <w:r>
        <w:rPr>
          <w:rFonts w:ascii="仿宋_GB2312" w:eastAsia="仿宋_GB2312" w:hAnsi="方正仿宋_GBK" w:cs="方正仿宋_GBK"/>
          <w:sz w:val="24"/>
          <w:szCs w:val="24"/>
        </w:rPr>
        <w:t>办理与理财产品托管业务活动相关的信息披露事项；</w:t>
      </w:r>
    </w:p>
    <w:p w14:paraId="100A204B"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7.</w:t>
      </w:r>
      <w:r>
        <w:rPr>
          <w:rFonts w:ascii="仿宋_GB2312" w:eastAsia="仿宋_GB2312" w:hAnsi="方正仿宋_GBK" w:cs="方正仿宋_GBK"/>
          <w:sz w:val="24"/>
          <w:szCs w:val="24"/>
        </w:rPr>
        <w:t>保存理财产品托管业务活动的记录、账册、报表和其他相关材料；</w:t>
      </w:r>
    </w:p>
    <w:p w14:paraId="6F858914"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8.</w:t>
      </w:r>
      <w:r>
        <w:rPr>
          <w:rFonts w:ascii="仿宋_GB2312" w:eastAsia="仿宋_GB2312" w:hAnsi="方正仿宋_GBK" w:cs="方正仿宋_GBK"/>
          <w:sz w:val="24"/>
          <w:szCs w:val="24"/>
        </w:rPr>
        <w:t>对理财产品投资信息和相关资料承担保密责任；</w:t>
      </w:r>
    </w:p>
    <w:p w14:paraId="70E8A811"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9.</w:t>
      </w:r>
      <w:r>
        <w:rPr>
          <w:rFonts w:ascii="仿宋_GB2312" w:eastAsia="仿宋_GB2312" w:hAnsi="方正仿宋_GBK" w:cs="方正仿宋_GBK"/>
          <w:sz w:val="24"/>
          <w:szCs w:val="24"/>
        </w:rPr>
        <w:t>国务院银行业监督管理机构规定的其他职责。</w:t>
      </w:r>
    </w:p>
    <w:p w14:paraId="28849248"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（三）代销机构基本信息：</w:t>
      </w:r>
    </w:p>
    <w:p w14:paraId="00ECA29C"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华夏银行股份有限公司</w:t>
      </w:r>
    </w:p>
    <w:p w14:paraId="1126F4F8"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注册地址：北京市东城区建国门内大街</w:t>
      </w:r>
      <w:r>
        <w:rPr>
          <w:rFonts w:ascii="仿宋_GB2312" w:eastAsia="仿宋_GB2312" w:hAnsi="方正仿宋_GBK" w:cs="方正仿宋_GBK"/>
          <w:sz w:val="24"/>
          <w:szCs w:val="24"/>
        </w:rPr>
        <w:t>22</w:t>
      </w:r>
      <w:r>
        <w:rPr>
          <w:rFonts w:ascii="仿宋_GB2312" w:eastAsia="仿宋_GB2312" w:hAnsi="方正仿宋_GBK" w:cs="方正仿宋_GBK" w:hint="eastAsia"/>
          <w:sz w:val="24"/>
          <w:szCs w:val="24"/>
        </w:rPr>
        <w:t>号</w:t>
      </w:r>
    </w:p>
    <w:p w14:paraId="1E908DB6"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客户服务热线：</w:t>
      </w:r>
      <w:r>
        <w:rPr>
          <w:rFonts w:ascii="仿宋_GB2312" w:eastAsia="仿宋_GB2312" w:hAnsi="方正仿宋_GBK" w:cs="方正仿宋_GBK"/>
          <w:sz w:val="24"/>
          <w:szCs w:val="24"/>
        </w:rPr>
        <w:t>95577</w:t>
      </w:r>
    </w:p>
    <w:p w14:paraId="2A994643"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（四）代销机构主要职责：</w:t>
      </w:r>
    </w:p>
    <w:p w14:paraId="552950F1"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1.</w:t>
      </w:r>
      <w:r>
        <w:rPr>
          <w:rFonts w:ascii="仿宋_GB2312" w:eastAsia="仿宋_GB2312" w:hAnsi="方正仿宋_GBK" w:cs="方正仿宋_GBK"/>
          <w:sz w:val="24"/>
          <w:szCs w:val="24"/>
        </w:rPr>
        <w:t>宣传推介理</w:t>
      </w:r>
      <w:r>
        <w:rPr>
          <w:rFonts w:ascii="仿宋_GB2312" w:eastAsia="仿宋_GB2312" w:hAnsi="方正仿宋_GBK" w:cs="方正仿宋_GBK" w:hint="eastAsia"/>
          <w:sz w:val="24"/>
          <w:szCs w:val="24"/>
        </w:rPr>
        <w:t>财产品；</w:t>
      </w:r>
    </w:p>
    <w:p w14:paraId="2D131285"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2.</w:t>
      </w:r>
      <w:r>
        <w:rPr>
          <w:rFonts w:ascii="仿宋_GB2312" w:eastAsia="仿宋_GB2312" w:hAnsi="方正仿宋_GBK" w:cs="方正仿宋_GBK"/>
          <w:sz w:val="24"/>
          <w:szCs w:val="24"/>
        </w:rPr>
        <w:t>为投资者办理理财产品认购、申购和赎回；</w:t>
      </w:r>
    </w:p>
    <w:p w14:paraId="4FBA35C2"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3.</w:t>
      </w:r>
      <w:r>
        <w:rPr>
          <w:rFonts w:ascii="仿宋_GB2312" w:eastAsia="仿宋_GB2312" w:hAnsi="方正仿宋_GBK" w:cs="方正仿宋_GBK"/>
          <w:sz w:val="24"/>
          <w:szCs w:val="24"/>
        </w:rPr>
        <w:t>在销售过程中对投资者进行身份识别和尽职调查；</w:t>
      </w:r>
    </w:p>
    <w:p w14:paraId="35AD2B38"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4.</w:t>
      </w:r>
      <w:r>
        <w:rPr>
          <w:rFonts w:ascii="仿宋_GB2312" w:eastAsia="仿宋_GB2312" w:hAnsi="方正仿宋_GBK" w:cs="方正仿宋_GBK"/>
          <w:sz w:val="24"/>
          <w:szCs w:val="24"/>
        </w:rPr>
        <w:t>承担理财产品的投资者适当性和销售适当性管理职责；</w:t>
      </w:r>
    </w:p>
    <w:p w14:paraId="4F5FD1B8"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5.</w:t>
      </w:r>
      <w:r>
        <w:rPr>
          <w:rFonts w:ascii="仿宋_GB2312" w:eastAsia="仿宋_GB2312" w:hAnsi="方正仿宋_GBK" w:cs="方正仿宋_GBK"/>
          <w:sz w:val="24"/>
          <w:szCs w:val="24"/>
        </w:rPr>
        <w:t>适用法律规定及理财产品销售文件约定的其他职责。</w:t>
      </w:r>
    </w:p>
    <w:p w14:paraId="29FD5989" w14:textId="77777777" w:rsidR="003E7F78" w:rsidRDefault="00741AB5">
      <w:pPr>
        <w:spacing w:line="360" w:lineRule="auto"/>
        <w:ind w:firstLineChars="177" w:firstLine="426"/>
        <w:outlineLvl w:val="2"/>
        <w:rPr>
          <w:rFonts w:ascii="仿宋_GB2312" w:eastAsia="仿宋_GB2312" w:hAnsi="方正仿宋_GBK" w:cs="方正仿宋_GBK"/>
          <w:sz w:val="24"/>
          <w:szCs w:val="24"/>
        </w:rPr>
      </w:pPr>
      <w:r>
        <w:rPr>
          <w:rFonts w:ascii="仿宋_GB2312" w:eastAsia="仿宋_GB2312" w:hAnsi="宋体" w:cs="Arial" w:hint="eastAsia"/>
          <w:b/>
          <w:color w:val="000000"/>
          <w:kern w:val="0"/>
          <w:sz w:val="24"/>
          <w:szCs w:val="24"/>
        </w:rPr>
        <w:t>四、产品的认购和募集</w:t>
      </w:r>
    </w:p>
    <w:p w14:paraId="7760A080"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（一）投资者向交银理财申请购买本理财产品合同项下的理财产品时应已经在代销机构开立活期存款账户。</w:t>
      </w:r>
    </w:p>
    <w:p w14:paraId="50FA567F"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二）投资者应指定其开立在代销机构的相关账户作为清算账户。该账户用于产品管理人和投资者之间根据本理财产品合同办理的投资金额与清算分配金额等款项收付。投资者同意，代销机构制作的该账户收款、付款记录是证</w:t>
      </w:r>
      <w:r>
        <w:rPr>
          <w:rFonts w:ascii="仿宋_GB2312" w:eastAsia="仿宋_GB2312" w:hAnsi="方正仿宋_GBK" w:cs="方正仿宋_GBK" w:hint="eastAsia"/>
          <w:sz w:val="24"/>
          <w:szCs w:val="24"/>
        </w:rPr>
        <w:t>明该账户项下款项收付的有效凭证。</w:t>
      </w:r>
    </w:p>
    <w:p w14:paraId="2ED513B0" w14:textId="77777777" w:rsidR="003E7F78" w:rsidRDefault="00741AB5">
      <w:pPr>
        <w:spacing w:line="360" w:lineRule="auto"/>
        <w:ind w:firstLineChars="177" w:firstLine="425"/>
        <w:rPr>
          <w:rFonts w:ascii="仿宋_GB2312" w:eastAsia="仿宋_GB2312" w:hAnsi="方正仿宋_GBK" w:cs="方正仿宋_GBK"/>
          <w:bCs/>
          <w:sz w:val="24"/>
          <w:szCs w:val="24"/>
        </w:rPr>
      </w:pPr>
      <w:r>
        <w:rPr>
          <w:rFonts w:ascii="仿宋_GB2312" w:eastAsia="仿宋_GB2312" w:hAnsi="方正仿宋_GBK" w:cs="方正仿宋_GBK" w:hint="eastAsia"/>
          <w:bCs/>
          <w:sz w:val="24"/>
          <w:szCs w:val="24"/>
        </w:rPr>
        <w:t>（三）本产品认购金额要求：</w:t>
      </w:r>
    </w:p>
    <w:p w14:paraId="3F6120B4"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C</w:t>
      </w:r>
      <w:r>
        <w:rPr>
          <w:rFonts w:ascii="仿宋_GB2312" w:eastAsia="仿宋_GB2312" w:hAnsi="宋体" w:cs="宋体" w:hint="eastAsia"/>
          <w:kern w:val="0"/>
          <w:sz w:val="24"/>
          <w:szCs w:val="24"/>
        </w:rPr>
        <w:t>类份额：</w:t>
      </w:r>
      <w:r>
        <w:rPr>
          <w:rFonts w:ascii="仿宋_GB2312" w:eastAsia="仿宋_GB2312" w:hAnsi="方正仿宋_GBK" w:cs="方正仿宋_GBK" w:hint="eastAsia"/>
          <w:sz w:val="24"/>
          <w:szCs w:val="24"/>
        </w:rPr>
        <w:t>投资者购买本理财产品，投资起点为人民币</w:t>
      </w:r>
      <w:r>
        <w:rPr>
          <w:rFonts w:ascii="仿宋_GB2312" w:eastAsia="仿宋_GB2312" w:hAnsi="方正仿宋_GBK" w:cs="方正仿宋_GBK" w:hint="eastAsia"/>
          <w:sz w:val="24"/>
          <w:szCs w:val="24"/>
        </w:rPr>
        <w:t>1</w:t>
      </w:r>
      <w:r>
        <w:rPr>
          <w:rFonts w:ascii="仿宋_GB2312" w:eastAsia="仿宋_GB2312" w:hAnsi="方正仿宋_GBK" w:cs="方正仿宋_GBK"/>
          <w:sz w:val="24"/>
          <w:szCs w:val="24"/>
        </w:rPr>
        <w:t>元，并以</w:t>
      </w:r>
      <w:r>
        <w:rPr>
          <w:rFonts w:ascii="仿宋_GB2312" w:eastAsia="仿宋_GB2312" w:hAnsi="方正仿宋_GBK" w:cs="方正仿宋_GBK" w:hint="eastAsia"/>
          <w:sz w:val="24"/>
          <w:szCs w:val="24"/>
        </w:rPr>
        <w:t>1</w:t>
      </w:r>
      <w:r>
        <w:rPr>
          <w:rFonts w:ascii="仿宋_GB2312" w:eastAsia="仿宋_GB2312" w:hAnsi="方正仿宋_GBK" w:cs="方正仿宋_GBK"/>
          <w:sz w:val="24"/>
          <w:szCs w:val="24"/>
        </w:rPr>
        <w:t>元为单位递增。</w:t>
      </w:r>
    </w:p>
    <w:p w14:paraId="0C306419"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（四）认购份额的计算：认购份额</w:t>
      </w:r>
      <w:r>
        <w:rPr>
          <w:rFonts w:ascii="仿宋_GB2312" w:eastAsia="仿宋_GB2312" w:hAnsi="方正仿宋_GBK" w:cs="方正仿宋_GBK"/>
          <w:sz w:val="24"/>
          <w:szCs w:val="24"/>
        </w:rPr>
        <w:t>=[</w:t>
      </w:r>
      <w:r>
        <w:rPr>
          <w:rFonts w:ascii="仿宋_GB2312" w:eastAsia="仿宋_GB2312" w:hAnsi="方正仿宋_GBK" w:cs="方正仿宋_GBK"/>
          <w:sz w:val="24"/>
          <w:szCs w:val="24"/>
        </w:rPr>
        <w:t>认购金额</w:t>
      </w:r>
      <w:r>
        <w:rPr>
          <w:rFonts w:ascii="仿宋_GB2312" w:eastAsia="仿宋_GB2312" w:hAnsi="方正仿宋_GBK" w:cs="方正仿宋_GBK"/>
          <w:sz w:val="24"/>
          <w:szCs w:val="24"/>
        </w:rPr>
        <w:t>-</w:t>
      </w:r>
      <w:r>
        <w:rPr>
          <w:rFonts w:ascii="仿宋_GB2312" w:eastAsia="仿宋_GB2312" w:hAnsi="方正仿宋_GBK" w:cs="方正仿宋_GBK"/>
          <w:sz w:val="24"/>
          <w:szCs w:val="24"/>
        </w:rPr>
        <w:t>认购费（若有）</w:t>
      </w:r>
      <w:r>
        <w:rPr>
          <w:rFonts w:ascii="仿宋_GB2312" w:eastAsia="仿宋_GB2312" w:hAnsi="方正仿宋_GBK" w:cs="方正仿宋_GBK"/>
          <w:sz w:val="24"/>
          <w:szCs w:val="24"/>
        </w:rPr>
        <w:t>]/</w:t>
      </w:r>
      <w:r>
        <w:rPr>
          <w:rFonts w:ascii="仿宋_GB2312" w:eastAsia="仿宋_GB2312" w:hAnsi="方正仿宋_GBK" w:cs="方正仿宋_GBK"/>
          <w:sz w:val="24"/>
          <w:szCs w:val="24"/>
        </w:rPr>
        <w:t>产品成立单位净值，产</w:t>
      </w:r>
      <w:r>
        <w:rPr>
          <w:rFonts w:ascii="仿宋_GB2312" w:eastAsia="仿宋_GB2312" w:hAnsi="方正仿宋_GBK" w:cs="方正仿宋_GBK" w:hint="eastAsia"/>
          <w:sz w:val="24"/>
          <w:szCs w:val="24"/>
        </w:rPr>
        <w:t>品成立单位净值为</w:t>
      </w:r>
      <w:r>
        <w:rPr>
          <w:rFonts w:ascii="仿宋_GB2312" w:eastAsia="仿宋_GB2312" w:hAnsi="方正仿宋_GBK" w:cs="方正仿宋_GBK"/>
          <w:sz w:val="24"/>
          <w:szCs w:val="24"/>
        </w:rPr>
        <w:t>1</w:t>
      </w:r>
      <w:r>
        <w:rPr>
          <w:rFonts w:ascii="仿宋_GB2312" w:eastAsia="仿宋_GB2312" w:hAnsi="方正仿宋_GBK" w:cs="方正仿宋_GBK" w:hint="eastAsia"/>
          <w:sz w:val="24"/>
          <w:szCs w:val="24"/>
        </w:rPr>
        <w:t>.00</w:t>
      </w:r>
      <w:r>
        <w:rPr>
          <w:rFonts w:ascii="仿宋_GB2312" w:eastAsia="仿宋_GB2312" w:hAnsi="方正仿宋_GBK" w:cs="方正仿宋_GBK" w:hint="eastAsia"/>
          <w:sz w:val="24"/>
          <w:szCs w:val="24"/>
        </w:rPr>
        <w:t>元</w:t>
      </w:r>
      <w:r>
        <w:rPr>
          <w:rFonts w:ascii="仿宋_GB2312" w:eastAsia="仿宋_GB2312" w:hAnsi="方正仿宋_GBK" w:cs="方正仿宋_GBK"/>
          <w:sz w:val="24"/>
          <w:szCs w:val="24"/>
        </w:rPr>
        <w:t>。实际认购份额以产品管理人确认的份额为准。</w:t>
      </w:r>
    </w:p>
    <w:p w14:paraId="377CCA3B"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（五）受理时间和确认时间：投资者可在产品募集期内购买本产品，投资者认购资金将被实时冻结，并于募集期最后一日</w:t>
      </w:r>
      <w:r>
        <w:rPr>
          <w:rFonts w:ascii="仿宋_GB2312" w:eastAsia="仿宋_GB2312" w:hAnsi="方正仿宋_GBK" w:cs="方正仿宋_GBK" w:hint="eastAsia"/>
          <w:sz w:val="24"/>
          <w:szCs w:val="24"/>
        </w:rPr>
        <w:t>17:00</w:t>
      </w:r>
      <w:r>
        <w:rPr>
          <w:rFonts w:ascii="仿宋_GB2312" w:eastAsia="仿宋_GB2312" w:hAnsi="方正仿宋_GBK" w:cs="方正仿宋_GBK"/>
          <w:sz w:val="24"/>
          <w:szCs w:val="24"/>
        </w:rPr>
        <w:t>后</w:t>
      </w:r>
      <w:r>
        <w:rPr>
          <w:rFonts w:ascii="仿宋_GB2312" w:eastAsia="仿宋_GB2312" w:hAnsi="方正仿宋_GBK" w:cs="方正仿宋_GBK" w:hint="eastAsia"/>
          <w:sz w:val="24"/>
          <w:szCs w:val="24"/>
        </w:rPr>
        <w:t>由代销机构划款、产品管理人在产品成立日确认产品份额。</w:t>
      </w:r>
    </w:p>
    <w:p w14:paraId="49670749"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▲▲本理财产品若发生非因管理人主观因素导致突破单一投资者持有份额超过本理财产品总份额</w:t>
      </w:r>
      <w:r>
        <w:rPr>
          <w:rFonts w:ascii="仿宋_GB2312" w:eastAsia="仿宋_GB2312" w:hAnsi="方正仿宋_GBK" w:cs="方正仿宋_GBK"/>
          <w:sz w:val="24"/>
          <w:szCs w:val="24"/>
        </w:rPr>
        <w:t>50%</w:t>
      </w:r>
      <w:r>
        <w:rPr>
          <w:rFonts w:ascii="仿宋_GB2312" w:eastAsia="仿宋_GB2312" w:hAnsi="方正仿宋_GBK" w:cs="方正仿宋_GBK"/>
          <w:sz w:val="24"/>
          <w:szCs w:val="24"/>
        </w:rPr>
        <w:t>的情况，在单一投资者持有比例降至</w:t>
      </w:r>
      <w:r>
        <w:rPr>
          <w:rFonts w:ascii="仿宋_GB2312" w:eastAsia="仿宋_GB2312" w:hAnsi="方正仿宋_GBK" w:cs="方正仿宋_GBK"/>
          <w:sz w:val="24"/>
          <w:szCs w:val="24"/>
        </w:rPr>
        <w:t>50%</w:t>
      </w:r>
      <w:r>
        <w:rPr>
          <w:rFonts w:ascii="仿宋_GB2312" w:eastAsia="仿宋_GB2312" w:hAnsi="方正仿宋_GBK" w:cs="方正仿宋_GBK"/>
          <w:sz w:val="24"/>
          <w:szCs w:val="24"/>
        </w:rPr>
        <w:t>以下之前时，管理人可拒绝或暂停接受该投资者的认购申请。</w:t>
      </w:r>
    </w:p>
    <w:p w14:paraId="108F4ACC"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（六）募集期的利息计算：募集期内，认购资金在投资者交存至投资者清算账户当日（含）至募集期最后一日（不含）期间，按代销机构公布的人民币活期存款利率计算利息，该等利息不作为认购资金扣收。</w:t>
      </w:r>
    </w:p>
    <w:p w14:paraId="64352E54"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（七）受理渠道：投资者可通过代销机构各营业网点、代销机构手机银行、代销机构网上银行等电子渠道等办理理财账户的开户及理财产品的购买手续。</w:t>
      </w:r>
    </w:p>
    <w:p w14:paraId="673F2B86"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（八）购买撤销：募集期结束后，投资者不能撤销购买本产品。</w:t>
      </w:r>
    </w:p>
    <w:p w14:paraId="7D7599CE"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（九）产品成立：募集期届满时，若募集资金达到募集下限，则理财产品成立；否则，理财产品不成立。若理财产品不成立，产品管理人将于原定产品成</w:t>
      </w:r>
      <w:r>
        <w:rPr>
          <w:rFonts w:ascii="仿宋_GB2312" w:eastAsia="仿宋_GB2312" w:hAnsi="方正仿宋_GBK" w:cs="方正仿宋_GBK" w:hint="eastAsia"/>
          <w:sz w:val="24"/>
          <w:szCs w:val="24"/>
        </w:rPr>
        <w:t>立日起的</w:t>
      </w:r>
      <w:r>
        <w:rPr>
          <w:rFonts w:ascii="仿宋_GB2312" w:eastAsia="仿宋_GB2312" w:hAnsi="方正仿宋_GBK" w:cs="方正仿宋_GBK"/>
          <w:sz w:val="24"/>
          <w:szCs w:val="24"/>
        </w:rPr>
        <w:t>2</w:t>
      </w:r>
      <w:r>
        <w:rPr>
          <w:rFonts w:ascii="仿宋_GB2312" w:eastAsia="仿宋_GB2312" w:hAnsi="方正仿宋_GBK" w:cs="方正仿宋_GBK"/>
          <w:sz w:val="24"/>
          <w:szCs w:val="24"/>
        </w:rPr>
        <w:t>个工作日内将投资者理财资金退回代销机构，由代销机构退回投资者，募集期结束后至资金退回到账日期间不计付利息。</w:t>
      </w:r>
    </w:p>
    <w:p w14:paraId="239A63C8"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十）发生下列情形时，产品管理人可拒绝或暂停接受投资者的认购申请：根据法律法规或监管要求，如发生投资者未能满足管理人的客户尽职调查、大额和可疑交易监测及报告、反恐怖融资及制裁名单筛查等措施的配合义务时（包括但不限于未及时提供与更新身份资料等），或当投资者出现较高风险情形、本理财产品洗钱风险等级调整导致客户风险与产品洗钱风险等级不能匹配等情形发生，并且投资者无法采取有效措施降低该等风险情形</w:t>
      </w:r>
      <w:r>
        <w:rPr>
          <w:rFonts w:ascii="仿宋_GB2312" w:eastAsia="仿宋_GB2312" w:hAnsi="方正仿宋_GBK" w:cs="方正仿宋_GBK" w:hint="eastAsia"/>
          <w:sz w:val="24"/>
          <w:szCs w:val="24"/>
        </w:rPr>
        <w:t>的。</w:t>
      </w:r>
    </w:p>
    <w:p w14:paraId="74F2B184" w14:textId="77777777" w:rsidR="003E7F78" w:rsidRDefault="00741AB5">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本理财产品项下投资者的应得清算分配金额全部支付前，如遇需查封、冻结投资者指定投资者清算账户的，代销机构应依法依规冻结账户，并应在相关款项入账后按相关法律法规、监管要求、有权机关要求处理资金。</w:t>
      </w:r>
    </w:p>
    <w:p w14:paraId="1D910832" w14:textId="77777777" w:rsidR="003E7F78" w:rsidRDefault="00741AB5">
      <w:pPr>
        <w:spacing w:line="360" w:lineRule="auto"/>
        <w:ind w:firstLineChars="200" w:firstLine="482"/>
        <w:outlineLvl w:val="2"/>
        <w:rPr>
          <w:rFonts w:ascii="仿宋_GB2312" w:eastAsia="仿宋_GB2312" w:hAnsi="宋体" w:cs="Arial"/>
          <w:b/>
          <w:sz w:val="24"/>
          <w:szCs w:val="24"/>
        </w:rPr>
      </w:pPr>
      <w:r>
        <w:rPr>
          <w:rFonts w:ascii="仿宋_GB2312" w:eastAsia="仿宋_GB2312" w:hAnsi="方正仿宋_GBK" w:cs="方正仿宋_GBK" w:hint="eastAsia"/>
          <w:b/>
          <w:sz w:val="24"/>
          <w:szCs w:val="24"/>
        </w:rPr>
        <w:t>五、产品的申购和赎回</w:t>
      </w:r>
    </w:p>
    <w:p w14:paraId="5FF427BA"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（一）申购</w:t>
      </w:r>
      <w:r>
        <w:rPr>
          <w:rFonts w:ascii="仿宋_GB2312" w:eastAsia="仿宋_GB2312" w:hint="eastAsia"/>
          <w:b/>
          <w:sz w:val="24"/>
          <w:szCs w:val="24"/>
        </w:rPr>
        <w:t>/</w:t>
      </w:r>
      <w:r>
        <w:rPr>
          <w:rFonts w:ascii="仿宋_GB2312" w:eastAsia="仿宋_GB2312" w:hint="eastAsia"/>
          <w:b/>
          <w:sz w:val="24"/>
          <w:szCs w:val="24"/>
        </w:rPr>
        <w:t>赎回规则</w:t>
      </w:r>
    </w:p>
    <w:p w14:paraId="34A4E1F0"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本产品采用金额申购、份额赎回的原则，即申购以金额申请，赎回以份额申请。</w:t>
      </w:r>
    </w:p>
    <w:p w14:paraId="347C8616"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投资者可在产品开放期内产品开放日的交易时间提出申购、赎回申请。投资者在工作日</w:t>
      </w:r>
      <w:r>
        <w:rPr>
          <w:rFonts w:ascii="仿宋_GB2312" w:eastAsia="仿宋_GB2312" w:hint="eastAsia"/>
          <w:sz w:val="24"/>
          <w:szCs w:val="24"/>
        </w:rPr>
        <w:t>17:00</w:t>
      </w:r>
      <w:r>
        <w:rPr>
          <w:rFonts w:ascii="仿宋_GB2312" w:eastAsia="仿宋_GB2312" w:hint="eastAsia"/>
          <w:sz w:val="24"/>
          <w:szCs w:val="24"/>
        </w:rPr>
        <w:t>（不含）之前提出的申购</w:t>
      </w:r>
      <w:r>
        <w:rPr>
          <w:rFonts w:ascii="仿宋_GB2312" w:eastAsia="仿宋_GB2312" w:hint="eastAsia"/>
          <w:sz w:val="24"/>
          <w:szCs w:val="24"/>
        </w:rPr>
        <w:t>/</w:t>
      </w:r>
      <w:r>
        <w:rPr>
          <w:rFonts w:ascii="仿宋_GB2312" w:eastAsia="仿宋_GB2312" w:hint="eastAsia"/>
          <w:sz w:val="24"/>
          <w:szCs w:val="24"/>
        </w:rPr>
        <w:t>赎回申请，在当日</w:t>
      </w:r>
      <w:r>
        <w:rPr>
          <w:rFonts w:ascii="仿宋_GB2312" w:eastAsia="仿宋_GB2312" w:hint="eastAsia"/>
          <w:sz w:val="24"/>
          <w:szCs w:val="24"/>
        </w:rPr>
        <w:t>17:00</w:t>
      </w:r>
      <w:r>
        <w:rPr>
          <w:rFonts w:ascii="仿宋_GB2312" w:eastAsia="仿宋_GB2312" w:hint="eastAsia"/>
          <w:sz w:val="24"/>
          <w:szCs w:val="24"/>
        </w:rPr>
        <w:t>之前可以撤销；投资者在工作日</w:t>
      </w:r>
      <w:r>
        <w:rPr>
          <w:rFonts w:ascii="仿宋_GB2312" w:eastAsia="仿宋_GB2312" w:hint="eastAsia"/>
          <w:sz w:val="24"/>
          <w:szCs w:val="24"/>
        </w:rPr>
        <w:t>17:00</w:t>
      </w:r>
      <w:r>
        <w:rPr>
          <w:rFonts w:ascii="仿宋_GB2312" w:eastAsia="仿宋_GB2312" w:hint="eastAsia"/>
          <w:sz w:val="24"/>
          <w:szCs w:val="24"/>
        </w:rPr>
        <w:t>（含）之后或非工作日提出的申购</w:t>
      </w:r>
      <w:r>
        <w:rPr>
          <w:rFonts w:ascii="仿宋_GB2312" w:eastAsia="仿宋_GB2312" w:hint="eastAsia"/>
          <w:sz w:val="24"/>
          <w:szCs w:val="24"/>
        </w:rPr>
        <w:t>/</w:t>
      </w:r>
      <w:r>
        <w:rPr>
          <w:rFonts w:ascii="仿宋_GB2312" w:eastAsia="仿宋_GB2312" w:hint="eastAsia"/>
          <w:sz w:val="24"/>
          <w:szCs w:val="24"/>
        </w:rPr>
        <w:t>赎回申请，在下一工作日</w:t>
      </w:r>
      <w:r>
        <w:rPr>
          <w:rFonts w:ascii="仿宋_GB2312" w:eastAsia="仿宋_GB2312" w:hint="eastAsia"/>
          <w:sz w:val="24"/>
          <w:szCs w:val="24"/>
        </w:rPr>
        <w:t>17:00</w:t>
      </w:r>
      <w:r>
        <w:rPr>
          <w:rFonts w:ascii="仿宋_GB2312" w:eastAsia="仿宋_GB2312" w:hint="eastAsia"/>
          <w:sz w:val="24"/>
          <w:szCs w:val="24"/>
        </w:rPr>
        <w:t>之前可以撤销。</w:t>
      </w:r>
    </w:p>
    <w:p w14:paraId="2830C1ED"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▲▲本理财产品若发生非因管理人主观因素导致突破单一投资者持有份额超过本理财产品总份额</w:t>
      </w:r>
      <w:r>
        <w:rPr>
          <w:rFonts w:ascii="仿宋_GB2312" w:eastAsia="仿宋_GB2312" w:hint="eastAsia"/>
          <w:sz w:val="24"/>
          <w:szCs w:val="24"/>
        </w:rPr>
        <w:t>50%</w:t>
      </w:r>
      <w:r>
        <w:rPr>
          <w:rFonts w:ascii="仿宋_GB2312" w:eastAsia="仿宋_GB2312" w:hint="eastAsia"/>
          <w:sz w:val="24"/>
          <w:szCs w:val="24"/>
        </w:rPr>
        <w:t>的情况，在单一投资者持有比例降至</w:t>
      </w:r>
      <w:r>
        <w:rPr>
          <w:rFonts w:ascii="仿宋_GB2312" w:eastAsia="仿宋_GB2312" w:hint="eastAsia"/>
          <w:sz w:val="24"/>
          <w:szCs w:val="24"/>
        </w:rPr>
        <w:t>50%</w:t>
      </w:r>
      <w:r>
        <w:rPr>
          <w:rFonts w:ascii="仿宋_GB2312" w:eastAsia="仿宋_GB2312" w:hint="eastAsia"/>
          <w:sz w:val="24"/>
          <w:szCs w:val="24"/>
        </w:rPr>
        <w:t>以下之前时，管理人可拒绝或暂停接受该投资者的申购申请。</w:t>
      </w:r>
    </w:p>
    <w:p w14:paraId="718C62F5"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（二）申购</w:t>
      </w:r>
      <w:r>
        <w:rPr>
          <w:rFonts w:ascii="仿宋_GB2312" w:eastAsia="仿宋_GB2312" w:hint="eastAsia"/>
          <w:b/>
          <w:sz w:val="24"/>
          <w:szCs w:val="24"/>
        </w:rPr>
        <w:t>/</w:t>
      </w:r>
      <w:r>
        <w:rPr>
          <w:rFonts w:ascii="仿宋_GB2312" w:eastAsia="仿宋_GB2312" w:hint="eastAsia"/>
          <w:b/>
          <w:sz w:val="24"/>
          <w:szCs w:val="24"/>
        </w:rPr>
        <w:t>赎回的数额限制</w:t>
      </w:r>
    </w:p>
    <w:p w14:paraId="31BD443F" w14:textId="77777777" w:rsidR="003E7F78" w:rsidRDefault="00741AB5">
      <w:pPr>
        <w:spacing w:line="360" w:lineRule="auto"/>
        <w:ind w:firstLineChars="200" w:firstLine="480"/>
        <w:rPr>
          <w:rFonts w:ascii="仿宋_GB2312" w:eastAsia="仿宋_GB2312" w:hAnsi="宋体" w:cs="宋体"/>
          <w:kern w:val="0"/>
          <w:sz w:val="24"/>
          <w:szCs w:val="24"/>
        </w:rPr>
      </w:pPr>
      <w:r>
        <w:rPr>
          <w:rFonts w:ascii="仿宋_GB2312" w:eastAsia="仿宋_GB2312"/>
          <w:sz w:val="24"/>
          <w:szCs w:val="24"/>
        </w:rPr>
        <w:t>1.</w:t>
      </w:r>
      <w:r>
        <w:rPr>
          <w:rFonts w:ascii="仿宋_GB2312" w:eastAsia="仿宋_GB2312" w:hint="eastAsia"/>
          <w:sz w:val="24"/>
          <w:szCs w:val="24"/>
        </w:rPr>
        <w:t>申购金额要求</w:t>
      </w:r>
      <w:r>
        <w:rPr>
          <w:rFonts w:ascii="仿宋_GB2312" w:eastAsia="仿宋_GB2312" w:hAnsi="宋体" w:cs="宋体" w:hint="eastAsia"/>
          <w:kern w:val="0"/>
          <w:sz w:val="24"/>
          <w:szCs w:val="24"/>
        </w:rPr>
        <w:t>：</w:t>
      </w:r>
    </w:p>
    <w:p w14:paraId="44EFE673" w14:textId="77777777" w:rsidR="003E7F78" w:rsidRDefault="00741AB5">
      <w:pPr>
        <w:spacing w:line="360" w:lineRule="auto"/>
        <w:ind w:firstLineChars="200" w:firstLine="480"/>
        <w:rPr>
          <w:rFonts w:ascii="仿宋_GB2312" w:eastAsia="仿宋_GB2312" w:hAnsi="方正仿宋_GBK" w:cs="方正仿宋_GBK"/>
          <w:sz w:val="24"/>
          <w:szCs w:val="24"/>
        </w:rPr>
      </w:pP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C</w:t>
      </w:r>
      <w:r>
        <w:rPr>
          <w:rFonts w:ascii="仿宋_GB2312" w:eastAsia="仿宋_GB2312" w:hAnsi="宋体" w:cs="宋体" w:hint="eastAsia"/>
          <w:kern w:val="0"/>
          <w:sz w:val="24"/>
          <w:szCs w:val="24"/>
        </w:rPr>
        <w:t>类份额：</w:t>
      </w:r>
      <w:r>
        <w:rPr>
          <w:rFonts w:ascii="仿宋_GB2312" w:eastAsia="仿宋_GB2312" w:hAnsi="方正仿宋_GBK" w:cs="方正仿宋_GBK" w:hint="eastAsia"/>
          <w:sz w:val="24"/>
          <w:szCs w:val="24"/>
        </w:rPr>
        <w:t>投资者购买</w:t>
      </w:r>
      <w:r>
        <w:rPr>
          <w:rFonts w:ascii="仿宋_GB2312" w:eastAsia="仿宋_GB2312" w:hAnsi="方正仿宋_GBK" w:cs="方正仿宋_GBK" w:hint="eastAsia"/>
          <w:sz w:val="24"/>
          <w:szCs w:val="24"/>
        </w:rPr>
        <w:t>本理财产品，投资起点为人民币</w:t>
      </w:r>
      <w:r>
        <w:rPr>
          <w:rFonts w:ascii="仿宋_GB2312" w:eastAsia="仿宋_GB2312" w:hAnsi="方正仿宋_GBK" w:cs="方正仿宋_GBK" w:hint="eastAsia"/>
          <w:sz w:val="24"/>
          <w:szCs w:val="24"/>
        </w:rPr>
        <w:t>1</w:t>
      </w:r>
      <w:r>
        <w:rPr>
          <w:rFonts w:ascii="仿宋_GB2312" w:eastAsia="仿宋_GB2312" w:hAnsi="方正仿宋_GBK" w:cs="方正仿宋_GBK"/>
          <w:sz w:val="24"/>
          <w:szCs w:val="24"/>
        </w:rPr>
        <w:t>元，并以</w:t>
      </w:r>
      <w:r>
        <w:rPr>
          <w:rFonts w:ascii="仿宋_GB2312" w:eastAsia="仿宋_GB2312" w:hAnsi="方正仿宋_GBK" w:cs="方正仿宋_GBK" w:hint="eastAsia"/>
          <w:sz w:val="24"/>
          <w:szCs w:val="24"/>
        </w:rPr>
        <w:t>1</w:t>
      </w:r>
      <w:r>
        <w:rPr>
          <w:rFonts w:ascii="仿宋_GB2312" w:eastAsia="仿宋_GB2312" w:hAnsi="方正仿宋_GBK" w:cs="方正仿宋_GBK"/>
          <w:sz w:val="24"/>
          <w:szCs w:val="24"/>
        </w:rPr>
        <w:t>元为单位递增</w:t>
      </w:r>
      <w:r>
        <w:rPr>
          <w:rFonts w:ascii="仿宋_GB2312" w:eastAsia="仿宋_GB2312" w:hAnsi="宋体" w:cs="宋体" w:hint="eastAsia"/>
          <w:kern w:val="0"/>
          <w:sz w:val="24"/>
          <w:szCs w:val="24"/>
        </w:rPr>
        <w:t>。</w:t>
      </w:r>
    </w:p>
    <w:p w14:paraId="4268A125" w14:textId="77777777" w:rsidR="003E7F78" w:rsidRDefault="00741AB5">
      <w:pPr>
        <w:widowControl/>
        <w:tabs>
          <w:tab w:val="left" w:pos="312"/>
        </w:tabs>
        <w:spacing w:line="360" w:lineRule="auto"/>
        <w:ind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赎回份额要求：</w:t>
      </w:r>
    </w:p>
    <w:p w14:paraId="42FADA57" w14:textId="77777777" w:rsidR="003E7F78" w:rsidRDefault="00741AB5">
      <w:pPr>
        <w:spacing w:line="360" w:lineRule="auto"/>
        <w:ind w:firstLineChars="200" w:firstLine="480"/>
        <w:rPr>
          <w:rFonts w:ascii="仿宋_GB2312" w:eastAsia="仿宋_GB2312" w:hAnsi="宋体" w:cs="宋体"/>
          <w:kern w:val="0"/>
          <w:sz w:val="24"/>
          <w:szCs w:val="24"/>
        </w:rPr>
      </w:pPr>
      <w:r>
        <w:rPr>
          <w:rFonts w:ascii="仿宋_GB2312" w:eastAsia="仿宋_GB2312" w:hAnsi="宋体" w:cs="宋体" w:hint="eastAsia"/>
          <w:kern w:val="0"/>
          <w:sz w:val="24"/>
          <w:szCs w:val="24"/>
        </w:rPr>
        <w:t>投资者可以选择全额赎回或部分赎回本理财产品，最低赎回份额为</w:t>
      </w:r>
      <w:r>
        <w:rPr>
          <w:rFonts w:ascii="仿宋_GB2312" w:eastAsia="仿宋_GB2312" w:hAnsi="方正仿宋_GBK" w:cs="方正仿宋_GBK" w:hint="eastAsia"/>
          <w:sz w:val="24"/>
          <w:szCs w:val="24"/>
        </w:rPr>
        <w:t>0.50</w:t>
      </w:r>
      <w:r>
        <w:rPr>
          <w:rFonts w:ascii="仿宋_GB2312" w:eastAsia="仿宋_GB2312" w:hAnsi="宋体" w:cs="宋体" w:hint="eastAsia"/>
          <w:kern w:val="0"/>
          <w:sz w:val="24"/>
          <w:szCs w:val="24"/>
        </w:rPr>
        <w:t>份，最低持有份额为</w:t>
      </w:r>
      <w:r>
        <w:rPr>
          <w:rFonts w:ascii="仿宋_GB2312" w:eastAsia="仿宋_GB2312" w:hAnsi="方正仿宋_GBK" w:cs="方正仿宋_GBK" w:hint="eastAsia"/>
          <w:sz w:val="24"/>
          <w:szCs w:val="24"/>
        </w:rPr>
        <w:t>0.50</w:t>
      </w:r>
      <w:r>
        <w:rPr>
          <w:rFonts w:ascii="仿宋_GB2312" w:eastAsia="仿宋_GB2312" w:hAnsi="宋体" w:cs="宋体" w:hint="eastAsia"/>
          <w:kern w:val="0"/>
          <w:sz w:val="24"/>
          <w:szCs w:val="24"/>
        </w:rPr>
        <w:t>份。若投资者申请部分赎回后，其持有的产品剩余份额经管理人登记系统确认后少于</w:t>
      </w:r>
      <w:r>
        <w:rPr>
          <w:rFonts w:ascii="仿宋_GB2312" w:eastAsia="仿宋_GB2312" w:hAnsi="方正仿宋_GBK" w:cs="方正仿宋_GBK" w:hint="eastAsia"/>
          <w:sz w:val="24"/>
          <w:szCs w:val="24"/>
        </w:rPr>
        <w:t>0.50</w:t>
      </w:r>
      <w:r>
        <w:rPr>
          <w:rFonts w:ascii="仿宋_GB2312" w:eastAsia="仿宋_GB2312" w:hAnsi="宋体" w:cs="宋体" w:hint="eastAsia"/>
          <w:kern w:val="0"/>
          <w:sz w:val="24"/>
          <w:szCs w:val="24"/>
        </w:rPr>
        <w:t>份，投资者应申请全额赎回理财产品，否则该部分赎回申请将不被受理。</w:t>
      </w:r>
    </w:p>
    <w:p w14:paraId="2C97038A" w14:textId="77777777" w:rsidR="003E7F78" w:rsidRDefault="00741AB5">
      <w:pPr>
        <w:widowControl/>
        <w:spacing w:line="360" w:lineRule="auto"/>
        <w:ind w:firstLineChars="200" w:firstLine="482"/>
        <w:rPr>
          <w:rFonts w:ascii="仿宋_GB2312" w:eastAsia="仿宋_GB2312"/>
          <w:b/>
          <w:sz w:val="24"/>
          <w:szCs w:val="24"/>
        </w:rPr>
      </w:pPr>
      <w:r>
        <w:rPr>
          <w:rFonts w:ascii="仿宋_GB2312" w:eastAsia="仿宋_GB2312" w:hint="eastAsia"/>
          <w:b/>
          <w:sz w:val="24"/>
          <w:szCs w:val="24"/>
        </w:rPr>
        <w:t>（三）申购</w:t>
      </w:r>
      <w:r>
        <w:rPr>
          <w:rFonts w:ascii="仿宋_GB2312" w:eastAsia="仿宋_GB2312" w:hint="eastAsia"/>
          <w:b/>
          <w:sz w:val="24"/>
          <w:szCs w:val="24"/>
        </w:rPr>
        <w:t>/</w:t>
      </w:r>
      <w:r>
        <w:rPr>
          <w:rFonts w:ascii="仿宋_GB2312" w:eastAsia="仿宋_GB2312" w:hint="eastAsia"/>
          <w:b/>
          <w:sz w:val="24"/>
          <w:szCs w:val="24"/>
        </w:rPr>
        <w:t>赎回的受理和确认</w:t>
      </w:r>
    </w:p>
    <w:p w14:paraId="386F86FF" w14:textId="77777777" w:rsidR="003E7F78" w:rsidRDefault="00741AB5">
      <w:pPr>
        <w:widowControl/>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投资者在提出申购申请时须按受理渠道规定的方式备足申购资金，投资者在提出赎回申请时须持有足够的理财产品份额，否则所提出的申购、赎回申请无效。</w:t>
      </w:r>
    </w:p>
    <w:p w14:paraId="299AB184" w14:textId="77777777" w:rsidR="003E7F78" w:rsidRDefault="00741AB5">
      <w:pPr>
        <w:widowControl/>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申购采用全额缴款方式。若申购不成功或无效，理财产品管理人将投资者已缴付的申购款项退还给投资者。</w:t>
      </w:r>
    </w:p>
    <w:p w14:paraId="2E98D65E" w14:textId="77777777" w:rsidR="003E7F78" w:rsidRDefault="00741AB5">
      <w:pPr>
        <w:widowControl/>
        <w:spacing w:line="360" w:lineRule="auto"/>
        <w:ind w:firstLineChars="200" w:firstLine="480"/>
        <w:rPr>
          <w:rFonts w:ascii="仿宋_GB2312" w:eastAsia="仿宋_GB2312"/>
          <w:sz w:val="24"/>
          <w:szCs w:val="24"/>
        </w:rPr>
      </w:pPr>
      <w:r>
        <w:rPr>
          <w:rFonts w:ascii="仿宋_GB2312" w:eastAsia="仿宋_GB2312"/>
          <w:sz w:val="24"/>
          <w:szCs w:val="24"/>
        </w:rPr>
        <w:t>3</w:t>
      </w:r>
      <w:r>
        <w:rPr>
          <w:rFonts w:ascii="仿宋_GB2312" w:eastAsia="仿宋_GB2312" w:hint="eastAsia"/>
          <w:sz w:val="24"/>
          <w:szCs w:val="24"/>
        </w:rPr>
        <w:t>.</w:t>
      </w:r>
      <w:r>
        <w:rPr>
          <w:rFonts w:ascii="仿宋_GB2312" w:eastAsia="仿宋_GB2312" w:hint="eastAsia"/>
          <w:sz w:val="24"/>
          <w:szCs w:val="24"/>
        </w:rPr>
        <w:t>申购的扣款和确认时间：投资者在工作日</w:t>
      </w:r>
      <w:r>
        <w:rPr>
          <w:rFonts w:ascii="仿宋_GB2312" w:eastAsia="仿宋_GB2312" w:hint="eastAsia"/>
          <w:sz w:val="24"/>
          <w:szCs w:val="24"/>
        </w:rPr>
        <w:t>17:00</w:t>
      </w:r>
      <w:r>
        <w:rPr>
          <w:rFonts w:ascii="仿宋_GB2312" w:eastAsia="仿宋_GB2312" w:hint="eastAsia"/>
          <w:sz w:val="24"/>
          <w:szCs w:val="24"/>
        </w:rPr>
        <w:t>（不含）之前提出的申购申请，视为当日的申购申请，申购申请日为提出申购申请当日；投资者在工作日</w:t>
      </w:r>
      <w:r>
        <w:rPr>
          <w:rFonts w:ascii="仿宋_GB2312" w:eastAsia="仿宋_GB2312" w:hint="eastAsia"/>
          <w:sz w:val="24"/>
          <w:szCs w:val="24"/>
        </w:rPr>
        <w:t>17:00</w:t>
      </w:r>
      <w:r>
        <w:rPr>
          <w:rFonts w:ascii="仿宋_GB2312" w:eastAsia="仿宋_GB2312" w:hint="eastAsia"/>
          <w:sz w:val="24"/>
          <w:szCs w:val="24"/>
        </w:rPr>
        <w:t>（含）之后或非工作日提出的申购申请，视为提出申购申请之日的下一工作日的申购申请，申购申请日为提出申购申请之日的下一工</w:t>
      </w:r>
      <w:r>
        <w:rPr>
          <w:rFonts w:ascii="仿宋_GB2312" w:eastAsia="仿宋_GB2312" w:hint="eastAsia"/>
          <w:sz w:val="24"/>
          <w:szCs w:val="24"/>
        </w:rPr>
        <w:t>作日。申购确认日是申购申请日（含）后第一个工作日。投资者提出申购申请后，投资资金将实时冻结，并于申购申请日扣划。资金冻结期间将按照代销机构公布的人民币活期存款利率计算活期存款利息，该等利息不作为申购资金扣收。投资者实际申购份额以产品管理人确认份额为准。申购份额</w:t>
      </w:r>
      <w:r>
        <w:rPr>
          <w:rFonts w:ascii="仿宋_GB2312" w:eastAsia="仿宋_GB2312" w:hint="eastAsia"/>
          <w:sz w:val="24"/>
          <w:szCs w:val="24"/>
        </w:rPr>
        <w:t>=</w:t>
      </w:r>
      <w:r>
        <w:rPr>
          <w:rFonts w:ascii="仿宋_GB2312" w:eastAsia="仿宋_GB2312" w:hint="eastAsia"/>
          <w:sz w:val="24"/>
          <w:szCs w:val="24"/>
        </w:rPr>
        <w:t>〔申购金额</w:t>
      </w:r>
      <w:r>
        <w:rPr>
          <w:rFonts w:ascii="仿宋_GB2312" w:eastAsia="仿宋_GB2312" w:hint="eastAsia"/>
          <w:sz w:val="24"/>
          <w:szCs w:val="24"/>
        </w:rPr>
        <w:t>-</w:t>
      </w:r>
      <w:r>
        <w:rPr>
          <w:rFonts w:ascii="仿宋_GB2312" w:eastAsia="仿宋_GB2312" w:hint="eastAsia"/>
          <w:sz w:val="24"/>
          <w:szCs w:val="24"/>
        </w:rPr>
        <w:t>申购费（若有）〕</w:t>
      </w:r>
      <w:r>
        <w:rPr>
          <w:rFonts w:ascii="仿宋_GB2312" w:eastAsia="仿宋_GB2312" w:hint="eastAsia"/>
          <w:sz w:val="24"/>
          <w:szCs w:val="24"/>
        </w:rPr>
        <w:t>/</w:t>
      </w:r>
      <w:r>
        <w:rPr>
          <w:rFonts w:ascii="仿宋_GB2312" w:eastAsia="仿宋_GB2312" w:hint="eastAsia"/>
          <w:sz w:val="24"/>
          <w:szCs w:val="24"/>
        </w:rPr>
        <w:t>申购价格，申购价格为申购申请当日的产品单位净值。产品管理人确认投资者申购申请的，投资者自申购申请确认日起持有理财产品份额。</w:t>
      </w:r>
    </w:p>
    <w:p w14:paraId="38649D94" w14:textId="77777777" w:rsidR="003E7F78" w:rsidRDefault="00741AB5">
      <w:pPr>
        <w:spacing w:line="360" w:lineRule="auto"/>
        <w:ind w:firstLineChars="200" w:firstLine="480"/>
        <w:rPr>
          <w:rFonts w:ascii="仿宋_GB2312" w:eastAsia="仿宋_GB2312" w:hAnsi="仿宋" w:cs="Arial"/>
          <w:sz w:val="24"/>
          <w:szCs w:val="24"/>
        </w:rPr>
      </w:pPr>
      <w:r>
        <w:rPr>
          <w:rFonts w:ascii="仿宋_GB2312" w:eastAsia="仿宋_GB2312"/>
          <w:sz w:val="24"/>
          <w:szCs w:val="24"/>
        </w:rPr>
        <w:t>4</w:t>
      </w:r>
      <w:r>
        <w:rPr>
          <w:rFonts w:ascii="仿宋_GB2312" w:eastAsia="仿宋_GB2312" w:hint="eastAsia"/>
          <w:sz w:val="24"/>
          <w:szCs w:val="24"/>
        </w:rPr>
        <w:t>.</w:t>
      </w:r>
      <w:r>
        <w:rPr>
          <w:rFonts w:ascii="仿宋_GB2312" w:eastAsia="仿宋_GB2312" w:hint="eastAsia"/>
          <w:sz w:val="24"/>
          <w:szCs w:val="24"/>
        </w:rPr>
        <w:t>赎回的确认和到账时间：投资者在产品开放期内产品开放日的交易时间可提出赎回申请。投资者在工作日</w:t>
      </w:r>
      <w:r>
        <w:rPr>
          <w:rFonts w:ascii="仿宋_GB2312" w:eastAsia="仿宋_GB2312" w:hint="eastAsia"/>
          <w:sz w:val="24"/>
          <w:szCs w:val="24"/>
        </w:rPr>
        <w:t>17:00</w:t>
      </w:r>
      <w:r>
        <w:rPr>
          <w:rFonts w:ascii="仿宋_GB2312" w:eastAsia="仿宋_GB2312" w:hint="eastAsia"/>
          <w:sz w:val="24"/>
          <w:szCs w:val="24"/>
        </w:rPr>
        <w:t>（不含）之前提出的赎回申请，视为当日的赎回申请，赎回申请日为提出赎回申请当日；投资者在工作日</w:t>
      </w:r>
      <w:r>
        <w:rPr>
          <w:rFonts w:ascii="仿宋_GB2312" w:eastAsia="仿宋_GB2312" w:hint="eastAsia"/>
          <w:sz w:val="24"/>
          <w:szCs w:val="24"/>
        </w:rPr>
        <w:t>17:00</w:t>
      </w:r>
      <w:r>
        <w:rPr>
          <w:rFonts w:ascii="仿宋_GB2312" w:eastAsia="仿宋_GB2312" w:hint="eastAsia"/>
          <w:sz w:val="24"/>
          <w:szCs w:val="24"/>
        </w:rPr>
        <w:t>（含）之后或非工作日提出的赎回申请，视为提出赎回申请之日的下一工作日的赎回申请，赎回申请日为提出赎回申请之日的下一工作日。赎回确认日是赎回申请日（含）后第一个工作日。投资者实际赎回份额以产品管理人确认份额为准，赎回资金将于赎回确认日后两个工作日内到账。具体到账时间以代销机构提示为准。</w:t>
      </w:r>
    </w:p>
    <w:p w14:paraId="06FE10E8" w14:textId="77777777" w:rsidR="003E7F78" w:rsidRDefault="00741AB5">
      <w:pPr>
        <w:widowControl/>
        <w:spacing w:line="360" w:lineRule="auto"/>
        <w:ind w:firstLineChars="200" w:firstLine="482"/>
        <w:rPr>
          <w:rFonts w:ascii="仿宋_GB2312" w:eastAsia="仿宋_GB2312"/>
          <w:b/>
          <w:sz w:val="24"/>
          <w:szCs w:val="24"/>
        </w:rPr>
      </w:pPr>
      <w:r>
        <w:rPr>
          <w:rFonts w:ascii="仿宋_GB2312" w:eastAsia="仿宋_GB2312" w:hint="eastAsia"/>
          <w:b/>
          <w:bCs/>
          <w:sz w:val="24"/>
          <w:szCs w:val="24"/>
        </w:rPr>
        <w:t>▲▲</w:t>
      </w:r>
      <w:r>
        <w:rPr>
          <w:rFonts w:ascii="仿宋_GB2312" w:eastAsia="仿宋_GB2312" w:hint="eastAsia"/>
          <w:b/>
          <w:sz w:val="24"/>
          <w:szCs w:val="24"/>
        </w:rPr>
        <w:t>（四）大额赎回</w:t>
      </w:r>
    </w:p>
    <w:p w14:paraId="5BDB5B76" w14:textId="77777777" w:rsidR="003E7F78" w:rsidRDefault="00741AB5">
      <w:pPr>
        <w:widowControl/>
        <w:spacing w:line="360" w:lineRule="auto"/>
        <w:ind w:firstLineChars="200" w:firstLine="482"/>
        <w:rPr>
          <w:rFonts w:ascii="仿宋_GB2312" w:eastAsia="仿宋_GB2312"/>
          <w:b/>
          <w:bCs/>
          <w:sz w:val="24"/>
          <w:szCs w:val="24"/>
        </w:rPr>
      </w:pPr>
      <w:r>
        <w:rPr>
          <w:rFonts w:ascii="仿宋_GB2312" w:eastAsia="仿宋_GB2312" w:hint="eastAsia"/>
          <w:b/>
          <w:bCs/>
          <w:sz w:val="24"/>
        </w:rPr>
        <w:t>本理财产品存续期间任一工作日，</w:t>
      </w:r>
      <w:r>
        <w:rPr>
          <w:rFonts w:ascii="仿宋_GB2312" w:eastAsia="仿宋_GB2312" w:hAnsi="宋体" w:hint="eastAsia"/>
          <w:b/>
          <w:bCs/>
          <w:sz w:val="24"/>
          <w:szCs w:val="24"/>
        </w:rPr>
        <w:t>若产品净赎回总份额超过前一个工作日产品总份额的</w:t>
      </w:r>
      <w:r>
        <w:rPr>
          <w:rFonts w:ascii="仿宋_GB2312" w:eastAsia="仿宋_GB2312" w:hAnsi="方正仿宋_GBK" w:cs="方正仿宋_GBK" w:hint="eastAsia"/>
          <w:b/>
          <w:bCs/>
          <w:sz w:val="24"/>
          <w:szCs w:val="24"/>
        </w:rPr>
        <w:t>10</w:t>
      </w:r>
      <w:r>
        <w:rPr>
          <w:rFonts w:ascii="仿宋_GB2312" w:eastAsia="仿宋_GB2312" w:hAnsi="宋体" w:hint="eastAsia"/>
          <w:b/>
          <w:bCs/>
          <w:sz w:val="24"/>
          <w:szCs w:val="24"/>
        </w:rPr>
        <w:t>%</w:t>
      </w:r>
      <w:r>
        <w:rPr>
          <w:rFonts w:ascii="仿宋_GB2312" w:eastAsia="仿宋_GB2312" w:hAnsi="宋体" w:hint="eastAsia"/>
          <w:b/>
          <w:bCs/>
          <w:sz w:val="24"/>
          <w:szCs w:val="24"/>
        </w:rPr>
        <w:t>，为大额赎回。</w:t>
      </w:r>
      <w:r>
        <w:rPr>
          <w:rFonts w:ascii="仿宋_GB2312" w:eastAsia="仿宋_GB2312" w:hint="eastAsia"/>
          <w:b/>
          <w:bCs/>
          <w:sz w:val="24"/>
          <w:szCs w:val="24"/>
        </w:rPr>
        <w:t>产品发生大额赎回的，产品管理人接受的赎回份额不得低于产品总份额的</w:t>
      </w:r>
      <w:r>
        <w:rPr>
          <w:rFonts w:ascii="仿宋_GB2312" w:eastAsia="仿宋_GB2312"/>
          <w:b/>
          <w:bCs/>
          <w:sz w:val="24"/>
          <w:szCs w:val="24"/>
        </w:rPr>
        <w:t>1</w:t>
      </w:r>
      <w:r>
        <w:rPr>
          <w:rFonts w:ascii="仿宋_GB2312" w:eastAsia="仿宋_GB2312" w:hint="eastAsia"/>
          <w:b/>
          <w:bCs/>
          <w:sz w:val="24"/>
          <w:szCs w:val="24"/>
        </w:rPr>
        <w:t>0%</w:t>
      </w:r>
      <w:r>
        <w:rPr>
          <w:rFonts w:ascii="仿宋_GB2312" w:eastAsia="仿宋_GB2312" w:hint="eastAsia"/>
          <w:b/>
          <w:bCs/>
          <w:sz w:val="24"/>
          <w:szCs w:val="24"/>
        </w:rPr>
        <w:t>。对于赎回申请，应当按单个投资者申请赎回份额占当期申请赎回总份额的比例，确定该单个投资者当期办理的赎回份额，当期未获受理部分</w:t>
      </w:r>
      <w:r>
        <w:rPr>
          <w:rFonts w:ascii="仿宋_GB2312" w:eastAsia="仿宋_GB2312" w:hAnsi="宋体" w:cs="宋体" w:hint="eastAsia"/>
          <w:b/>
          <w:bCs/>
          <w:kern w:val="0"/>
          <w:sz w:val="24"/>
          <w:szCs w:val="24"/>
        </w:rPr>
        <w:t>予以取消</w:t>
      </w:r>
      <w:r>
        <w:rPr>
          <w:rFonts w:ascii="仿宋_GB2312" w:hAnsi="宋体" w:hint="eastAsia"/>
          <w:b/>
          <w:bCs/>
          <w:kern w:val="0"/>
          <w:sz w:val="24"/>
        </w:rPr>
        <w:t>。</w:t>
      </w:r>
    </w:p>
    <w:p w14:paraId="0950AD24"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（五）暂停申购</w:t>
      </w:r>
    </w:p>
    <w:p w14:paraId="770EE76F"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发生下列情形时，产品管理人可拒绝或暂停接受投资者的申购申请：</w:t>
      </w:r>
    </w:p>
    <w:p w14:paraId="11D197B8"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因不可抗力导致理财产品无法正常运作；</w:t>
      </w:r>
    </w:p>
    <w:p w14:paraId="30B63434"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发生暂停理财产品估值情况时；</w:t>
      </w:r>
    </w:p>
    <w:p w14:paraId="58FD77DF"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当产品申购金额将导致产品规模大幅波动，为保护投资者利</w:t>
      </w:r>
      <w:r>
        <w:rPr>
          <w:rFonts w:ascii="仿宋_GB2312" w:eastAsia="仿宋_GB2312" w:hint="eastAsia"/>
          <w:sz w:val="24"/>
          <w:szCs w:val="24"/>
        </w:rPr>
        <w:t>益时；</w:t>
      </w:r>
    </w:p>
    <w:p w14:paraId="0EEC7CB5"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根据法律法规或监管要求，当投资者未能满足管理人的客户尽职调查、大额和可疑交易监测及报告、反恐怖融资及制裁名单筛查等措施的配合义务时（包括但不限于未及时提供与更新身份资料等），或当投资者出现较高风险情形、本理财产品洗钱风险等级调整导致客户风险与产品洗钱风险等级不能匹配等情形发生，并且投资者无法采取有效措施降低该等风险情形时；</w:t>
      </w:r>
    </w:p>
    <w:p w14:paraId="2178E54D"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sz w:val="24"/>
          <w:szCs w:val="24"/>
        </w:rPr>
        <w:t>5.</w:t>
      </w:r>
      <w:r>
        <w:rPr>
          <w:rFonts w:ascii="仿宋_GB2312" w:eastAsia="仿宋_GB2312" w:hint="eastAsia"/>
          <w:sz w:val="24"/>
          <w:szCs w:val="24"/>
        </w:rPr>
        <w:t>其他产品管理人认为需要拒绝或暂停接受投资者的申购申请的情形。</w:t>
      </w:r>
    </w:p>
    <w:p w14:paraId="360181A2"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（六）暂停赎回</w:t>
      </w:r>
    </w:p>
    <w:p w14:paraId="72D6E257"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发生下列情形时，产品管理人可暂停接受投资者的赎回申请：</w:t>
      </w:r>
    </w:p>
    <w:p w14:paraId="38B6102D"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因不可抗力导致产品管理人不能支付赎回款项；</w:t>
      </w:r>
    </w:p>
    <w:p w14:paraId="3B976FD4"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发生暂停理财产品估值情况时；</w:t>
      </w:r>
    </w:p>
    <w:p w14:paraId="3BA9FDEB"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证券交易所或银行间市场出现异常，或因市场剧烈波动或其它原因导致产品的现金支付出现困难时；</w:t>
      </w:r>
    </w:p>
    <w:p w14:paraId="037EFB6A"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发生在本理财产品的产品开放期内连续</w:t>
      </w:r>
      <w:r>
        <w:rPr>
          <w:rFonts w:ascii="仿宋_GB2312" w:eastAsia="仿宋_GB2312" w:hint="eastAsia"/>
          <w:sz w:val="24"/>
          <w:szCs w:val="24"/>
        </w:rPr>
        <w:t>2</w:t>
      </w:r>
      <w:r>
        <w:rPr>
          <w:rFonts w:ascii="仿宋_GB2312" w:eastAsia="仿宋_GB2312" w:hint="eastAsia"/>
          <w:sz w:val="24"/>
          <w:szCs w:val="24"/>
        </w:rPr>
        <w:t>个以上开放日发生大额赎回时；</w:t>
      </w:r>
    </w:p>
    <w:p w14:paraId="397FB938"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w:t>
      </w:r>
      <w:r>
        <w:rPr>
          <w:rFonts w:ascii="仿宋_GB2312" w:eastAsia="仿宋_GB2312" w:hint="eastAsia"/>
          <w:sz w:val="24"/>
          <w:szCs w:val="24"/>
        </w:rPr>
        <w:t>根据法律法规或监管要求，当投资者未能满足管理人的客户尽职调查、大额和可疑交易监测及报告、反恐怖融资及制裁名单筛查等措施的配合义务时（包括但不限于未及时提供与更新身份资料等），或当投资者出现较高风险情形、本理</w:t>
      </w:r>
      <w:r>
        <w:rPr>
          <w:rFonts w:ascii="仿宋_GB2312" w:eastAsia="仿宋_GB2312" w:hint="eastAsia"/>
          <w:sz w:val="24"/>
          <w:szCs w:val="24"/>
        </w:rPr>
        <w:t>财产品洗钱风险等级调整导致客户风险与产品洗钱风险等级不能匹配等情形发生，并且投资者无法采取有效措施降低该等风险情形时；</w:t>
      </w:r>
    </w:p>
    <w:p w14:paraId="73F17D85"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sz w:val="24"/>
          <w:szCs w:val="24"/>
        </w:rPr>
        <w:t>6.</w:t>
      </w:r>
      <w:r>
        <w:rPr>
          <w:rFonts w:ascii="仿宋_GB2312" w:eastAsia="仿宋_GB2312" w:hint="eastAsia"/>
          <w:sz w:val="24"/>
          <w:szCs w:val="24"/>
        </w:rPr>
        <w:t>其他产品管理人认为需要暂停赎回的情形。</w:t>
      </w:r>
    </w:p>
    <w:p w14:paraId="126951E7" w14:textId="77777777" w:rsidR="003E7F78" w:rsidRDefault="00741AB5">
      <w:pPr>
        <w:widowControl/>
        <w:spacing w:line="360" w:lineRule="auto"/>
        <w:ind w:firstLineChars="200" w:firstLine="480"/>
        <w:jc w:val="left"/>
        <w:rPr>
          <w:rFonts w:ascii="仿宋_GB2312" w:eastAsia="仿宋_GB2312" w:hAnsi="宋体" w:cs="Arial"/>
          <w:color w:val="000000"/>
          <w:kern w:val="0"/>
          <w:sz w:val="24"/>
          <w:szCs w:val="24"/>
        </w:rPr>
      </w:pPr>
      <w:r>
        <w:rPr>
          <w:rFonts w:ascii="仿宋_GB2312" w:eastAsia="仿宋_GB2312" w:hint="eastAsia"/>
          <w:sz w:val="24"/>
          <w:szCs w:val="24"/>
        </w:rPr>
        <w:t>产品管理人宣布暂停赎回本理财产品的，应根据本理财产品合同信息披露约定进行公告。</w:t>
      </w:r>
    </w:p>
    <w:p w14:paraId="6D77C4AF" w14:textId="77777777" w:rsidR="003E7F78" w:rsidRDefault="00741AB5">
      <w:pPr>
        <w:spacing w:line="360" w:lineRule="auto"/>
        <w:ind w:firstLineChars="200" w:firstLine="482"/>
        <w:outlineLvl w:val="2"/>
        <w:rPr>
          <w:rFonts w:ascii="仿宋_GB2312" w:eastAsia="仿宋_GB2312"/>
          <w:b/>
          <w:sz w:val="24"/>
          <w:szCs w:val="24"/>
        </w:rPr>
      </w:pPr>
      <w:r>
        <w:rPr>
          <w:rFonts w:ascii="仿宋_GB2312" w:eastAsia="仿宋_GB2312" w:hint="eastAsia"/>
          <w:b/>
          <w:sz w:val="24"/>
          <w:szCs w:val="24"/>
        </w:rPr>
        <w:t>六、产品的终止和清算</w:t>
      </w:r>
    </w:p>
    <w:p w14:paraId="26C16F80" w14:textId="77777777" w:rsidR="003E7F78" w:rsidRDefault="00741AB5">
      <w:pPr>
        <w:widowControl/>
        <w:spacing w:line="360" w:lineRule="auto"/>
        <w:ind w:left="420"/>
        <w:jc w:val="left"/>
        <w:rPr>
          <w:rFonts w:ascii="仿宋_GB2312" w:eastAsia="仿宋_GB2312"/>
          <w:b/>
          <w:sz w:val="24"/>
          <w:szCs w:val="24"/>
        </w:rPr>
      </w:pPr>
      <w:r>
        <w:rPr>
          <w:rFonts w:ascii="仿宋_GB2312" w:eastAsia="仿宋_GB2312" w:hint="eastAsia"/>
          <w:b/>
          <w:sz w:val="24"/>
          <w:szCs w:val="24"/>
        </w:rPr>
        <w:t>（一）产品的终止</w:t>
      </w:r>
    </w:p>
    <w:p w14:paraId="65DF5A23" w14:textId="77777777" w:rsidR="003E7F78" w:rsidRDefault="00741AB5">
      <w:pPr>
        <w:widowControl/>
        <w:spacing w:line="360" w:lineRule="auto"/>
        <w:ind w:left="420"/>
        <w:jc w:val="left"/>
        <w:rPr>
          <w:rFonts w:ascii="仿宋_GB2312" w:eastAsia="仿宋_GB2312"/>
          <w:sz w:val="24"/>
          <w:szCs w:val="24"/>
        </w:rPr>
      </w:pPr>
      <w:r>
        <w:rPr>
          <w:rFonts w:ascii="仿宋_GB2312" w:eastAsia="仿宋_GB2312" w:hint="eastAsia"/>
          <w:sz w:val="24"/>
          <w:szCs w:val="24"/>
        </w:rPr>
        <w:t>出现以下情况，产品管理人有权终止本理财产品：</w:t>
      </w:r>
    </w:p>
    <w:p w14:paraId="4491EC59"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由于监管机构要求或法律法规规定需要终止产品的；</w:t>
      </w:r>
    </w:p>
    <w:p w14:paraId="2D24E0EF"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因不可抗力及</w:t>
      </w:r>
      <w:r>
        <w:rPr>
          <w:rFonts w:ascii="仿宋_GB2312" w:eastAsia="仿宋_GB2312" w:hint="eastAsia"/>
          <w:sz w:val="24"/>
          <w:szCs w:val="24"/>
        </w:rPr>
        <w:t>/</w:t>
      </w:r>
      <w:r>
        <w:rPr>
          <w:rFonts w:ascii="仿宋_GB2312" w:eastAsia="仿宋_GB2312" w:hint="eastAsia"/>
          <w:sz w:val="24"/>
          <w:szCs w:val="24"/>
        </w:rPr>
        <w:t>或意外事件导致产品管理人无法继续履行理财产品合同约定事项的；</w:t>
      </w:r>
    </w:p>
    <w:p w14:paraId="7AD5F90D"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遇有市场出现剧烈波动、异常风险事件等情形导致理财产品收益出现大幅波动或严重影响理财产品的资产安全；</w:t>
      </w:r>
    </w:p>
    <w:p w14:paraId="7DC06BD1"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因理财资金被有权机关扣划等原因导致理财产品剩余资产无法满足相关法律法规规定、所投资市场要求或协议等相关法律文件约定，或者继续存续无法实现投资目标；</w:t>
      </w:r>
    </w:p>
    <w:p w14:paraId="59F53A1E"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w:t>
      </w:r>
      <w:r>
        <w:rPr>
          <w:rFonts w:ascii="仿宋_GB2312" w:eastAsia="仿宋_GB2312" w:hint="eastAsia"/>
          <w:sz w:val="24"/>
          <w:szCs w:val="24"/>
        </w:rPr>
        <w:t>相关投资管理机构或运用理财资金的第三方主体实施符合法律法规规定或协议等相关文件约定的行为导致理财产品被动终止；</w:t>
      </w:r>
    </w:p>
    <w:p w14:paraId="2FC38138"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w:t>
      </w:r>
      <w:r>
        <w:rPr>
          <w:rFonts w:ascii="仿宋_GB2312" w:eastAsia="仿宋_GB2312" w:hint="eastAsia"/>
          <w:sz w:val="24"/>
          <w:szCs w:val="24"/>
        </w:rPr>
        <w:t>产品管理人根据市场情况认为需要终止产品的。</w:t>
      </w:r>
    </w:p>
    <w:p w14:paraId="7A40FF88" w14:textId="77777777" w:rsidR="003E7F78" w:rsidRDefault="00741AB5">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产品管理人终</w:t>
      </w:r>
      <w:r>
        <w:rPr>
          <w:rFonts w:ascii="仿宋_GB2312" w:eastAsia="仿宋_GB2312" w:hint="eastAsia"/>
          <w:sz w:val="24"/>
          <w:szCs w:val="24"/>
        </w:rPr>
        <w:t>止本理财产品的，应提前公告本理财产品终止日、终止确认日、及产品终止后投资者应得理财本金及收益到账日，并根据本理财产品合同信息披露约定的渠道进行公告。</w:t>
      </w:r>
    </w:p>
    <w:p w14:paraId="2A97FB78" w14:textId="77777777" w:rsidR="003E7F78" w:rsidRDefault="00741AB5">
      <w:pPr>
        <w:widowControl/>
        <w:spacing w:line="360" w:lineRule="auto"/>
        <w:ind w:left="420"/>
        <w:jc w:val="left"/>
        <w:rPr>
          <w:rFonts w:ascii="仿宋_GB2312" w:eastAsia="仿宋_GB2312"/>
          <w:b/>
          <w:sz w:val="24"/>
          <w:szCs w:val="24"/>
        </w:rPr>
      </w:pPr>
      <w:r>
        <w:rPr>
          <w:rFonts w:ascii="仿宋_GB2312" w:eastAsia="仿宋_GB2312" w:hint="eastAsia"/>
          <w:b/>
          <w:sz w:val="24"/>
          <w:szCs w:val="24"/>
        </w:rPr>
        <w:t>（二）产品的清算</w:t>
      </w:r>
    </w:p>
    <w:p w14:paraId="2396F633" w14:textId="77777777" w:rsidR="003E7F78" w:rsidRDefault="00741AB5">
      <w:pPr>
        <w:autoSpaceDE w:val="0"/>
        <w:autoSpaceDN w:val="0"/>
        <w:adjustRightInd w:val="0"/>
        <w:spacing w:line="360" w:lineRule="auto"/>
        <w:ind w:firstLine="42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在本理财产品终止日，按投资者持有的理财产品份额和理财产品单位净值之乘积减去超额业绩报酬（若有）向投资者进行分配，分配时不收取赎回费。</w:t>
      </w:r>
    </w:p>
    <w:p w14:paraId="716FC09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自本理财产品终止日（不含）至投资者理财本金及收益到账日（含）之间为本理财产品的清算期。清算期原则上不得超过</w:t>
      </w:r>
      <w:r>
        <w:rPr>
          <w:rFonts w:ascii="仿宋_GB2312" w:eastAsia="仿宋_GB2312" w:hint="eastAsia"/>
          <w:sz w:val="24"/>
          <w:szCs w:val="24"/>
        </w:rPr>
        <w:t>5</w:t>
      </w:r>
      <w:r>
        <w:rPr>
          <w:rFonts w:ascii="仿宋_GB2312" w:eastAsia="仿宋_GB2312" w:hint="eastAsia"/>
          <w:sz w:val="24"/>
          <w:szCs w:val="24"/>
        </w:rPr>
        <w:t>个工作日，清算期超过</w:t>
      </w:r>
      <w:r>
        <w:rPr>
          <w:rFonts w:ascii="仿宋_GB2312" w:eastAsia="仿宋_GB2312" w:hint="eastAsia"/>
          <w:sz w:val="24"/>
          <w:szCs w:val="24"/>
        </w:rPr>
        <w:t>5</w:t>
      </w:r>
      <w:r>
        <w:rPr>
          <w:rFonts w:ascii="仿宋_GB2312" w:eastAsia="仿宋_GB2312" w:hint="eastAsia"/>
          <w:sz w:val="24"/>
          <w:szCs w:val="24"/>
        </w:rPr>
        <w:t>个工作日的，理财产品终止日前，管理人将提前</w:t>
      </w:r>
      <w:r>
        <w:rPr>
          <w:rFonts w:ascii="仿宋_GB2312" w:eastAsia="仿宋_GB2312" w:hint="eastAsia"/>
          <w:sz w:val="24"/>
          <w:szCs w:val="24"/>
        </w:rPr>
        <w:t>2</w:t>
      </w:r>
      <w:r>
        <w:rPr>
          <w:rFonts w:ascii="仿宋_GB2312" w:eastAsia="仿宋_GB2312" w:hint="eastAsia"/>
          <w:sz w:val="24"/>
          <w:szCs w:val="24"/>
        </w:rPr>
        <w:t>个工作日通过代销机构网站或管</w:t>
      </w:r>
      <w:r>
        <w:rPr>
          <w:rFonts w:ascii="仿宋_GB2312" w:eastAsia="仿宋_GB2312" w:hint="eastAsia"/>
          <w:sz w:val="24"/>
          <w:szCs w:val="24"/>
        </w:rPr>
        <w:t>理人网站发布相关信息公告通知投资者。</w:t>
      </w:r>
    </w:p>
    <w:p w14:paraId="673B63CC" w14:textId="77777777" w:rsidR="003E7F78" w:rsidRDefault="00741AB5">
      <w:pPr>
        <w:spacing w:line="360" w:lineRule="auto"/>
        <w:ind w:firstLineChars="200" w:firstLine="482"/>
        <w:outlineLvl w:val="2"/>
        <w:rPr>
          <w:rFonts w:ascii="仿宋_GB2312" w:eastAsia="仿宋_GB2312"/>
          <w:b/>
          <w:sz w:val="24"/>
          <w:szCs w:val="24"/>
        </w:rPr>
      </w:pPr>
      <w:r>
        <w:rPr>
          <w:rFonts w:ascii="仿宋_GB2312" w:eastAsia="仿宋_GB2312" w:hint="eastAsia"/>
          <w:b/>
          <w:sz w:val="24"/>
          <w:szCs w:val="24"/>
        </w:rPr>
        <w:t>七、产品的费用</w:t>
      </w:r>
    </w:p>
    <w:p w14:paraId="6C708351"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（一）费用的种类</w:t>
      </w:r>
    </w:p>
    <w:p w14:paraId="336A9E15"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本产品的费用包括销售手续费、固定管理费、托管费以及产品运作和清算中产生的其他资金汇划费、结算费、交易手续费、注册登记费、信息披露费、账户服务费、审计费、律师费、投后管理费、项目推荐费、财务顾问费及本理财产品合同另行约定应由产品承担的费用等。</w:t>
      </w:r>
    </w:p>
    <w:p w14:paraId="1C3F5596"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（二）费用的计提方法、计提标准和支付方式</w:t>
      </w:r>
    </w:p>
    <w:p w14:paraId="44C319AF"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hint="eastAsia"/>
          <w:b/>
          <w:sz w:val="24"/>
          <w:szCs w:val="24"/>
        </w:rPr>
        <w:t>1.</w:t>
      </w:r>
      <w:r>
        <w:rPr>
          <w:rFonts w:ascii="仿宋_GB2312" w:eastAsia="仿宋_GB2312" w:hint="eastAsia"/>
          <w:b/>
          <w:bCs/>
          <w:sz w:val="24"/>
          <w:szCs w:val="24"/>
        </w:rPr>
        <w:t>销售手续费</w:t>
      </w:r>
    </w:p>
    <w:p w14:paraId="0BBD1F47"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本理财产品销售手续费的计算方法如下：</w:t>
      </w:r>
    </w:p>
    <w:p w14:paraId="71658BF4"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A</w:t>
      </w:r>
      <w:r>
        <w:rPr>
          <w:rFonts w:ascii="仿宋_GB2312" w:eastAsia="仿宋_GB2312" w:hint="eastAsia"/>
          <w:b/>
          <w:bCs/>
          <w:sz w:val="24"/>
          <w:szCs w:val="24"/>
        </w:rPr>
        <w:t>＝</w:t>
      </w:r>
      <w:r>
        <w:rPr>
          <w:rFonts w:ascii="仿宋_GB2312" w:eastAsia="仿宋_GB2312"/>
          <w:b/>
          <w:bCs/>
          <w:sz w:val="24"/>
          <w:szCs w:val="24"/>
        </w:rPr>
        <w:t>B</w:t>
      </w:r>
      <w:r>
        <w:rPr>
          <w:rFonts w:ascii="仿宋_GB2312" w:eastAsia="仿宋_GB2312"/>
          <w:b/>
          <w:bCs/>
          <w:sz w:val="24"/>
          <w:szCs w:val="24"/>
        </w:rPr>
        <w:t>×</w:t>
      </w:r>
      <w:r>
        <w:rPr>
          <w:rFonts w:ascii="仿宋_GB2312" w:eastAsia="仿宋_GB2312"/>
          <w:b/>
          <w:bCs/>
          <w:sz w:val="24"/>
          <w:szCs w:val="24"/>
        </w:rPr>
        <w:t>C</w:t>
      </w:r>
      <w:r>
        <w:rPr>
          <w:rFonts w:ascii="仿宋_GB2312" w:eastAsia="仿宋_GB2312"/>
          <w:b/>
          <w:bCs/>
          <w:sz w:val="24"/>
          <w:szCs w:val="24"/>
        </w:rPr>
        <w:t>÷</w:t>
      </w:r>
      <w:r>
        <w:rPr>
          <w:rFonts w:ascii="仿宋_GB2312" w:eastAsia="仿宋_GB2312"/>
          <w:b/>
          <w:bCs/>
          <w:sz w:val="24"/>
          <w:szCs w:val="24"/>
        </w:rPr>
        <w:t>365</w:t>
      </w:r>
    </w:p>
    <w:p w14:paraId="5FB71370"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A</w:t>
      </w:r>
      <w:r>
        <w:rPr>
          <w:rFonts w:ascii="仿宋_GB2312" w:eastAsia="仿宋_GB2312" w:hint="eastAsia"/>
          <w:b/>
          <w:bCs/>
          <w:sz w:val="24"/>
          <w:szCs w:val="24"/>
        </w:rPr>
        <w:t>为每日应计提的产品销售手续费</w:t>
      </w:r>
    </w:p>
    <w:p w14:paraId="0D719D03"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B</w:t>
      </w:r>
      <w:r>
        <w:rPr>
          <w:rFonts w:ascii="仿宋_GB2312" w:eastAsia="仿宋_GB2312" w:hint="eastAsia"/>
          <w:b/>
          <w:bCs/>
          <w:sz w:val="24"/>
          <w:szCs w:val="24"/>
        </w:rPr>
        <w:t>为前一日理财产品资产净值</w:t>
      </w:r>
    </w:p>
    <w:p w14:paraId="5AA13017"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C</w:t>
      </w:r>
      <w:r>
        <w:rPr>
          <w:rFonts w:ascii="仿宋_GB2312" w:eastAsia="仿宋_GB2312" w:hint="eastAsia"/>
          <w:b/>
          <w:bCs/>
          <w:sz w:val="24"/>
          <w:szCs w:val="24"/>
        </w:rPr>
        <w:t>为销售手续费率</w:t>
      </w:r>
    </w:p>
    <w:p w14:paraId="74BEBE70"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本理财产品销售手续费率为★</w:t>
      </w:r>
      <w:r>
        <w:rPr>
          <w:rFonts w:ascii="仿宋_GB2312" w:eastAsia="仿宋_GB2312" w:hint="eastAsia"/>
          <w:b/>
          <w:bCs/>
          <w:sz w:val="24"/>
          <w:szCs w:val="24"/>
        </w:rPr>
        <w:t>C</w:t>
      </w:r>
      <w:r>
        <w:rPr>
          <w:rFonts w:ascii="仿宋_GB2312" w:eastAsia="仿宋_GB2312" w:hint="eastAsia"/>
          <w:b/>
          <w:bCs/>
          <w:sz w:val="24"/>
          <w:szCs w:val="24"/>
        </w:rPr>
        <w:t>类份额：</w:t>
      </w:r>
      <w:r>
        <w:rPr>
          <w:rFonts w:ascii="仿宋_GB2312" w:eastAsia="仿宋_GB2312" w:hAnsi="方正仿宋_GBK" w:cs="方正仿宋_GBK"/>
          <w:b/>
          <w:bCs/>
          <w:sz w:val="24"/>
          <w:szCs w:val="24"/>
        </w:rPr>
        <w:t>0.</w:t>
      </w:r>
      <w:r>
        <w:rPr>
          <w:rFonts w:ascii="仿宋_GB2312" w:eastAsia="仿宋_GB2312" w:hAnsi="方正仿宋_GBK" w:cs="方正仿宋_GBK" w:hint="eastAsia"/>
          <w:b/>
          <w:bCs/>
          <w:sz w:val="24"/>
          <w:szCs w:val="24"/>
        </w:rPr>
        <w:t>2</w:t>
      </w:r>
      <w:r>
        <w:rPr>
          <w:rFonts w:ascii="仿宋_GB2312" w:eastAsia="仿宋_GB2312" w:hAnsi="方正仿宋_GBK" w:cs="方正仿宋_GBK"/>
          <w:b/>
          <w:bCs/>
          <w:sz w:val="24"/>
          <w:szCs w:val="24"/>
        </w:rPr>
        <w:t>0%/</w:t>
      </w:r>
      <w:r>
        <w:rPr>
          <w:rFonts w:ascii="仿宋_GB2312" w:eastAsia="仿宋_GB2312" w:hAnsi="方正仿宋_GBK" w:cs="方正仿宋_GBK" w:hint="eastAsia"/>
          <w:b/>
          <w:bCs/>
          <w:sz w:val="24"/>
          <w:szCs w:val="24"/>
        </w:rPr>
        <w:t>年；</w:t>
      </w:r>
    </w:p>
    <w:p w14:paraId="549CD7F5"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销售手续费每日计提，按月收取。</w:t>
      </w:r>
    </w:p>
    <w:p w14:paraId="2015A2DB"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2.</w:t>
      </w:r>
      <w:r>
        <w:rPr>
          <w:rFonts w:ascii="仿宋_GB2312" w:eastAsia="仿宋_GB2312" w:hint="eastAsia"/>
          <w:b/>
          <w:bCs/>
          <w:sz w:val="24"/>
          <w:szCs w:val="24"/>
        </w:rPr>
        <w:t>固定管理费</w:t>
      </w:r>
    </w:p>
    <w:p w14:paraId="79155EA8"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本理财产品的固定管理费计算方法如下：</w:t>
      </w:r>
    </w:p>
    <w:p w14:paraId="43DD4E97"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D</w:t>
      </w:r>
      <w:r>
        <w:rPr>
          <w:rFonts w:ascii="仿宋_GB2312" w:eastAsia="仿宋_GB2312" w:hint="eastAsia"/>
          <w:b/>
          <w:bCs/>
          <w:sz w:val="24"/>
          <w:szCs w:val="24"/>
        </w:rPr>
        <w:t>＝</w:t>
      </w:r>
      <w:r>
        <w:rPr>
          <w:rFonts w:ascii="仿宋_GB2312" w:eastAsia="仿宋_GB2312"/>
          <w:b/>
          <w:bCs/>
          <w:sz w:val="24"/>
          <w:szCs w:val="24"/>
        </w:rPr>
        <w:t>B</w:t>
      </w:r>
      <w:r>
        <w:rPr>
          <w:rFonts w:ascii="仿宋_GB2312" w:eastAsia="仿宋_GB2312"/>
          <w:b/>
          <w:bCs/>
          <w:sz w:val="24"/>
          <w:szCs w:val="24"/>
        </w:rPr>
        <w:t>×</w:t>
      </w:r>
      <w:r>
        <w:rPr>
          <w:rFonts w:ascii="仿宋_GB2312" w:eastAsia="仿宋_GB2312"/>
          <w:b/>
          <w:bCs/>
          <w:sz w:val="24"/>
          <w:szCs w:val="24"/>
        </w:rPr>
        <w:t>F</w:t>
      </w:r>
      <w:r>
        <w:rPr>
          <w:rFonts w:ascii="仿宋_GB2312" w:eastAsia="仿宋_GB2312"/>
          <w:b/>
          <w:bCs/>
          <w:sz w:val="24"/>
          <w:szCs w:val="24"/>
        </w:rPr>
        <w:t>÷</w:t>
      </w:r>
      <w:r>
        <w:rPr>
          <w:rFonts w:ascii="仿宋_GB2312" w:eastAsia="仿宋_GB2312"/>
          <w:b/>
          <w:bCs/>
          <w:sz w:val="24"/>
          <w:szCs w:val="24"/>
        </w:rPr>
        <w:t>365</w:t>
      </w:r>
    </w:p>
    <w:p w14:paraId="1C1CBE90"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D</w:t>
      </w:r>
      <w:r>
        <w:rPr>
          <w:rFonts w:ascii="仿宋_GB2312" w:eastAsia="仿宋_GB2312" w:hint="eastAsia"/>
          <w:b/>
          <w:bCs/>
          <w:sz w:val="24"/>
          <w:szCs w:val="24"/>
        </w:rPr>
        <w:t>为每日应计提的产品固定管理费</w:t>
      </w:r>
    </w:p>
    <w:p w14:paraId="15C76DA3"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B</w:t>
      </w:r>
      <w:r>
        <w:rPr>
          <w:rFonts w:ascii="仿宋_GB2312" w:eastAsia="仿宋_GB2312" w:hint="eastAsia"/>
          <w:b/>
          <w:bCs/>
          <w:sz w:val="24"/>
          <w:szCs w:val="24"/>
        </w:rPr>
        <w:t>为前一日理财产品资产净值</w:t>
      </w:r>
    </w:p>
    <w:p w14:paraId="1EC5B918"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F</w:t>
      </w:r>
      <w:r>
        <w:rPr>
          <w:rFonts w:ascii="仿宋_GB2312" w:eastAsia="仿宋_GB2312" w:hint="eastAsia"/>
          <w:b/>
          <w:bCs/>
          <w:sz w:val="24"/>
          <w:szCs w:val="24"/>
        </w:rPr>
        <w:t>为固定管理费率，本理财产品固定管理费率为</w:t>
      </w:r>
      <w:r>
        <w:rPr>
          <w:rFonts w:ascii="仿宋_GB2312" w:eastAsia="仿宋_GB2312" w:hAnsi="方正仿宋_GBK" w:cs="方正仿宋_GBK"/>
          <w:b/>
          <w:bCs/>
          <w:sz w:val="24"/>
          <w:szCs w:val="24"/>
        </w:rPr>
        <w:t>0.1</w:t>
      </w:r>
      <w:r>
        <w:rPr>
          <w:rFonts w:ascii="仿宋_GB2312" w:eastAsia="仿宋_GB2312" w:hAnsi="方正仿宋_GBK" w:cs="方正仿宋_GBK" w:hint="eastAsia"/>
          <w:b/>
          <w:bCs/>
          <w:sz w:val="24"/>
          <w:szCs w:val="24"/>
        </w:rPr>
        <w:t>2</w:t>
      </w:r>
      <w:r>
        <w:rPr>
          <w:rFonts w:ascii="仿宋_GB2312" w:eastAsia="仿宋_GB2312"/>
          <w:b/>
          <w:bCs/>
          <w:sz w:val="24"/>
          <w:szCs w:val="24"/>
        </w:rPr>
        <w:t>%/</w:t>
      </w:r>
      <w:r>
        <w:rPr>
          <w:rFonts w:ascii="仿宋_GB2312" w:eastAsia="仿宋_GB2312" w:hint="eastAsia"/>
          <w:b/>
          <w:bCs/>
          <w:sz w:val="24"/>
          <w:szCs w:val="24"/>
        </w:rPr>
        <w:t>年</w:t>
      </w:r>
    </w:p>
    <w:p w14:paraId="225A8E02"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固定管理费每日计提，按月收取。</w:t>
      </w:r>
    </w:p>
    <w:p w14:paraId="0706B6BA"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3.</w:t>
      </w:r>
      <w:r>
        <w:rPr>
          <w:rFonts w:ascii="仿宋_GB2312" w:eastAsia="仿宋_GB2312" w:hint="eastAsia"/>
          <w:b/>
          <w:bCs/>
          <w:sz w:val="24"/>
          <w:szCs w:val="24"/>
        </w:rPr>
        <w:t>托管费</w:t>
      </w:r>
    </w:p>
    <w:p w14:paraId="279CA270"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本理财产品的托管费计算方法如下：</w:t>
      </w:r>
    </w:p>
    <w:p w14:paraId="3F106440"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G</w:t>
      </w:r>
      <w:r>
        <w:rPr>
          <w:rFonts w:ascii="仿宋_GB2312" w:eastAsia="仿宋_GB2312" w:hint="eastAsia"/>
          <w:b/>
          <w:bCs/>
          <w:sz w:val="24"/>
          <w:szCs w:val="24"/>
        </w:rPr>
        <w:t>＝</w:t>
      </w:r>
      <w:r>
        <w:rPr>
          <w:rFonts w:ascii="仿宋_GB2312" w:eastAsia="仿宋_GB2312"/>
          <w:b/>
          <w:bCs/>
          <w:sz w:val="24"/>
          <w:szCs w:val="24"/>
        </w:rPr>
        <w:t>B</w:t>
      </w:r>
      <w:r>
        <w:rPr>
          <w:rFonts w:ascii="仿宋_GB2312" w:eastAsia="仿宋_GB2312"/>
          <w:b/>
          <w:bCs/>
          <w:sz w:val="24"/>
          <w:szCs w:val="24"/>
        </w:rPr>
        <w:t>×</w:t>
      </w:r>
      <w:r>
        <w:rPr>
          <w:rFonts w:ascii="仿宋_GB2312" w:eastAsia="仿宋_GB2312"/>
          <w:b/>
          <w:bCs/>
          <w:sz w:val="24"/>
          <w:szCs w:val="24"/>
        </w:rPr>
        <w:t>J</w:t>
      </w:r>
      <w:r>
        <w:rPr>
          <w:rFonts w:ascii="仿宋_GB2312" w:eastAsia="仿宋_GB2312"/>
          <w:b/>
          <w:bCs/>
          <w:sz w:val="24"/>
          <w:szCs w:val="24"/>
        </w:rPr>
        <w:t>÷</w:t>
      </w:r>
      <w:r>
        <w:rPr>
          <w:rFonts w:ascii="仿宋_GB2312" w:eastAsia="仿宋_GB2312"/>
          <w:b/>
          <w:bCs/>
          <w:sz w:val="24"/>
          <w:szCs w:val="24"/>
        </w:rPr>
        <w:t>365</w:t>
      </w:r>
    </w:p>
    <w:p w14:paraId="72E2C29D"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G</w:t>
      </w:r>
      <w:r>
        <w:rPr>
          <w:rFonts w:ascii="仿宋_GB2312" w:eastAsia="仿宋_GB2312" w:hint="eastAsia"/>
          <w:b/>
          <w:bCs/>
          <w:sz w:val="24"/>
          <w:szCs w:val="24"/>
        </w:rPr>
        <w:t>为每日应计提的产品托管费</w:t>
      </w:r>
    </w:p>
    <w:p w14:paraId="0050F94D"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B</w:t>
      </w:r>
      <w:r>
        <w:rPr>
          <w:rFonts w:ascii="仿宋_GB2312" w:eastAsia="仿宋_GB2312" w:hint="eastAsia"/>
          <w:b/>
          <w:bCs/>
          <w:sz w:val="24"/>
          <w:szCs w:val="24"/>
        </w:rPr>
        <w:t>为前一日理财产品资产净值</w:t>
      </w:r>
    </w:p>
    <w:p w14:paraId="3D78A09E" w14:textId="77777777" w:rsidR="003E7F78" w:rsidRDefault="00741AB5">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J</w:t>
      </w:r>
      <w:r>
        <w:rPr>
          <w:rFonts w:ascii="仿宋_GB2312" w:eastAsia="仿宋_GB2312" w:hint="eastAsia"/>
          <w:b/>
          <w:bCs/>
          <w:sz w:val="24"/>
          <w:szCs w:val="24"/>
        </w:rPr>
        <w:t>为托管费率，本理财产品托管费率为</w:t>
      </w:r>
      <w:r>
        <w:rPr>
          <w:rFonts w:ascii="仿宋_GB2312" w:eastAsia="仿宋_GB2312" w:hAnsi="方正仿宋_GBK" w:cs="方正仿宋_GBK"/>
          <w:b/>
          <w:bCs/>
          <w:sz w:val="24"/>
          <w:szCs w:val="24"/>
        </w:rPr>
        <w:t>0.02</w:t>
      </w:r>
      <w:r>
        <w:rPr>
          <w:rFonts w:ascii="仿宋_GB2312" w:eastAsia="仿宋_GB2312"/>
          <w:b/>
          <w:bCs/>
          <w:sz w:val="24"/>
          <w:szCs w:val="24"/>
        </w:rPr>
        <w:t>%/</w:t>
      </w:r>
      <w:r>
        <w:rPr>
          <w:rFonts w:ascii="仿宋_GB2312" w:eastAsia="仿宋_GB2312" w:hint="eastAsia"/>
          <w:b/>
          <w:bCs/>
          <w:sz w:val="24"/>
          <w:szCs w:val="24"/>
        </w:rPr>
        <w:t>年</w:t>
      </w:r>
    </w:p>
    <w:p w14:paraId="57B6963B"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bCs/>
          <w:sz w:val="24"/>
          <w:szCs w:val="24"/>
        </w:rPr>
        <w:t>托管费每日计提，按月收取</w:t>
      </w:r>
      <w:r>
        <w:rPr>
          <w:rFonts w:ascii="仿宋_GB2312" w:eastAsia="仿宋_GB2312" w:hint="eastAsia"/>
          <w:b/>
          <w:sz w:val="24"/>
          <w:szCs w:val="24"/>
        </w:rPr>
        <w:t>。</w:t>
      </w:r>
    </w:p>
    <w:p w14:paraId="12AE2C94"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4.</w:t>
      </w:r>
      <w:r>
        <w:rPr>
          <w:rFonts w:ascii="仿宋_GB2312" w:eastAsia="仿宋_GB2312" w:hint="eastAsia"/>
          <w:b/>
          <w:sz w:val="24"/>
          <w:szCs w:val="24"/>
        </w:rPr>
        <w:t>产品运作和清算中产生的其他资金汇划费、结算费、交易手续费、注册登记费、信息披露费、账户服务费、审计费、律师费及本理财产品合同另行约定应由产品承担的费用等，按照实际发生时从产品中列支。</w:t>
      </w:r>
    </w:p>
    <w:p w14:paraId="3EF0E6C2" w14:textId="77777777" w:rsidR="003E7F78" w:rsidRDefault="00741AB5">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5</w:t>
      </w:r>
      <w:r>
        <w:rPr>
          <w:rFonts w:ascii="仿宋_GB2312" w:eastAsia="仿宋_GB2312"/>
          <w:b/>
          <w:sz w:val="24"/>
          <w:szCs w:val="24"/>
        </w:rPr>
        <w:t>.</w:t>
      </w:r>
      <w:r>
        <w:rPr>
          <w:rFonts w:ascii="仿宋_GB2312" w:eastAsia="仿宋_GB2312" w:hint="eastAsia"/>
          <w:b/>
          <w:sz w:val="24"/>
          <w:szCs w:val="24"/>
        </w:rPr>
        <w:t>产品承担的费用还包括投后管理费、项目推荐费、财务顾问费等，按照实际发生时从理财产品中列支。</w:t>
      </w:r>
    </w:p>
    <w:p w14:paraId="3AD174C6" w14:textId="77777777" w:rsidR="003E7F78" w:rsidRDefault="00741AB5">
      <w:pPr>
        <w:widowControl/>
        <w:spacing w:line="360" w:lineRule="auto"/>
        <w:ind w:firstLineChars="200" w:firstLine="482"/>
        <w:jc w:val="left"/>
        <w:outlineLvl w:val="2"/>
        <w:rPr>
          <w:rFonts w:ascii="仿宋_GB2312" w:eastAsia="仿宋_GB2312"/>
          <w:b/>
          <w:sz w:val="24"/>
          <w:szCs w:val="24"/>
        </w:rPr>
      </w:pPr>
      <w:r>
        <w:rPr>
          <w:rFonts w:ascii="仿宋_GB2312" w:eastAsia="仿宋_GB2312" w:hint="eastAsia"/>
          <w:b/>
          <w:sz w:val="24"/>
          <w:szCs w:val="24"/>
        </w:rPr>
        <w:t>八、资产估值</w:t>
      </w:r>
    </w:p>
    <w:p w14:paraId="107990AC"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（一）估值目的和估值原则</w:t>
      </w:r>
    </w:p>
    <w:p w14:paraId="22AFC79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理财产品估值的目的是公允、合理地反映理财产品的价值。估值中坚持公允价值计量原则。</w:t>
      </w:r>
    </w:p>
    <w:p w14:paraId="4C87B82D"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（二）估值对象</w:t>
      </w:r>
    </w:p>
    <w:p w14:paraId="0DB18086"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本产品所拥有的各类有价证券、银行存款、应收款项及其他资产和负债。</w:t>
      </w:r>
    </w:p>
    <w:p w14:paraId="6D9C56EA"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（三）估值日</w:t>
      </w:r>
    </w:p>
    <w:p w14:paraId="21BF3EBA"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本产品成立后的每个工作日为估值日。</w:t>
      </w:r>
    </w:p>
    <w:p w14:paraId="40D638D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▲▲（四）估值方法</w:t>
      </w:r>
    </w:p>
    <w:p w14:paraId="754E7C32"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存款类资产及债券回购</w:t>
      </w:r>
    </w:p>
    <w:p w14:paraId="5EFF74EF"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按照相关监管规定和会计准则采用适当的计量方式。</w:t>
      </w:r>
    </w:p>
    <w:p w14:paraId="0935EEE3"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债券类固定收益证券</w:t>
      </w:r>
    </w:p>
    <w:p w14:paraId="751A29D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采用公允价值计量，公允价值确定方式如下：</w:t>
      </w:r>
    </w:p>
    <w:p w14:paraId="07C32F57"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）收盘价：证券交易所公开发行的含转股权证券（如可转债、可交债），以收盘价为基础确定公允价值。</w:t>
      </w:r>
    </w:p>
    <w:p w14:paraId="65FBCC2F"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）第三方估值：证券交易所上市的证券（不含公开发行可转、可交债）以及银行间市场交易的证券，按债券所处的市场采用第三方估值机构提供价格数据</w:t>
      </w:r>
      <w:r>
        <w:rPr>
          <w:rFonts w:ascii="仿宋_GB2312" w:eastAsia="仿宋_GB2312" w:hint="eastAsia"/>
          <w:sz w:val="24"/>
          <w:szCs w:val="24"/>
        </w:rPr>
        <w:t>确定公允价值。第三方机构系指中央国债登记结算公司、中证指数有限公司（下同）。</w:t>
      </w:r>
    </w:p>
    <w:p w14:paraId="07D50E08"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3</w:t>
      </w:r>
      <w:r>
        <w:rPr>
          <w:rFonts w:ascii="仿宋_GB2312" w:eastAsia="仿宋_GB2312" w:hint="eastAsia"/>
          <w:sz w:val="24"/>
          <w:szCs w:val="24"/>
        </w:rPr>
        <w:t>）已发行未上市且第三方估值机构未提供估值价格的，按发行价格确定公允价值。</w:t>
      </w:r>
    </w:p>
    <w:p w14:paraId="1387EC0D"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股票</w:t>
      </w:r>
    </w:p>
    <w:p w14:paraId="60776977"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）上市流通股票</w:t>
      </w:r>
    </w:p>
    <w:p w14:paraId="6015E3A7"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在证券交易所上市流通的股票，估值日有交易的，按估值日收盘价估值；估值日无交易，按最近交易日的收盘价估值。</w:t>
      </w:r>
    </w:p>
    <w:p w14:paraId="42CB6D50"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）优先股</w:t>
      </w:r>
    </w:p>
    <w:p w14:paraId="112D6245"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采用第三方估值机构提供的价格数据确定公允价值；第三方估值机构未提供价格数据的按照估值技术确定的公允价值估值。</w:t>
      </w:r>
    </w:p>
    <w:p w14:paraId="151F9A2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3</w:t>
      </w:r>
      <w:r>
        <w:rPr>
          <w:rFonts w:ascii="仿宋_GB2312" w:eastAsia="仿宋_GB2312" w:hint="eastAsia"/>
          <w:sz w:val="24"/>
          <w:szCs w:val="24"/>
        </w:rPr>
        <w:t>）长期停牌股票</w:t>
      </w:r>
    </w:p>
    <w:p w14:paraId="7868AC24"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长期停牌股票采用估值技术确定公允价值估值。</w:t>
      </w:r>
    </w:p>
    <w:p w14:paraId="62A0DE35"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4</w:t>
      </w:r>
      <w:r>
        <w:rPr>
          <w:rFonts w:ascii="仿宋_GB2312" w:eastAsia="仿宋_GB2312" w:hint="eastAsia"/>
          <w:sz w:val="24"/>
          <w:szCs w:val="24"/>
        </w:rPr>
        <w:t>）有明确限售期的股票</w:t>
      </w:r>
    </w:p>
    <w:p w14:paraId="50797E48"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通过公开、非公开等方式取得且有明确限售期的股票</w:t>
      </w:r>
      <w:r>
        <w:rPr>
          <w:rFonts w:ascii="仿宋_GB2312" w:eastAsia="仿宋_GB2312" w:hint="eastAsia"/>
          <w:sz w:val="24"/>
          <w:szCs w:val="24"/>
        </w:rPr>
        <w:t>,</w:t>
      </w:r>
      <w:r>
        <w:rPr>
          <w:rFonts w:ascii="仿宋_GB2312" w:eastAsia="仿宋_GB2312" w:hint="eastAsia"/>
          <w:sz w:val="24"/>
          <w:szCs w:val="24"/>
        </w:rPr>
        <w:t>在限售期内，以证券交易所上市交易的同一股票的公允价值为基础，扣除流动性折扣进行估值。</w:t>
      </w:r>
    </w:p>
    <w:p w14:paraId="5FEE60A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5</w:t>
      </w:r>
      <w:r>
        <w:rPr>
          <w:rFonts w:ascii="仿宋_GB2312" w:eastAsia="仿宋_GB2312" w:hint="eastAsia"/>
          <w:sz w:val="24"/>
          <w:szCs w:val="24"/>
        </w:rPr>
        <w:t>）未上市流通股票</w:t>
      </w:r>
    </w:p>
    <w:p w14:paraId="56FDDD79"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①首次发行未上市的股票，在未上市期间按发行价格估值。</w:t>
      </w:r>
    </w:p>
    <w:p w14:paraId="642654C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②送股、转增股、配股和公开增发新股等发行未上市的股票，按估值日在证券交易所上市的同一股票的估值方法确定</w:t>
      </w:r>
      <w:r>
        <w:rPr>
          <w:rFonts w:ascii="仿宋_GB2312" w:eastAsia="仿宋_GB2312" w:hint="eastAsia"/>
          <w:sz w:val="24"/>
          <w:szCs w:val="24"/>
        </w:rPr>
        <w:t>公允价值。</w:t>
      </w:r>
    </w:p>
    <w:p w14:paraId="2D8E5C3C"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金融资产衍生品</w:t>
      </w:r>
    </w:p>
    <w:p w14:paraId="497547C2"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）期货</w:t>
      </w:r>
    </w:p>
    <w:p w14:paraId="334EAEC6"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以估值当日期货合约结算价进行估值；估值当日无结算价的，采用最近交易日结算价估值。</w:t>
      </w:r>
    </w:p>
    <w:p w14:paraId="6C93BED7"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）其他衍生品</w:t>
      </w:r>
    </w:p>
    <w:p w14:paraId="7B0D20EF"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通过估值技术确定资产的公允价值进行估值。</w:t>
      </w:r>
    </w:p>
    <w:p w14:paraId="41B56124"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5.</w:t>
      </w:r>
      <w:r>
        <w:rPr>
          <w:rFonts w:ascii="仿宋_GB2312" w:eastAsia="仿宋_GB2312" w:hint="eastAsia"/>
          <w:sz w:val="24"/>
          <w:szCs w:val="24"/>
        </w:rPr>
        <w:t>证券投资基金</w:t>
      </w:r>
    </w:p>
    <w:p w14:paraId="665C86B4"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）非上市基金</w:t>
      </w:r>
    </w:p>
    <w:p w14:paraId="06A8A56D"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①货币市场基金，按所投资基金前一估值日后至估值日期间（含节假日）的万份收益计提估值日基金收益。</w:t>
      </w:r>
    </w:p>
    <w:p w14:paraId="0EDEE7A5"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②非货币市场基金，按所投资基金估值日的份额净值估值。</w:t>
      </w:r>
    </w:p>
    <w:p w14:paraId="18695C64"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）上市基金</w:t>
      </w:r>
    </w:p>
    <w:p w14:paraId="1D0A2BB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①</w:t>
      </w:r>
      <w:r>
        <w:rPr>
          <w:rFonts w:ascii="仿宋_GB2312" w:eastAsia="仿宋_GB2312" w:hint="eastAsia"/>
          <w:sz w:val="24"/>
          <w:szCs w:val="24"/>
        </w:rPr>
        <w:t>ETF</w:t>
      </w:r>
      <w:r>
        <w:rPr>
          <w:rFonts w:ascii="仿宋_GB2312" w:eastAsia="仿宋_GB2312" w:hint="eastAsia"/>
          <w:sz w:val="24"/>
          <w:szCs w:val="24"/>
        </w:rPr>
        <w:t>基金，按所投资</w:t>
      </w:r>
      <w:r>
        <w:rPr>
          <w:rFonts w:ascii="仿宋_GB2312" w:eastAsia="仿宋_GB2312" w:hint="eastAsia"/>
          <w:sz w:val="24"/>
          <w:szCs w:val="24"/>
        </w:rPr>
        <w:t>ETF</w:t>
      </w:r>
      <w:r>
        <w:rPr>
          <w:rFonts w:ascii="仿宋_GB2312" w:eastAsia="仿宋_GB2312" w:hint="eastAsia"/>
          <w:sz w:val="24"/>
          <w:szCs w:val="24"/>
        </w:rPr>
        <w:t>基金估值日的收盘价估值。</w:t>
      </w:r>
    </w:p>
    <w:p w14:paraId="2A3AE418"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②上市开放式基金（</w:t>
      </w:r>
      <w:r>
        <w:rPr>
          <w:rFonts w:ascii="仿宋_GB2312" w:eastAsia="仿宋_GB2312" w:hint="eastAsia"/>
          <w:sz w:val="24"/>
          <w:szCs w:val="24"/>
        </w:rPr>
        <w:t>LOF</w:t>
      </w:r>
      <w:r>
        <w:rPr>
          <w:rFonts w:ascii="仿宋_GB2312" w:eastAsia="仿宋_GB2312" w:hint="eastAsia"/>
          <w:sz w:val="24"/>
          <w:szCs w:val="24"/>
        </w:rPr>
        <w:t>），按所投资基金估值日的份额净值估值。</w:t>
      </w:r>
    </w:p>
    <w:p w14:paraId="304D2870"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③上市定期开放式基金、封闭式基金，按所投资基金估值日的收盘价估值。</w:t>
      </w:r>
    </w:p>
    <w:p w14:paraId="1B15219D"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④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14B73E1C"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3</w:t>
      </w:r>
      <w:r>
        <w:rPr>
          <w:rFonts w:ascii="仿宋_GB2312" w:eastAsia="仿宋_GB2312" w:hint="eastAsia"/>
          <w:sz w:val="24"/>
          <w:szCs w:val="24"/>
        </w:rPr>
        <w:t>）特殊情况处理</w:t>
      </w:r>
    </w:p>
    <w:p w14:paraId="54D662E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如遇所投资基金不公布基金份额净值、进行折算或拆分、估值日无交易等特殊情况，按照最新净值、折算拆分信息和最近交易价为基础确定公允价值估值。</w:t>
      </w:r>
    </w:p>
    <w:p w14:paraId="3F9C401C"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6.</w:t>
      </w:r>
      <w:r>
        <w:rPr>
          <w:rFonts w:ascii="仿宋_GB2312" w:eastAsia="仿宋_GB2312" w:hint="eastAsia"/>
          <w:sz w:val="24"/>
          <w:szCs w:val="24"/>
        </w:rPr>
        <w:t>基金专</w:t>
      </w:r>
      <w:r>
        <w:rPr>
          <w:rFonts w:ascii="仿宋_GB2312" w:eastAsia="仿宋_GB2312" w:hint="eastAsia"/>
          <w:sz w:val="24"/>
          <w:szCs w:val="24"/>
        </w:rPr>
        <w:t>户、信托计划、资产管理计划等资管计划及资管计划的收（受）益权</w:t>
      </w:r>
    </w:p>
    <w:p w14:paraId="68543B00"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以资管计划管理人提供的最新报价估值。若无法提供估值，产品管理人通过估值技术确定公允价值进行估值。</w:t>
      </w:r>
    </w:p>
    <w:p w14:paraId="02685E1F"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7.</w:t>
      </w:r>
      <w:r>
        <w:rPr>
          <w:rFonts w:ascii="仿宋_GB2312" w:eastAsia="仿宋_GB2312" w:hint="eastAsia"/>
          <w:sz w:val="24"/>
          <w:szCs w:val="24"/>
        </w:rPr>
        <w:t>上述资产如在产品存续期内，因经济环境发生重大变化或发行人发生重大事件等，导致资产价格发生重大变动的，管理人参考第三方估值机构提供的价格数据、市场价格及发行人实际状况等，经与托管人协商一致后采用合理的估值技术或估值标准确定公允价值估值。</w:t>
      </w:r>
    </w:p>
    <w:p w14:paraId="78EF8D0C"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8.</w:t>
      </w:r>
      <w:r>
        <w:rPr>
          <w:rFonts w:ascii="仿宋_GB2312" w:eastAsia="仿宋_GB2312" w:hint="eastAsia"/>
          <w:sz w:val="24"/>
          <w:szCs w:val="24"/>
        </w:rPr>
        <w:t>在任何情况下，如采用以上规定的方法对资产进行估值，均应被认为采用了适当的估值方法。如果产品管理人或产品托管人</w:t>
      </w:r>
      <w:r>
        <w:rPr>
          <w:rFonts w:ascii="仿宋_GB2312" w:eastAsia="仿宋_GB2312" w:hint="eastAsia"/>
          <w:sz w:val="24"/>
          <w:szCs w:val="24"/>
        </w:rPr>
        <w:t>认为按以上规定方法不能真实反映理财产品资产公允价值的，经产品管理人和产品托管人协商一致后，可以变更资产价值的确定方式，并从协商一致日起执行。</w:t>
      </w:r>
    </w:p>
    <w:p w14:paraId="1902F1A3"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9.</w:t>
      </w:r>
      <w:r>
        <w:rPr>
          <w:rFonts w:ascii="仿宋_GB2312" w:eastAsia="仿宋_GB2312" w:hint="eastAsia"/>
          <w:sz w:val="24"/>
          <w:szCs w:val="24"/>
        </w:rPr>
        <w:t>对于以上估值方法，相关法律法规以及监管部门另有规定的，按照监管最新规定执行。监管未明确规定和要求的，由产品管理人与托管人协商确定估值方法。</w:t>
      </w:r>
    </w:p>
    <w:p w14:paraId="20FCB064"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（五）估值错误的认定和处理</w:t>
      </w:r>
    </w:p>
    <w:p w14:paraId="1907AC52"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估值错误的认定：当理财产品单位净值小数点后</w:t>
      </w:r>
      <w:r>
        <w:rPr>
          <w:rFonts w:ascii="仿宋_GB2312" w:eastAsia="仿宋_GB2312" w:hint="eastAsia"/>
          <w:sz w:val="24"/>
          <w:szCs w:val="24"/>
        </w:rPr>
        <w:t>4</w:t>
      </w:r>
      <w:r>
        <w:rPr>
          <w:rFonts w:ascii="仿宋_GB2312" w:eastAsia="仿宋_GB2312" w:hint="eastAsia"/>
          <w:sz w:val="24"/>
          <w:szCs w:val="24"/>
        </w:rPr>
        <w:t>位以内</w:t>
      </w:r>
      <w:r>
        <w:rPr>
          <w:rFonts w:ascii="仿宋_GB2312" w:eastAsia="仿宋_GB2312" w:hint="eastAsia"/>
          <w:sz w:val="24"/>
          <w:szCs w:val="24"/>
        </w:rPr>
        <w:t>(</w:t>
      </w:r>
      <w:r>
        <w:rPr>
          <w:rFonts w:ascii="仿宋_GB2312" w:eastAsia="仿宋_GB2312" w:hint="eastAsia"/>
          <w:sz w:val="24"/>
          <w:szCs w:val="24"/>
        </w:rPr>
        <w:t>含第</w:t>
      </w:r>
      <w:r>
        <w:rPr>
          <w:rFonts w:ascii="仿宋_GB2312" w:eastAsia="仿宋_GB2312" w:hint="eastAsia"/>
          <w:sz w:val="24"/>
          <w:szCs w:val="24"/>
        </w:rPr>
        <w:t>4</w:t>
      </w:r>
      <w:r>
        <w:rPr>
          <w:rFonts w:ascii="仿宋_GB2312" w:eastAsia="仿宋_GB2312" w:hint="eastAsia"/>
          <w:sz w:val="24"/>
          <w:szCs w:val="24"/>
        </w:rPr>
        <w:t>位</w:t>
      </w:r>
      <w:r>
        <w:rPr>
          <w:rFonts w:ascii="仿宋_GB2312" w:eastAsia="仿宋_GB2312" w:hint="eastAsia"/>
          <w:sz w:val="24"/>
          <w:szCs w:val="24"/>
        </w:rPr>
        <w:t>)</w:t>
      </w:r>
      <w:r>
        <w:rPr>
          <w:rFonts w:ascii="仿宋_GB2312" w:eastAsia="仿宋_GB2312" w:hint="eastAsia"/>
          <w:sz w:val="24"/>
          <w:szCs w:val="24"/>
        </w:rPr>
        <w:t>发生估值错误时，视为理财产品单位净值错误。</w:t>
      </w:r>
    </w:p>
    <w:p w14:paraId="566A7DE9"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估值错误的处理：</w:t>
      </w:r>
    </w:p>
    <w:p w14:paraId="4E6D2F5B"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）处理原则：</w:t>
      </w:r>
    </w:p>
    <w:p w14:paraId="4DBE9C7C"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①由于产品管理人或理财产品托管人自身的过错造成估</w:t>
      </w:r>
      <w:r>
        <w:rPr>
          <w:rFonts w:ascii="仿宋_GB2312" w:eastAsia="仿宋_GB2312" w:hint="eastAsia"/>
          <w:sz w:val="24"/>
          <w:szCs w:val="24"/>
        </w:rPr>
        <w:t>值错误，导致投资者遭受损失的，由估值错误责任方按照过错程度各自对该估值错误导致投资者遭受的直接损失给予赔偿，承担赔偿责任；</w:t>
      </w:r>
    </w:p>
    <w:p w14:paraId="24862680" w14:textId="77777777" w:rsidR="003E7F78" w:rsidRDefault="00741AB5">
      <w:pPr>
        <w:spacing w:line="360" w:lineRule="auto"/>
        <w:ind w:firstLineChars="200" w:firstLine="480"/>
        <w:rPr>
          <w:rFonts w:ascii="仿宋_GB2312" w:eastAsia="仿宋_GB2312"/>
          <w:b/>
          <w:bCs/>
          <w:sz w:val="24"/>
          <w:szCs w:val="24"/>
        </w:rPr>
      </w:pPr>
      <w:r>
        <w:rPr>
          <w:rFonts w:ascii="仿宋_GB2312" w:eastAsia="仿宋_GB2312" w:hint="eastAsia"/>
          <w:sz w:val="24"/>
          <w:szCs w:val="24"/>
        </w:rPr>
        <w:t>②对于因技术原因引起的差错，若系同行业现有技术水平不能预见、不能避免且不能克服的客观情况，属不可抗力。</w:t>
      </w:r>
      <w:r>
        <w:rPr>
          <w:rFonts w:ascii="仿宋_GB2312" w:eastAsia="仿宋_GB2312" w:hAnsi="方正黑体_GBK" w:cs="方正黑体_GBK" w:hint="eastAsia"/>
          <w:b/>
          <w:bCs/>
          <w:sz w:val="24"/>
          <w:szCs w:val="24"/>
        </w:rPr>
        <w:t>▲▲</w:t>
      </w:r>
      <w:r>
        <w:rPr>
          <w:rFonts w:ascii="仿宋_GB2312" w:eastAsia="仿宋_GB2312" w:hint="eastAsia"/>
          <w:b/>
          <w:bCs/>
          <w:sz w:val="24"/>
          <w:szCs w:val="24"/>
        </w:rPr>
        <w:t>因不可抗力原因出现差错的当事人不对投资者承担赔偿责任，但因该差错取得不当得利的投资者仍应负有返还不当得利的义务；</w:t>
      </w:r>
    </w:p>
    <w:p w14:paraId="497FD417"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③因理财产品托管人估值错误造成财产损失时，理财产品投资管理人应向托管人追偿。若理财产品投资管理人和理财产品托管人之外的第三方估值差错造成理财产品财产的损失，并拒绝进行赔偿时，由理财产品投资管理人负责向差错方追偿；追偿过程中产生的有关费用，从产品中列支；</w:t>
      </w:r>
    </w:p>
    <w:p w14:paraId="47F85D28"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④当估值出现错误时，因估值错误而获得不当得利的投资者负有及时返还不当得利的义务；</w:t>
      </w:r>
    </w:p>
    <w:p w14:paraId="1E1AA977"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⑤按法律法规规定的其他原则处理估值错误。</w:t>
      </w:r>
    </w:p>
    <w:p w14:paraId="7FE3FD36"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）处理程序：</w:t>
      </w:r>
    </w:p>
    <w:p w14:paraId="68760FA7"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①查明估值错误发生的原因，列明所有的管理人和托管人并根据估值错误发生的原因确定估值错误的责任方；</w:t>
      </w:r>
    </w:p>
    <w:p w14:paraId="1443706F"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②根据估值错误处理原则对因估值错误造成的损失进行评估；</w:t>
      </w:r>
    </w:p>
    <w:p w14:paraId="7A3D01FA"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③根据理财产品投资管理人和理财产品托管人协商的方法，由理财产品投资管理人和理财产品托管人共同进行更正，由估值错误的责任方进行赔偿损失。</w:t>
      </w:r>
    </w:p>
    <w:p w14:paraId="1181C1BE"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（六）暂停估值的情形</w:t>
      </w:r>
    </w:p>
    <w:p w14:paraId="39F25B7C"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因不可抗力致使管理人、托管人无法准确评估产品资产价值时；</w:t>
      </w:r>
    </w:p>
    <w:p w14:paraId="21AC6623"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占前一估值日理财资产净值重大比例的资产，出现无可参考的活跃市场价格且采用估值技术仍导致公允价值存在重大不确定性时，管理人为保障投资者的利益，经与托管人协商一致，理财产品应当暂停估值；</w:t>
      </w:r>
    </w:p>
    <w:p w14:paraId="6DD70821"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国家金融监督管理总局和管理人认定的其它情形。</w:t>
      </w:r>
    </w:p>
    <w:p w14:paraId="6D5FDBC3" w14:textId="77777777" w:rsidR="003E7F78" w:rsidRDefault="00741AB5">
      <w:pPr>
        <w:spacing w:line="360" w:lineRule="auto"/>
        <w:ind w:firstLineChars="200" w:firstLine="480"/>
        <w:rPr>
          <w:rFonts w:ascii="仿宋_GB2312" w:eastAsia="仿宋_GB2312"/>
        </w:rPr>
      </w:pPr>
      <w:r>
        <w:rPr>
          <w:rFonts w:ascii="仿宋_GB2312" w:eastAsia="仿宋_GB2312" w:hint="eastAsia"/>
          <w:sz w:val="24"/>
          <w:szCs w:val="24"/>
        </w:rPr>
        <w:t>产品管理人宣布对本理财产品暂停估值的，应根据本理财产品合同信息披露约定进行公告并说明原因、拟采取的应对安排等。</w:t>
      </w:r>
    </w:p>
    <w:p w14:paraId="117EB8C3" w14:textId="77777777" w:rsidR="003E7F78" w:rsidRDefault="00741AB5">
      <w:pPr>
        <w:pStyle w:val="Default"/>
        <w:spacing w:line="360" w:lineRule="auto"/>
        <w:ind w:firstLineChars="200" w:firstLine="482"/>
        <w:outlineLvl w:val="2"/>
        <w:rPr>
          <w:rFonts w:ascii="仿宋_GB2312" w:eastAsia="仿宋_GB2312" w:hAnsi="方正仿宋_GBK" w:cs="方正仿宋_GBK"/>
          <w:b/>
        </w:rPr>
      </w:pPr>
      <w:r>
        <w:rPr>
          <w:rFonts w:ascii="仿宋_GB2312" w:eastAsia="仿宋_GB2312" w:hint="eastAsia"/>
          <w:b/>
        </w:rPr>
        <w:t>九、</w:t>
      </w:r>
      <w:r>
        <w:rPr>
          <w:rFonts w:ascii="仿宋_GB2312" w:eastAsia="仿宋_GB2312" w:hAnsi="宋体" w:cs="Arial" w:hint="eastAsia"/>
          <w:b/>
        </w:rPr>
        <w:t>理财分配金额计算及示例</w:t>
      </w:r>
    </w:p>
    <w:p w14:paraId="4582BA20" w14:textId="77777777" w:rsidR="003E7F78" w:rsidRDefault="00741AB5">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示例：</w:t>
      </w:r>
    </w:p>
    <w:p w14:paraId="432B3AB0" w14:textId="77777777" w:rsidR="003E7F78" w:rsidRDefault="00741AB5">
      <w:pPr>
        <w:spacing w:line="360" w:lineRule="auto"/>
        <w:ind w:firstLineChars="200" w:firstLine="482"/>
        <w:rPr>
          <w:rFonts w:ascii="仿宋_GB2312" w:eastAsia="仿宋_GB2312" w:hAnsi="宋体"/>
          <w:bCs/>
          <w:sz w:val="24"/>
          <w:szCs w:val="24"/>
        </w:rPr>
      </w:pPr>
      <w:r>
        <w:rPr>
          <w:rFonts w:ascii="仿宋_GB2312" w:eastAsia="仿宋_GB2312" w:hint="eastAsia"/>
          <w:b/>
          <w:bCs/>
          <w:sz w:val="24"/>
          <w:szCs w:val="24"/>
        </w:rPr>
        <w:t>——申购：</w:t>
      </w:r>
      <w:r>
        <w:rPr>
          <w:rFonts w:ascii="仿宋_GB2312" w:eastAsia="仿宋_GB2312" w:hAnsi="宋体" w:hint="eastAsia"/>
          <w:bCs/>
          <w:sz w:val="24"/>
          <w:szCs w:val="24"/>
        </w:rPr>
        <w:t>假设在产品开放期内，投资者申购理财产品</w:t>
      </w:r>
      <w:r>
        <w:rPr>
          <w:rFonts w:ascii="仿宋_GB2312" w:eastAsia="仿宋_GB2312" w:hAnsi="宋体"/>
          <w:bCs/>
          <w:sz w:val="24"/>
          <w:szCs w:val="24"/>
        </w:rPr>
        <w:t>500,000.00</w:t>
      </w:r>
      <w:r>
        <w:rPr>
          <w:rFonts w:ascii="仿宋_GB2312" w:eastAsia="仿宋_GB2312" w:hAnsi="宋体"/>
          <w:bCs/>
          <w:sz w:val="24"/>
          <w:szCs w:val="24"/>
        </w:rPr>
        <w:t>元，</w:t>
      </w:r>
      <w:r>
        <w:rPr>
          <w:rFonts w:ascii="仿宋_GB2312" w:eastAsia="仿宋_GB2312" w:hAnsi="宋体" w:hint="eastAsia"/>
          <w:bCs/>
          <w:sz w:val="24"/>
          <w:szCs w:val="24"/>
        </w:rPr>
        <w:t>申购价格为</w:t>
      </w:r>
      <w:r>
        <w:rPr>
          <w:rFonts w:ascii="仿宋_GB2312" w:eastAsia="仿宋_GB2312" w:hAnsi="宋体"/>
          <w:bCs/>
          <w:sz w:val="24"/>
          <w:szCs w:val="24"/>
        </w:rPr>
        <w:t>1.0044</w:t>
      </w:r>
      <w:r>
        <w:rPr>
          <w:rFonts w:ascii="仿宋_GB2312" w:eastAsia="仿宋_GB2312" w:hAnsi="宋体" w:hint="eastAsia"/>
          <w:bCs/>
          <w:sz w:val="24"/>
          <w:szCs w:val="24"/>
        </w:rPr>
        <w:t>元，投资者申购折算份额为</w:t>
      </w:r>
      <w:r>
        <w:rPr>
          <w:rFonts w:ascii="仿宋_GB2312" w:eastAsia="仿宋_GB2312" w:hAnsi="宋体"/>
          <w:bCs/>
          <w:sz w:val="24"/>
          <w:szCs w:val="24"/>
        </w:rPr>
        <w:t>497,809.64</w:t>
      </w:r>
      <w:r>
        <w:rPr>
          <w:rFonts w:ascii="仿宋_GB2312" w:eastAsia="仿宋_GB2312" w:hAnsi="宋体" w:hint="eastAsia"/>
          <w:bCs/>
          <w:sz w:val="24"/>
          <w:szCs w:val="24"/>
        </w:rPr>
        <w:t>份。</w:t>
      </w:r>
    </w:p>
    <w:p w14:paraId="6C773C57" w14:textId="77777777" w:rsidR="003E7F78" w:rsidRDefault="00741AB5">
      <w:pPr>
        <w:spacing w:line="360" w:lineRule="auto"/>
        <w:ind w:firstLineChars="200" w:firstLine="482"/>
        <w:rPr>
          <w:rFonts w:ascii="仿宋_GB2312" w:eastAsia="仿宋_GB2312" w:hAnsi="宋体"/>
          <w:bCs/>
          <w:sz w:val="24"/>
          <w:szCs w:val="24"/>
        </w:rPr>
      </w:pPr>
      <w:r>
        <w:rPr>
          <w:rFonts w:ascii="仿宋_GB2312" w:eastAsia="仿宋_GB2312" w:hint="eastAsia"/>
          <w:b/>
          <w:bCs/>
          <w:sz w:val="24"/>
          <w:szCs w:val="24"/>
        </w:rPr>
        <w:t>——赎回</w:t>
      </w:r>
      <w:r>
        <w:rPr>
          <w:rFonts w:ascii="仿宋_GB2312" w:eastAsia="仿宋_GB2312" w:hint="eastAsia"/>
          <w:sz w:val="24"/>
          <w:szCs w:val="24"/>
        </w:rPr>
        <w:t>：</w:t>
      </w:r>
      <w:r>
        <w:rPr>
          <w:rFonts w:ascii="仿宋_GB2312" w:eastAsia="仿宋_GB2312" w:hAnsi="宋体" w:hint="eastAsia"/>
          <w:bCs/>
          <w:sz w:val="24"/>
          <w:szCs w:val="24"/>
        </w:rPr>
        <w:t>假设投资者于产品开放期内的非工作日提出赎回申请，视为下一工作日的赎回申请，</w:t>
      </w:r>
      <w:r>
        <w:rPr>
          <w:rFonts w:ascii="仿宋_GB2312" w:eastAsia="仿宋_GB2312" w:hAnsi="宋体"/>
          <w:bCs/>
          <w:sz w:val="24"/>
          <w:szCs w:val="24"/>
        </w:rPr>
        <w:t>若投资者赎回份数为</w:t>
      </w:r>
      <w:r>
        <w:rPr>
          <w:rFonts w:ascii="仿宋_GB2312" w:eastAsia="仿宋_GB2312" w:hAnsi="宋体"/>
          <w:bCs/>
          <w:sz w:val="24"/>
          <w:szCs w:val="24"/>
        </w:rPr>
        <w:t>100,000.00</w:t>
      </w:r>
      <w:r>
        <w:rPr>
          <w:rFonts w:ascii="仿宋_GB2312" w:eastAsia="仿宋_GB2312" w:hAnsi="宋体"/>
          <w:bCs/>
          <w:sz w:val="24"/>
          <w:szCs w:val="24"/>
        </w:rPr>
        <w:t>份，则</w:t>
      </w:r>
      <w:r>
        <w:rPr>
          <w:rFonts w:ascii="仿宋_GB2312" w:eastAsia="仿宋_GB2312" w:hAnsi="宋体" w:hint="eastAsia"/>
          <w:bCs/>
          <w:sz w:val="24"/>
          <w:szCs w:val="24"/>
        </w:rPr>
        <w:t>投资者获得的赎回金额计算如下：</w:t>
      </w:r>
    </w:p>
    <w:p w14:paraId="3552BD9B" w14:textId="77777777" w:rsidR="003E7F78" w:rsidRDefault="00741AB5">
      <w:pPr>
        <w:spacing w:line="360" w:lineRule="auto"/>
        <w:ind w:firstLineChars="200" w:firstLine="480"/>
        <w:rPr>
          <w:rFonts w:ascii="仿宋_GB2312" w:eastAsia="仿宋_GB2312" w:hAnsi="宋体"/>
          <w:bCs/>
          <w:sz w:val="24"/>
          <w:szCs w:val="24"/>
        </w:rPr>
      </w:pPr>
      <w:r>
        <w:rPr>
          <w:rFonts w:ascii="仿宋_GB2312" w:eastAsia="仿宋_GB2312" w:hint="eastAsia"/>
          <w:sz w:val="24"/>
          <w:szCs w:val="24"/>
        </w:rPr>
        <w:t>假设扣除各项费用（赎回费除外）后产品净值为</w:t>
      </w:r>
      <w:r>
        <w:rPr>
          <w:rFonts w:ascii="仿宋_GB2312" w:eastAsia="仿宋_GB2312"/>
          <w:sz w:val="24"/>
          <w:szCs w:val="24"/>
        </w:rPr>
        <w:t>1.0120</w:t>
      </w:r>
      <w:r>
        <w:rPr>
          <w:rFonts w:ascii="仿宋_GB2312" w:eastAsia="仿宋_GB2312" w:hint="eastAsia"/>
          <w:sz w:val="24"/>
          <w:szCs w:val="24"/>
        </w:rPr>
        <w:t>（舍位法至小数点后四位），鉴于本产品的产品费用条款约定产品管理人不收取超额业绩报酬，赎回确认金额</w:t>
      </w:r>
      <w:r>
        <w:rPr>
          <w:rFonts w:ascii="仿宋_GB2312" w:eastAsia="仿宋_GB2312"/>
          <w:sz w:val="24"/>
          <w:szCs w:val="24"/>
        </w:rPr>
        <w:t>=100,000.00</w:t>
      </w:r>
      <w:r>
        <w:rPr>
          <w:rFonts w:ascii="仿宋_GB2312" w:eastAsia="仿宋_GB2312"/>
          <w:sz w:val="24"/>
          <w:szCs w:val="24"/>
        </w:rPr>
        <w:t>×</w:t>
      </w:r>
      <w:r>
        <w:rPr>
          <w:rFonts w:ascii="仿宋_GB2312" w:eastAsia="仿宋_GB2312"/>
          <w:sz w:val="24"/>
          <w:szCs w:val="24"/>
        </w:rPr>
        <w:t>1.0120=101,200.00</w:t>
      </w:r>
      <w:r>
        <w:rPr>
          <w:rFonts w:ascii="仿宋_GB2312" w:eastAsia="仿宋_GB2312" w:hint="eastAsia"/>
          <w:sz w:val="24"/>
          <w:szCs w:val="24"/>
        </w:rPr>
        <w:t>元，投资者获得的赎回金额为</w:t>
      </w:r>
      <w:r>
        <w:rPr>
          <w:rFonts w:ascii="仿宋_GB2312" w:eastAsia="仿宋_GB2312"/>
          <w:sz w:val="24"/>
          <w:szCs w:val="24"/>
        </w:rPr>
        <w:t>101,200.00</w:t>
      </w:r>
      <w:r>
        <w:rPr>
          <w:rFonts w:ascii="仿宋_GB2312" w:eastAsia="仿宋_GB2312" w:hint="eastAsia"/>
          <w:sz w:val="24"/>
          <w:szCs w:val="24"/>
        </w:rPr>
        <w:t>元。</w:t>
      </w:r>
    </w:p>
    <w:p w14:paraId="4240C1A5" w14:textId="77777777" w:rsidR="003E7F78" w:rsidRDefault="00741AB5">
      <w:pPr>
        <w:spacing w:line="360" w:lineRule="auto"/>
        <w:ind w:firstLineChars="200" w:firstLine="482"/>
        <w:rPr>
          <w:rFonts w:ascii="仿宋_GB2312" w:eastAsia="仿宋_GB2312"/>
          <w:sz w:val="24"/>
          <w:szCs w:val="24"/>
        </w:rPr>
      </w:pPr>
      <w:r>
        <w:rPr>
          <w:rFonts w:ascii="仿宋_GB2312" w:eastAsia="仿宋_GB2312" w:hAnsi="宋体" w:hint="eastAsia"/>
          <w:b/>
          <w:sz w:val="24"/>
          <w:szCs w:val="24"/>
        </w:rPr>
        <w:t>▲▲</w:t>
      </w:r>
      <w:r>
        <w:rPr>
          <w:rFonts w:ascii="仿宋_GB2312" w:eastAsia="仿宋_GB2312" w:hint="eastAsia"/>
          <w:sz w:val="24"/>
          <w:szCs w:val="24"/>
        </w:rPr>
        <w:t>特别提示：示例仅为向投资者介绍理财分配金额计算方法，数据均为模拟数据，并不代表以上所有情形或某一情形一定会发生，或发生的可能性很大。投资者所能获得的理财分配金额以产品管理人按本理财产品合同约定计算并向投资者实际支付为准。</w:t>
      </w:r>
    </w:p>
    <w:p w14:paraId="4951A4B7"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Ansi="方正黑体_GBK" w:cs="方正黑体_GBK" w:hint="eastAsia"/>
          <w:b/>
          <w:sz w:val="24"/>
          <w:szCs w:val="24"/>
        </w:rPr>
        <w:t>▲▲</w:t>
      </w:r>
      <w:r>
        <w:rPr>
          <w:rFonts w:ascii="仿宋_GB2312" w:eastAsia="仿宋_GB2312" w:hAnsi="方正仿宋_GBK" w:cs="方正仿宋_GBK" w:hint="eastAsia"/>
          <w:b/>
          <w:color w:val="000000"/>
          <w:kern w:val="0"/>
          <w:sz w:val="24"/>
          <w:szCs w:val="24"/>
        </w:rPr>
        <w:t>十</w:t>
      </w:r>
      <w:r>
        <w:rPr>
          <w:rFonts w:ascii="仿宋_GB2312" w:eastAsia="仿宋_GB2312" w:hAnsi="宋体" w:cs="Arial" w:hint="eastAsia"/>
          <w:b/>
          <w:sz w:val="24"/>
          <w:szCs w:val="24"/>
        </w:rPr>
        <w:t>、延缓支付赎回款项的情形</w:t>
      </w:r>
    </w:p>
    <w:p w14:paraId="5C28EF26"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hint="eastAsia"/>
          <w:bCs/>
          <w:color w:val="000000"/>
          <w:kern w:val="0"/>
          <w:sz w:val="24"/>
          <w:szCs w:val="24"/>
        </w:rPr>
        <w:t>（一）出现以下情况，产品管理人有权延缓支付赎回款</w:t>
      </w:r>
      <w:r>
        <w:rPr>
          <w:rFonts w:ascii="仿宋_GB2312" w:eastAsia="仿宋_GB2312" w:hAnsi="方正仿宋_GBK" w:cs="方正仿宋_GBK" w:hint="eastAsia"/>
          <w:bCs/>
          <w:color w:val="000000"/>
          <w:kern w:val="0"/>
          <w:sz w:val="24"/>
          <w:szCs w:val="24"/>
        </w:rPr>
        <w:t>项：</w:t>
      </w:r>
    </w:p>
    <w:p w14:paraId="296B6983"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1.</w:t>
      </w:r>
      <w:r>
        <w:rPr>
          <w:rFonts w:ascii="仿宋_GB2312" w:eastAsia="仿宋_GB2312" w:hAnsi="方正仿宋_GBK" w:cs="方正仿宋_GBK"/>
          <w:bCs/>
          <w:color w:val="000000"/>
          <w:kern w:val="0"/>
          <w:sz w:val="24"/>
          <w:szCs w:val="24"/>
        </w:rPr>
        <w:t>产品赎回确认遇非工作日顺延至下一工作日，投资者清算资金兑付将相应调整；</w:t>
      </w:r>
    </w:p>
    <w:p w14:paraId="18BB7EDD"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2.</w:t>
      </w:r>
      <w:r>
        <w:rPr>
          <w:rFonts w:ascii="仿宋_GB2312" w:eastAsia="仿宋_GB2312" w:hAnsi="方正仿宋_GBK" w:cs="方正仿宋_GBK"/>
          <w:bCs/>
          <w:color w:val="000000"/>
          <w:kern w:val="0"/>
          <w:sz w:val="24"/>
          <w:szCs w:val="24"/>
        </w:rPr>
        <w:t>因市场成交量不足、资产限制赎回、暂停交易、缺乏意愿交易对手等原因，导致产品项下对应的投资标的无法及时变现；</w:t>
      </w:r>
    </w:p>
    <w:p w14:paraId="6BFEA792"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3.</w:t>
      </w:r>
      <w:r>
        <w:rPr>
          <w:rFonts w:ascii="仿宋_GB2312" w:eastAsia="仿宋_GB2312" w:hAnsi="方正仿宋_GBK" w:cs="方正仿宋_GBK"/>
          <w:bCs/>
          <w:color w:val="000000"/>
          <w:kern w:val="0"/>
          <w:sz w:val="24"/>
          <w:szCs w:val="24"/>
        </w:rPr>
        <w:t>因资金在途等原因，导致未能及时收回资金；</w:t>
      </w:r>
    </w:p>
    <w:p w14:paraId="236F6A3A"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4.</w:t>
      </w:r>
      <w:r>
        <w:rPr>
          <w:rFonts w:ascii="仿宋_GB2312" w:eastAsia="仿宋_GB2312" w:hAnsi="方正仿宋_GBK" w:cs="方正仿宋_GBK"/>
          <w:bCs/>
          <w:color w:val="000000"/>
          <w:kern w:val="0"/>
          <w:sz w:val="24"/>
          <w:szCs w:val="24"/>
        </w:rPr>
        <w:t>因不可抗力等原因，导致产品管理人接受赎回申请后无法兑付；</w:t>
      </w:r>
    </w:p>
    <w:p w14:paraId="044AF2FD"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5.</w:t>
      </w:r>
      <w:r>
        <w:rPr>
          <w:rFonts w:ascii="仿宋_GB2312" w:eastAsia="仿宋_GB2312" w:hAnsi="方正仿宋_GBK" w:cs="方正仿宋_GBK"/>
          <w:bCs/>
          <w:color w:val="000000"/>
          <w:kern w:val="0"/>
          <w:sz w:val="24"/>
          <w:szCs w:val="24"/>
        </w:rPr>
        <w:t>发生暂停理财产品估值情况时；</w:t>
      </w:r>
    </w:p>
    <w:p w14:paraId="4A588510"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6.</w:t>
      </w:r>
      <w:r>
        <w:rPr>
          <w:rFonts w:ascii="仿宋_GB2312" w:eastAsia="仿宋_GB2312" w:hAnsi="方正仿宋_GBK" w:cs="方正仿宋_GBK"/>
          <w:bCs/>
          <w:color w:val="000000"/>
          <w:kern w:val="0"/>
          <w:sz w:val="24"/>
          <w:szCs w:val="24"/>
        </w:rPr>
        <w:t>本理财产品连续</w:t>
      </w:r>
      <w:r>
        <w:rPr>
          <w:rFonts w:ascii="仿宋_GB2312" w:eastAsia="仿宋_GB2312" w:hAnsi="方正仿宋_GBK" w:cs="方正仿宋_GBK"/>
          <w:bCs/>
          <w:color w:val="000000"/>
          <w:kern w:val="0"/>
          <w:sz w:val="24"/>
          <w:szCs w:val="24"/>
        </w:rPr>
        <w:t>2</w:t>
      </w:r>
      <w:r>
        <w:rPr>
          <w:rFonts w:ascii="仿宋_GB2312" w:eastAsia="仿宋_GB2312" w:hAnsi="方正仿宋_GBK" w:cs="方正仿宋_GBK"/>
          <w:bCs/>
          <w:color w:val="000000"/>
          <w:kern w:val="0"/>
          <w:sz w:val="24"/>
          <w:szCs w:val="24"/>
        </w:rPr>
        <w:t>个以上开放日发生大额赎回的，对于已经接受的投资者赎回申请，管理人可以延缓支付赎回款项，延缓期限不超过</w:t>
      </w:r>
      <w:r>
        <w:rPr>
          <w:rFonts w:ascii="仿宋_GB2312" w:eastAsia="仿宋_GB2312" w:hAnsi="方正仿宋_GBK" w:cs="方正仿宋_GBK"/>
          <w:bCs/>
          <w:color w:val="000000"/>
          <w:kern w:val="0"/>
          <w:sz w:val="24"/>
          <w:szCs w:val="24"/>
        </w:rPr>
        <w:t>20</w:t>
      </w:r>
      <w:r>
        <w:rPr>
          <w:rFonts w:ascii="仿宋_GB2312" w:eastAsia="仿宋_GB2312" w:hAnsi="方正仿宋_GBK" w:cs="方正仿宋_GBK"/>
          <w:bCs/>
          <w:color w:val="000000"/>
          <w:kern w:val="0"/>
          <w:sz w:val="24"/>
          <w:szCs w:val="24"/>
        </w:rPr>
        <w:t>个</w:t>
      </w:r>
      <w:r>
        <w:rPr>
          <w:rFonts w:ascii="仿宋_GB2312" w:eastAsia="仿宋_GB2312" w:hAnsi="方正仿宋_GBK" w:cs="方正仿宋_GBK" w:hint="eastAsia"/>
          <w:bCs/>
          <w:color w:val="000000"/>
          <w:kern w:val="0"/>
          <w:sz w:val="24"/>
          <w:szCs w:val="24"/>
        </w:rPr>
        <w:t>工作日；</w:t>
      </w:r>
    </w:p>
    <w:p w14:paraId="40F596A5"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7.</w:t>
      </w:r>
      <w:r>
        <w:rPr>
          <w:rFonts w:ascii="仿宋_GB2312" w:eastAsia="仿宋_GB2312" w:hAnsi="方正仿宋_GBK" w:cs="方正仿宋_GBK"/>
          <w:bCs/>
          <w:color w:val="000000"/>
          <w:kern w:val="0"/>
          <w:sz w:val="24"/>
          <w:szCs w:val="24"/>
        </w:rPr>
        <w:t>其他产品管理人认为需要延缓支付赎回款</w:t>
      </w:r>
      <w:r>
        <w:rPr>
          <w:rFonts w:ascii="仿宋_GB2312" w:eastAsia="仿宋_GB2312" w:hAnsi="方正仿宋_GBK" w:cs="方正仿宋_GBK"/>
          <w:bCs/>
          <w:color w:val="000000"/>
          <w:kern w:val="0"/>
          <w:sz w:val="24"/>
          <w:szCs w:val="24"/>
        </w:rPr>
        <w:t>项的情形。</w:t>
      </w:r>
    </w:p>
    <w:p w14:paraId="28A11DFF" w14:textId="77777777" w:rsidR="003E7F78" w:rsidRDefault="00741AB5">
      <w:pPr>
        <w:autoSpaceDE w:val="0"/>
        <w:autoSpaceDN w:val="0"/>
        <w:adjustRightInd w:val="0"/>
        <w:spacing w:line="360" w:lineRule="auto"/>
        <w:ind w:firstLineChars="200" w:firstLine="480"/>
        <w:rPr>
          <w:rFonts w:ascii="仿宋_GB2312" w:eastAsia="仿宋_GB2312" w:hAnsi="宋体" w:cs="Arial"/>
          <w:bCs/>
          <w:color w:val="000000"/>
          <w:kern w:val="0"/>
          <w:sz w:val="24"/>
          <w:szCs w:val="24"/>
        </w:rPr>
      </w:pPr>
      <w:r>
        <w:rPr>
          <w:rFonts w:ascii="仿宋_GB2312" w:eastAsia="仿宋_GB2312" w:hAnsi="方正仿宋_GBK" w:cs="方正仿宋_GBK" w:hint="eastAsia"/>
          <w:bCs/>
          <w:color w:val="000000"/>
          <w:kern w:val="0"/>
          <w:sz w:val="24"/>
          <w:szCs w:val="24"/>
        </w:rPr>
        <w:t>（二）产品管理人宣布延缓支付赎回款项的，应根据本理财产品合同信息披露约定进行公告。</w:t>
      </w:r>
    </w:p>
    <w:p w14:paraId="4808823F" w14:textId="77777777" w:rsidR="003E7F78" w:rsidRDefault="00741AB5">
      <w:pPr>
        <w:snapToGrid w:val="0"/>
        <w:spacing w:beforeLines="50" w:before="156" w:line="360" w:lineRule="auto"/>
        <w:ind w:firstLineChars="200" w:firstLine="482"/>
        <w:outlineLvl w:val="2"/>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十一、信息披露</w:t>
      </w:r>
    </w:p>
    <w:p w14:paraId="09799716" w14:textId="77777777" w:rsidR="003E7F78" w:rsidRDefault="00741AB5">
      <w:pPr>
        <w:spacing w:line="360" w:lineRule="auto"/>
        <w:ind w:firstLineChars="200" w:firstLine="480"/>
        <w:jc w:val="left"/>
        <w:rPr>
          <w:rFonts w:ascii="仿宋_GB2312" w:eastAsia="仿宋_GB2312"/>
          <w:sz w:val="24"/>
          <w:szCs w:val="24"/>
        </w:rPr>
      </w:pPr>
      <w:r>
        <w:rPr>
          <w:rFonts w:ascii="仿宋_GB2312" w:eastAsia="仿宋_GB2312" w:hint="eastAsia"/>
          <w:color w:val="000000"/>
          <w:sz w:val="24"/>
          <w:szCs w:val="24"/>
        </w:rPr>
        <w:t>（一）信息公告</w:t>
      </w:r>
    </w:p>
    <w:p w14:paraId="18A5E58F" w14:textId="77777777" w:rsidR="003E7F78" w:rsidRDefault="00741AB5">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sz w:val="24"/>
          <w:szCs w:val="24"/>
        </w:rPr>
        <w:t>1.</w:t>
      </w:r>
      <w:r>
        <w:rPr>
          <w:rFonts w:ascii="仿宋_GB2312" w:eastAsia="仿宋_GB2312" w:hAnsi="宋体" w:hint="eastAsia"/>
          <w:sz w:val="24"/>
          <w:szCs w:val="24"/>
        </w:rPr>
        <w:t>产品管理人将严格按照相关法律法规、规章、监管规定和理财产品合同的约定履行信息披露义务，并主动向投资者披露理财产品的募集信息、资金投向、杠杆水平、收益分配、托管安排、投资账户信息、主要投资风险、关联交易等事项。</w:t>
      </w:r>
    </w:p>
    <w:p w14:paraId="2F646C20" w14:textId="77777777" w:rsidR="003E7F78" w:rsidRDefault="00741AB5">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本产品管理人涉及的</w:t>
      </w:r>
      <w:r>
        <w:rPr>
          <w:rFonts w:ascii="仿宋_GB2312" w:eastAsia="仿宋_GB2312" w:hAnsi="宋体" w:hint="eastAsia"/>
          <w:color w:val="333333"/>
          <w:sz w:val="24"/>
          <w:szCs w:val="24"/>
        </w:rPr>
        <w:t>关联方包括但不限于</w:t>
      </w:r>
      <w:r>
        <w:rPr>
          <w:rFonts w:ascii="仿宋_GB2312" w:eastAsia="仿宋_GB2312" w:hAnsi="宋体" w:hint="eastAsia"/>
          <w:sz w:val="24"/>
          <w:szCs w:val="24"/>
        </w:rPr>
        <w:t>：中华人民共和国财政部、香港上海汇丰银行有限公司、交通银行股份有限公司</w:t>
      </w:r>
      <w:r>
        <w:rPr>
          <w:rFonts w:ascii="仿宋_GB2312" w:eastAsia="仿宋_GB2312" w:hAnsi="宋体"/>
          <w:sz w:val="24"/>
          <w:szCs w:val="24"/>
        </w:rPr>
        <w:t>、</w:t>
      </w:r>
      <w:r>
        <w:rPr>
          <w:rFonts w:ascii="仿宋_GB2312" w:eastAsia="仿宋_GB2312" w:hAnsi="宋体" w:cs="Arial" w:hint="eastAsia"/>
          <w:sz w:val="24"/>
          <w:szCs w:val="24"/>
        </w:rPr>
        <w:t>交银金融资产投资有限公司、交银金融租赁有限责任公司、交银国际信托有限公司、交银人寿保险有限公司、中国交银保险有限公司、交银施罗德基金管理有限公司、交银施罗德资产管理有限公司、浙江安吉交银村镇银行</w:t>
      </w:r>
      <w:r>
        <w:rPr>
          <w:rFonts w:ascii="仿宋_GB2312" w:eastAsia="仿宋_GB2312" w:hAnsi="宋体" w:cs="Arial" w:hint="eastAsia"/>
          <w:sz w:val="24"/>
          <w:szCs w:val="24"/>
        </w:rPr>
        <w:t>股份有限公司、青岛崂山交银村镇银行股份有限公司、新疆石河子交银村镇银行股份有限公司、大邑交银兴民村镇银行有限责任公司、交通银行</w:t>
      </w:r>
      <w:r>
        <w:rPr>
          <w:rFonts w:ascii="仿宋_GB2312" w:eastAsia="仿宋_GB2312" w:hAnsi="宋体" w:cs="Arial" w:hint="eastAsia"/>
          <w:sz w:val="24"/>
          <w:szCs w:val="24"/>
        </w:rPr>
        <w:t>(</w:t>
      </w:r>
      <w:r>
        <w:rPr>
          <w:rFonts w:ascii="仿宋_GB2312" w:eastAsia="仿宋_GB2312" w:hAnsi="宋体" w:cs="Arial" w:hint="eastAsia"/>
          <w:sz w:val="24"/>
          <w:szCs w:val="24"/>
        </w:rPr>
        <w:t>卢森堡</w:t>
      </w:r>
      <w:r>
        <w:rPr>
          <w:rFonts w:ascii="仿宋_GB2312" w:eastAsia="仿宋_GB2312" w:hAnsi="宋体" w:cs="Arial" w:hint="eastAsia"/>
          <w:sz w:val="24"/>
          <w:szCs w:val="24"/>
        </w:rPr>
        <w:t>)</w:t>
      </w:r>
      <w:r>
        <w:rPr>
          <w:rFonts w:ascii="仿宋_GB2312" w:eastAsia="仿宋_GB2312" w:hAnsi="宋体" w:cs="Arial" w:hint="eastAsia"/>
          <w:sz w:val="24"/>
          <w:szCs w:val="24"/>
        </w:rPr>
        <w:t>有限公司、交银国际控股有限公司、交通银行</w:t>
      </w:r>
      <w:r>
        <w:rPr>
          <w:rFonts w:ascii="仿宋_GB2312" w:eastAsia="仿宋_GB2312" w:hAnsi="宋体" w:cs="Arial" w:hint="eastAsia"/>
          <w:sz w:val="24"/>
          <w:szCs w:val="24"/>
        </w:rPr>
        <w:t>(</w:t>
      </w:r>
      <w:r>
        <w:rPr>
          <w:rFonts w:ascii="仿宋_GB2312" w:eastAsia="仿宋_GB2312" w:hAnsi="宋体" w:cs="Arial" w:hint="eastAsia"/>
          <w:sz w:val="24"/>
          <w:szCs w:val="24"/>
        </w:rPr>
        <w:t>香港</w:t>
      </w:r>
      <w:r>
        <w:rPr>
          <w:rFonts w:ascii="仿宋_GB2312" w:eastAsia="仿宋_GB2312" w:hAnsi="宋体" w:cs="Arial" w:hint="eastAsia"/>
          <w:sz w:val="24"/>
          <w:szCs w:val="24"/>
        </w:rPr>
        <w:t>)</w:t>
      </w:r>
      <w:r>
        <w:rPr>
          <w:rFonts w:ascii="仿宋_GB2312" w:eastAsia="仿宋_GB2312" w:hAnsi="宋体" w:cs="Arial" w:hint="eastAsia"/>
          <w:sz w:val="24"/>
          <w:szCs w:val="24"/>
        </w:rPr>
        <w:t>有限公司</w:t>
      </w:r>
      <w:r>
        <w:rPr>
          <w:rFonts w:ascii="仿宋_GB2312" w:eastAsia="仿宋_GB2312" w:hAnsi="宋体" w:hint="eastAsia"/>
          <w:sz w:val="24"/>
          <w:szCs w:val="24"/>
        </w:rPr>
        <w:t>等</w:t>
      </w:r>
      <w:r>
        <w:rPr>
          <w:rFonts w:ascii="仿宋_GB2312" w:eastAsia="仿宋_GB2312" w:hAnsi="宋体"/>
          <w:sz w:val="24"/>
          <w:szCs w:val="24"/>
        </w:rPr>
        <w:t>。</w:t>
      </w:r>
    </w:p>
    <w:p w14:paraId="3A94E4E9" w14:textId="77777777" w:rsidR="003E7F78" w:rsidRDefault="00741AB5">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本产品可能涉及的关联交易类型包括但不限于：投资于产品管理人或托管机构的主要股东、实际控制人、一致行动人、最终受益人，托管机构，同一股东或托管机构控股的机构，或者与产品管理人或托管机构有重大利害关系的机构以及</w:t>
      </w:r>
      <w:r>
        <w:rPr>
          <w:rFonts w:ascii="仿宋_GB2312" w:eastAsia="仿宋_GB2312" w:hint="eastAsia"/>
          <w:sz w:val="24"/>
          <w:szCs w:val="24"/>
        </w:rPr>
        <w:t>国家金融监督管理总局</w:t>
      </w:r>
      <w:r>
        <w:rPr>
          <w:rFonts w:ascii="仿宋_GB2312" w:eastAsia="仿宋_GB2312" w:hAnsi="宋体" w:hint="eastAsia"/>
          <w:sz w:val="24"/>
          <w:szCs w:val="24"/>
        </w:rPr>
        <w:t>关于关联交易管理相关规定中涉及的其他关联方发行或承销的证券、发行的资产管理产品，以及与关</w:t>
      </w:r>
      <w:r>
        <w:rPr>
          <w:rFonts w:ascii="仿宋_GB2312" w:eastAsia="仿宋_GB2312" w:hAnsi="宋体" w:hint="eastAsia"/>
          <w:sz w:val="24"/>
          <w:szCs w:val="24"/>
        </w:rPr>
        <w:t>联方之间开展的资金融通、存款、债券借贷、委托管理、金融产品投资等。</w:t>
      </w:r>
    </w:p>
    <w:p w14:paraId="7D1E9DF3" w14:textId="77777777" w:rsidR="003E7F78" w:rsidRDefault="00741AB5">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上述关于关联方和关联交易类型的列举仅为向投资者进行说明，并非已包括全部关联方及本产品可能发生的全部关联交易。本产品实际发生的关联交易（无论是否在上述列举范围内）以产品管理人按照相关法律法规、规章和监管规定进行的相关披露为准。</w:t>
      </w:r>
    </w:p>
    <w:p w14:paraId="1A9E7548"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信息披露内容</w:t>
      </w:r>
    </w:p>
    <w:p w14:paraId="4C060453"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投资者可以从理财产品销售文件和产品信息公告中获取产品相关信息。产品信息公告包括发行公告、重大事项公告、定期报告、到期公告和临时公告等。</w:t>
      </w:r>
    </w:p>
    <w:p w14:paraId="1DE0D4B2"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3.</w:t>
      </w:r>
      <w:r>
        <w:rPr>
          <w:rFonts w:ascii="仿宋_GB2312" w:eastAsia="仿宋_GB2312" w:hint="eastAsia"/>
          <w:bCs/>
          <w:sz w:val="24"/>
          <w:szCs w:val="24"/>
        </w:rPr>
        <w:t>信息披露频率和时间</w:t>
      </w:r>
    </w:p>
    <w:p w14:paraId="554C83C2" w14:textId="77777777" w:rsidR="003E7F78" w:rsidRDefault="00741AB5">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1</w:t>
      </w:r>
      <w:r>
        <w:rPr>
          <w:rFonts w:ascii="仿宋_GB2312" w:eastAsia="仿宋_GB2312" w:hint="eastAsia"/>
          <w:bCs/>
          <w:sz w:val="24"/>
          <w:szCs w:val="24"/>
        </w:rPr>
        <w:t>）产品发行公告</w:t>
      </w:r>
    </w:p>
    <w:p w14:paraId="7367942C"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产品管理人将在本理财产品成立后</w:t>
      </w:r>
      <w:r>
        <w:rPr>
          <w:rFonts w:ascii="仿宋_GB2312" w:eastAsia="仿宋_GB2312" w:hint="eastAsia"/>
          <w:bCs/>
          <w:sz w:val="24"/>
          <w:szCs w:val="24"/>
        </w:rPr>
        <w:t>5</w:t>
      </w:r>
      <w:r>
        <w:rPr>
          <w:rFonts w:ascii="仿宋_GB2312" w:eastAsia="仿宋_GB2312" w:hint="eastAsia"/>
          <w:bCs/>
          <w:sz w:val="24"/>
          <w:szCs w:val="24"/>
        </w:rPr>
        <w:t>个工作日内披露产品发行公告。</w:t>
      </w:r>
    </w:p>
    <w:p w14:paraId="67AC4EFF" w14:textId="77777777" w:rsidR="003E7F78" w:rsidRDefault="00741AB5">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2</w:t>
      </w:r>
      <w:r>
        <w:rPr>
          <w:rFonts w:ascii="仿宋_GB2312" w:eastAsia="仿宋_GB2312" w:hint="eastAsia"/>
          <w:bCs/>
          <w:sz w:val="24"/>
          <w:szCs w:val="24"/>
        </w:rPr>
        <w:t>）重大事项公告</w:t>
      </w:r>
    </w:p>
    <w:p w14:paraId="585F85F2"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产品管理人将在发生可能对本理财产品投资者或者理财产品收益产生重大影响的事件后</w:t>
      </w:r>
      <w:r>
        <w:rPr>
          <w:rFonts w:ascii="仿宋_GB2312" w:eastAsia="仿宋_GB2312" w:hint="eastAsia"/>
          <w:bCs/>
          <w:sz w:val="24"/>
          <w:szCs w:val="24"/>
        </w:rPr>
        <w:t>2</w:t>
      </w:r>
      <w:r>
        <w:rPr>
          <w:rFonts w:ascii="仿宋_GB2312" w:eastAsia="仿宋_GB2312" w:hint="eastAsia"/>
          <w:bCs/>
          <w:sz w:val="24"/>
          <w:szCs w:val="24"/>
        </w:rPr>
        <w:t>个工作日内披露重大事项公告。</w:t>
      </w:r>
    </w:p>
    <w:p w14:paraId="63A271AC" w14:textId="77777777" w:rsidR="003E7F78" w:rsidRDefault="00741AB5">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3</w:t>
      </w:r>
      <w:r>
        <w:rPr>
          <w:rFonts w:ascii="仿宋_GB2312" w:eastAsia="仿宋_GB2312" w:hint="eastAsia"/>
          <w:bCs/>
          <w:sz w:val="24"/>
          <w:szCs w:val="24"/>
        </w:rPr>
        <w:t>）定期报告</w:t>
      </w:r>
    </w:p>
    <w:p w14:paraId="69EFCEBD"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产品管理人将在每个季度结束之日起</w:t>
      </w:r>
      <w:r>
        <w:rPr>
          <w:rFonts w:ascii="仿宋_GB2312" w:eastAsia="仿宋_GB2312" w:hint="eastAsia"/>
          <w:bCs/>
          <w:sz w:val="24"/>
          <w:szCs w:val="24"/>
        </w:rPr>
        <w:t>15</w:t>
      </w:r>
      <w:r>
        <w:rPr>
          <w:rFonts w:ascii="仿宋_GB2312" w:eastAsia="仿宋_GB2312" w:hint="eastAsia"/>
          <w:bCs/>
          <w:sz w:val="24"/>
          <w:szCs w:val="24"/>
        </w:rPr>
        <w:t>个工作日内、上半年结束之日起</w:t>
      </w:r>
      <w:r>
        <w:rPr>
          <w:rFonts w:ascii="仿宋_GB2312" w:eastAsia="仿宋_GB2312" w:hint="eastAsia"/>
          <w:bCs/>
          <w:sz w:val="24"/>
          <w:szCs w:val="24"/>
        </w:rPr>
        <w:t>60</w:t>
      </w:r>
      <w:r>
        <w:rPr>
          <w:rFonts w:ascii="仿宋_GB2312" w:eastAsia="仿宋_GB2312" w:hint="eastAsia"/>
          <w:bCs/>
          <w:sz w:val="24"/>
          <w:szCs w:val="24"/>
        </w:rPr>
        <w:t>个工作日内、每年结束之日起</w:t>
      </w:r>
      <w:r>
        <w:rPr>
          <w:rFonts w:ascii="仿宋_GB2312" w:eastAsia="仿宋_GB2312" w:hint="eastAsia"/>
          <w:bCs/>
          <w:sz w:val="24"/>
          <w:szCs w:val="24"/>
        </w:rPr>
        <w:t>90</w:t>
      </w:r>
      <w:r>
        <w:rPr>
          <w:rFonts w:ascii="仿宋_GB2312" w:eastAsia="仿宋_GB2312" w:hint="eastAsia"/>
          <w:bCs/>
          <w:sz w:val="24"/>
          <w:szCs w:val="24"/>
        </w:rPr>
        <w:t>个工作日内披露本理财产品的季</w:t>
      </w:r>
      <w:r>
        <w:rPr>
          <w:rFonts w:ascii="仿宋_GB2312" w:eastAsia="仿宋_GB2312" w:hint="eastAsia"/>
          <w:bCs/>
          <w:sz w:val="24"/>
          <w:szCs w:val="24"/>
        </w:rPr>
        <w:t>度、半年和年度报告，如果本理财产品成立不足</w:t>
      </w:r>
      <w:r>
        <w:rPr>
          <w:rFonts w:ascii="仿宋_GB2312" w:eastAsia="仿宋_GB2312" w:hint="eastAsia"/>
          <w:bCs/>
          <w:sz w:val="24"/>
          <w:szCs w:val="24"/>
        </w:rPr>
        <w:t>90</w:t>
      </w:r>
      <w:r>
        <w:rPr>
          <w:rFonts w:ascii="仿宋_GB2312" w:eastAsia="仿宋_GB2312" w:hint="eastAsia"/>
          <w:bCs/>
          <w:sz w:val="24"/>
          <w:szCs w:val="24"/>
        </w:rPr>
        <w:t>个工作日或者剩余存续期不超过</w:t>
      </w:r>
      <w:r>
        <w:rPr>
          <w:rFonts w:ascii="仿宋_GB2312" w:eastAsia="仿宋_GB2312" w:hint="eastAsia"/>
          <w:bCs/>
          <w:sz w:val="24"/>
          <w:szCs w:val="24"/>
        </w:rPr>
        <w:t>90</w:t>
      </w:r>
      <w:r>
        <w:rPr>
          <w:rFonts w:ascii="仿宋_GB2312" w:eastAsia="仿宋_GB2312" w:hint="eastAsia"/>
          <w:bCs/>
          <w:sz w:val="24"/>
          <w:szCs w:val="24"/>
        </w:rPr>
        <w:t>个工作日的，产品管理人可以不编制产品当期的季度、半年和年度报告。</w:t>
      </w:r>
    </w:p>
    <w:p w14:paraId="2FDB2125" w14:textId="77777777" w:rsidR="003E7F78" w:rsidRDefault="00741AB5">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4</w:t>
      </w:r>
      <w:r>
        <w:rPr>
          <w:rFonts w:ascii="仿宋_GB2312" w:eastAsia="仿宋_GB2312" w:hint="eastAsia"/>
          <w:bCs/>
          <w:sz w:val="24"/>
          <w:szCs w:val="24"/>
        </w:rPr>
        <w:t>）到期公告</w:t>
      </w:r>
    </w:p>
    <w:p w14:paraId="04936548"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产品管理人将在本理财产品终止后</w:t>
      </w:r>
      <w:r>
        <w:rPr>
          <w:rFonts w:ascii="仿宋_GB2312" w:eastAsia="仿宋_GB2312" w:hint="eastAsia"/>
          <w:bCs/>
          <w:sz w:val="24"/>
          <w:szCs w:val="24"/>
        </w:rPr>
        <w:t>5</w:t>
      </w:r>
      <w:r>
        <w:rPr>
          <w:rFonts w:ascii="仿宋_GB2312" w:eastAsia="仿宋_GB2312" w:hint="eastAsia"/>
          <w:bCs/>
          <w:sz w:val="24"/>
          <w:szCs w:val="24"/>
        </w:rPr>
        <w:t>个工作日内披露产品到期公告。</w:t>
      </w:r>
    </w:p>
    <w:p w14:paraId="25A130A8" w14:textId="77777777" w:rsidR="003E7F78" w:rsidRDefault="00741AB5">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5</w:t>
      </w:r>
      <w:r>
        <w:rPr>
          <w:rFonts w:ascii="仿宋_GB2312" w:eastAsia="仿宋_GB2312" w:hint="eastAsia"/>
          <w:bCs/>
          <w:sz w:val="24"/>
          <w:szCs w:val="24"/>
        </w:rPr>
        <w:t>）临时公告</w:t>
      </w:r>
    </w:p>
    <w:p w14:paraId="33D46B08" w14:textId="77777777" w:rsidR="003E7F78" w:rsidRDefault="00741AB5">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理财产品在运作管理过程中，发生可能对理财产品持有人权益产生影响的事项、涉及理财产品认</w:t>
      </w:r>
      <w:r>
        <w:rPr>
          <w:rFonts w:ascii="仿宋_GB2312" w:eastAsia="仿宋_GB2312" w:hint="eastAsia"/>
          <w:bCs/>
          <w:sz w:val="24"/>
          <w:szCs w:val="24"/>
        </w:rPr>
        <w:t>/</w:t>
      </w:r>
      <w:r>
        <w:rPr>
          <w:rFonts w:ascii="仿宋_GB2312" w:eastAsia="仿宋_GB2312" w:hint="eastAsia"/>
          <w:bCs/>
          <w:sz w:val="24"/>
          <w:szCs w:val="24"/>
        </w:rPr>
        <w:t>申购、赎回事项调整或潜在影响投资者赎回等事项时，产品管理人将根据法律法规规定及时进行临时信息披露。</w:t>
      </w:r>
    </w:p>
    <w:p w14:paraId="771AEF1D" w14:textId="77777777" w:rsidR="003E7F78" w:rsidRDefault="00741AB5">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在运用暂停认</w:t>
      </w:r>
      <w:r>
        <w:rPr>
          <w:rFonts w:ascii="仿宋_GB2312" w:eastAsia="仿宋_GB2312" w:hint="eastAsia"/>
          <w:bCs/>
          <w:sz w:val="24"/>
          <w:szCs w:val="24"/>
        </w:rPr>
        <w:t>/</w:t>
      </w:r>
      <w:r>
        <w:rPr>
          <w:rFonts w:ascii="仿宋_GB2312" w:eastAsia="仿宋_GB2312" w:hint="eastAsia"/>
          <w:bCs/>
          <w:sz w:val="24"/>
          <w:szCs w:val="24"/>
        </w:rPr>
        <w:t>申购、延期办理大额赎回申请、暂停接受赎回申请、延缓支付赎回款项、暂停估值等</w:t>
      </w:r>
      <w:r>
        <w:rPr>
          <w:rFonts w:ascii="仿宋_GB2312" w:eastAsia="仿宋_GB2312" w:hint="eastAsia"/>
          <w:bCs/>
          <w:sz w:val="24"/>
          <w:szCs w:val="24"/>
        </w:rPr>
        <w:t>措施后，管理人应当通过本理财产品说明书约定的信息披露方式在</w:t>
      </w:r>
      <w:r>
        <w:rPr>
          <w:rFonts w:ascii="仿宋_GB2312" w:eastAsia="仿宋_GB2312" w:hint="eastAsia"/>
          <w:bCs/>
          <w:sz w:val="24"/>
          <w:szCs w:val="24"/>
        </w:rPr>
        <w:t>3</w:t>
      </w:r>
      <w:r>
        <w:rPr>
          <w:rFonts w:ascii="仿宋_GB2312" w:eastAsia="仿宋_GB2312" w:hint="eastAsia"/>
          <w:bCs/>
          <w:sz w:val="24"/>
          <w:szCs w:val="24"/>
        </w:rPr>
        <w:t>个交易日内告知该理财产品的投资者，并说明运用相关措施的原因、拟采取的应对安排等。</w:t>
      </w:r>
    </w:p>
    <w:p w14:paraId="5F542A3D" w14:textId="77777777" w:rsidR="003E7F78" w:rsidRDefault="00741AB5">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4.</w:t>
      </w:r>
      <w:r>
        <w:rPr>
          <w:rFonts w:ascii="仿宋_GB2312" w:eastAsia="仿宋_GB2312" w:hint="eastAsia"/>
          <w:bCs/>
          <w:sz w:val="24"/>
          <w:szCs w:val="24"/>
        </w:rPr>
        <w:t>信息披露渠道</w:t>
      </w:r>
    </w:p>
    <w:p w14:paraId="3AE545FE" w14:textId="77777777" w:rsidR="003E7F78" w:rsidRDefault="00741AB5">
      <w:pPr>
        <w:autoSpaceDE w:val="0"/>
        <w:autoSpaceDN w:val="0"/>
        <w:adjustRightInd w:val="0"/>
        <w:spacing w:line="360" w:lineRule="auto"/>
        <w:ind w:firstLineChars="200" w:firstLine="480"/>
        <w:rPr>
          <w:rFonts w:ascii="仿宋_GB2312" w:eastAsia="仿宋_GB2312"/>
          <w:sz w:val="24"/>
          <w:szCs w:val="24"/>
        </w:rPr>
      </w:pPr>
      <w:r>
        <w:rPr>
          <w:rFonts w:ascii="仿宋_GB2312" w:eastAsia="仿宋_GB2312" w:hint="eastAsia"/>
          <w:bCs/>
          <w:sz w:val="24"/>
          <w:szCs w:val="24"/>
        </w:rPr>
        <w:t>本产品的信息披露渠道为</w:t>
      </w:r>
      <w:r>
        <w:rPr>
          <w:rFonts w:ascii="仿宋_GB2312" w:eastAsia="仿宋_GB2312" w:hint="eastAsia"/>
          <w:sz w:val="24"/>
          <w:szCs w:val="24"/>
        </w:rPr>
        <w:t>代销机构网站或管理人网站</w:t>
      </w:r>
      <w:r>
        <w:rPr>
          <w:rFonts w:ascii="仿宋_GB2312" w:eastAsia="仿宋_GB2312" w:hint="eastAsia"/>
          <w:bCs/>
          <w:sz w:val="24"/>
          <w:szCs w:val="24"/>
        </w:rPr>
        <w:t>，投资者可通过上述渠道查询产品相关信息。相关信息自公告之日即视为已送达投资者。管理人通过管理人网站发布相关信息即视为管理人向投资者进行了信息披露。</w:t>
      </w:r>
      <w:r>
        <w:rPr>
          <w:rFonts w:ascii="仿宋_GB2312" w:eastAsia="仿宋_GB2312" w:hint="eastAsia"/>
          <w:sz w:val="24"/>
          <w:szCs w:val="24"/>
        </w:rPr>
        <w:t>代销机构为投资者提供本产品相关账单信息。个人投资者可通过管理人指定的第三方渠道（具体详见交银理财门户网站重大事项公告）中的交银理财综合回单小程序查询所持有的理财产品账单，产品管理人按月提供产品存续期内相关账单信息。机构投资者可直接向管理人或销售机构查询理财产品账单，产品管理人按月提供产品存续期内相关账单信息。</w:t>
      </w:r>
      <w:r>
        <w:rPr>
          <w:rFonts w:ascii="仿宋_GB2312" w:eastAsia="仿宋_GB2312" w:hAnsi="宋体" w:hint="eastAsia"/>
          <w:b/>
          <w:sz w:val="24"/>
          <w:szCs w:val="24"/>
        </w:rPr>
        <w:t>▲▲</w:t>
      </w:r>
      <w:r>
        <w:rPr>
          <w:rFonts w:ascii="仿宋_GB2312" w:eastAsia="仿宋_GB2312" w:hint="eastAsia"/>
          <w:b/>
          <w:sz w:val="24"/>
          <w:szCs w:val="24"/>
        </w:rPr>
        <w:t>如投资者未适时查询，或由于通讯故障、系统故障以及其他不可抗力等因素的影响使得投资者无法了解产品信息，并由此影响投资者的投资决策，因此而产生责任和风险由投资者自行承担。</w:t>
      </w:r>
    </w:p>
    <w:p w14:paraId="08BB0754" w14:textId="77777777" w:rsidR="003E7F78" w:rsidRDefault="00741AB5">
      <w:pPr>
        <w:autoSpaceDE w:val="0"/>
        <w:autoSpaceDN w:val="0"/>
        <w:adjustRightInd w:val="0"/>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5.</w:t>
      </w:r>
      <w:r>
        <w:rPr>
          <w:rFonts w:ascii="仿宋_GB2312" w:eastAsia="仿宋_GB2312" w:hint="eastAsia"/>
          <w:b/>
          <w:sz w:val="24"/>
          <w:szCs w:val="24"/>
        </w:rPr>
        <w:t>理财产品存续期间，产品</w:t>
      </w:r>
      <w:r>
        <w:rPr>
          <w:rFonts w:ascii="仿宋_GB2312" w:eastAsia="仿宋_GB2312" w:hint="eastAsia"/>
          <w:b/>
          <w:sz w:val="24"/>
          <w:szCs w:val="24"/>
        </w:rPr>
        <w:t>管理人若根据市场情况需调整投资范围、投资资产种类或投资比例的或需对已约定的收费项目、条件、标准和方式进行调整的，在不违反法律、法规、规章和监管规定的强制性规范的前提下，有权提前进行重大事项公告。此种情况下产品管理人将开放赎回，具体以重大事项公告为准。投资者不同意公告内容的，可在公告执行前按公告约定全部赎回本产品并解除本理财产品合同。若投资者在公告执行后继续持有本产品或办理本理财产品合同项下相关业务的，视同接受公告内容。</w:t>
      </w:r>
    </w:p>
    <w:p w14:paraId="0A14E421" w14:textId="77777777" w:rsidR="003E7F78" w:rsidRDefault="00741AB5">
      <w:pPr>
        <w:autoSpaceDE w:val="0"/>
        <w:autoSpaceDN w:val="0"/>
        <w:adjustRightInd w:val="0"/>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6.</w:t>
      </w:r>
      <w:r>
        <w:rPr>
          <w:rFonts w:ascii="仿宋_GB2312" w:eastAsia="仿宋_GB2312" w:hint="eastAsia"/>
          <w:b/>
          <w:sz w:val="24"/>
          <w:szCs w:val="24"/>
        </w:rPr>
        <w:t>理财产品存续期间，若因国家法律法规、监管规定发生变化，或出于维持本理财产品正常运</w:t>
      </w:r>
      <w:r>
        <w:rPr>
          <w:rFonts w:ascii="仿宋_GB2312" w:eastAsia="仿宋_GB2312" w:hint="eastAsia"/>
          <w:b/>
          <w:sz w:val="24"/>
          <w:szCs w:val="24"/>
        </w:rPr>
        <w:t>营的需要，在不损害投资者利益的前提下，产品管理人有权单方面对理财产品合同进行修订，并提前进行临时公告。投资者在此同意修订后的理财产品合同对投资者具有法律约束力。</w:t>
      </w:r>
    </w:p>
    <w:p w14:paraId="5E808BD2" w14:textId="77777777" w:rsidR="003E7F78" w:rsidRDefault="00741AB5">
      <w:pPr>
        <w:autoSpaceDE w:val="0"/>
        <w:autoSpaceDN w:val="0"/>
        <w:adjustRightInd w:val="0"/>
        <w:spacing w:line="360" w:lineRule="auto"/>
        <w:ind w:firstLineChars="200" w:firstLine="482"/>
        <w:rPr>
          <w:rFonts w:ascii="仿宋_GB2312" w:eastAsia="仿宋_GB2312" w:hAnsi="方正仿宋_GBK" w:cs="方正仿宋_GBK"/>
          <w:bCs/>
          <w:color w:val="000000"/>
          <w:kern w:val="0"/>
          <w:sz w:val="24"/>
          <w:szCs w:val="24"/>
        </w:rPr>
      </w:pPr>
      <w:r>
        <w:rPr>
          <w:rFonts w:ascii="仿宋_GB2312" w:eastAsia="仿宋_GB2312" w:hAnsi="宋体" w:hint="eastAsia"/>
          <w:b/>
          <w:sz w:val="24"/>
          <w:szCs w:val="24"/>
        </w:rPr>
        <w:t>▲▲</w:t>
      </w:r>
      <w:r>
        <w:rPr>
          <w:rFonts w:ascii="仿宋_GB2312" w:eastAsia="仿宋_GB2312" w:hAnsi="方正仿宋_GBK" w:cs="方正仿宋_GBK" w:hint="eastAsia"/>
          <w:bCs/>
          <w:color w:val="000000"/>
          <w:kern w:val="0"/>
          <w:sz w:val="24"/>
          <w:szCs w:val="24"/>
        </w:rPr>
        <w:t>（二）对于在本理财产品合同签订和履行过程中获取和知悉的投资者的未公开信息和资料，产品管理人对上述信息和资料的使用不得违反法律法规和监管要求，并依法承担保密责任，不得向第三方披露该等信息和资料，但下列情形除外：</w:t>
      </w:r>
    </w:p>
    <w:p w14:paraId="0480DC39"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1.</w:t>
      </w:r>
      <w:r>
        <w:rPr>
          <w:rFonts w:ascii="仿宋_GB2312" w:eastAsia="仿宋_GB2312" w:hAnsi="方正仿宋_GBK" w:cs="方正仿宋_GBK"/>
          <w:bCs/>
          <w:color w:val="000000"/>
          <w:kern w:val="0"/>
          <w:sz w:val="24"/>
          <w:szCs w:val="24"/>
        </w:rPr>
        <w:t>适用的法律法规、监管规定要求披露的；</w:t>
      </w:r>
    </w:p>
    <w:p w14:paraId="5E8D1D85"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2.</w:t>
      </w:r>
      <w:r>
        <w:rPr>
          <w:rFonts w:ascii="仿宋_GB2312" w:eastAsia="仿宋_GB2312" w:hAnsi="方正仿宋_GBK" w:cs="方正仿宋_GBK"/>
          <w:bCs/>
          <w:color w:val="000000"/>
          <w:kern w:val="0"/>
          <w:sz w:val="24"/>
          <w:szCs w:val="24"/>
        </w:rPr>
        <w:t>司法部门、监管机构、其他有权机关等依法要求披露的；</w:t>
      </w:r>
    </w:p>
    <w:p w14:paraId="66B2549A"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3.</w:t>
      </w:r>
      <w:r>
        <w:rPr>
          <w:rFonts w:ascii="仿宋_GB2312" w:eastAsia="仿宋_GB2312" w:hAnsi="方正仿宋_GBK" w:cs="方正仿宋_GBK"/>
          <w:bCs/>
          <w:color w:val="000000"/>
          <w:kern w:val="0"/>
          <w:sz w:val="24"/>
          <w:szCs w:val="24"/>
        </w:rPr>
        <w:t>产品管理人为履行本理财产品合同义务及行使理财产品合同项下权利需向代销机构、有权机关、外部专业顾问、理财投资合作机构以及其他产品管理人认为必要的合作机构披露或允许前述主体在保密的基础上使用的；</w:t>
      </w:r>
    </w:p>
    <w:p w14:paraId="62647741" w14:textId="77777777" w:rsidR="003E7F78" w:rsidRDefault="00741AB5">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4.</w:t>
      </w:r>
      <w:r>
        <w:rPr>
          <w:rFonts w:ascii="仿宋_GB2312" w:eastAsia="仿宋_GB2312" w:hAnsi="方正仿宋_GBK" w:cs="方正仿宋_GBK"/>
          <w:bCs/>
          <w:color w:val="000000"/>
          <w:kern w:val="0"/>
          <w:sz w:val="24"/>
          <w:szCs w:val="24"/>
        </w:rPr>
        <w:t>投资者另行明确同意或授权产品管理人进行披露的。</w:t>
      </w:r>
    </w:p>
    <w:p w14:paraId="433FD440" w14:textId="77777777" w:rsidR="003E7F78" w:rsidRDefault="00741AB5">
      <w:pPr>
        <w:autoSpaceDE w:val="0"/>
        <w:autoSpaceDN w:val="0"/>
        <w:adjustRightInd w:val="0"/>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宋体" w:hint="eastAsia"/>
          <w:b/>
          <w:sz w:val="24"/>
          <w:szCs w:val="24"/>
        </w:rPr>
        <w:t>▲▲</w:t>
      </w:r>
      <w:r>
        <w:rPr>
          <w:rFonts w:ascii="仿宋_GB2312" w:eastAsia="仿宋_GB2312" w:hAnsi="方正仿宋_GBK" w:cs="方正仿宋_GBK" w:hint="eastAsia"/>
          <w:b/>
          <w:color w:val="000000"/>
          <w:kern w:val="0"/>
          <w:sz w:val="24"/>
          <w:szCs w:val="24"/>
        </w:rPr>
        <w:t>投资者知晓并同意：产品管理人根据适用的法律法规、监管规定对投资者个人身份信息、持有理财产品信息以及理财产品交易明细信息进行登记，并传输给银行业理财登记托管中心。</w:t>
      </w:r>
    </w:p>
    <w:p w14:paraId="02BE7AB6" w14:textId="77777777" w:rsidR="003E7F78" w:rsidRDefault="00741AB5">
      <w:pPr>
        <w:widowControl/>
        <w:jc w:val="left"/>
        <w:rPr>
          <w:rFonts w:ascii="仿宋_GB2312" w:eastAsia="仿宋_GB2312" w:hAnsi="方正仿宋_GBK" w:cs="方正仿宋_GBK"/>
          <w:b/>
          <w:color w:val="000000"/>
          <w:kern w:val="0"/>
          <w:sz w:val="24"/>
          <w:szCs w:val="24"/>
        </w:rPr>
      </w:pPr>
      <w:r>
        <w:rPr>
          <w:rFonts w:ascii="仿宋_GB2312" w:eastAsia="仿宋_GB2312" w:hAnsi="方正仿宋_GBK" w:cs="方正仿宋_GBK"/>
          <w:b/>
          <w:color w:val="000000"/>
          <w:kern w:val="0"/>
          <w:sz w:val="24"/>
          <w:szCs w:val="24"/>
        </w:rPr>
        <w:br w:type="page"/>
      </w:r>
    </w:p>
    <w:p w14:paraId="60765B54" w14:textId="77777777" w:rsidR="003E7F78" w:rsidRDefault="00741AB5">
      <w:pPr>
        <w:autoSpaceDE w:val="0"/>
        <w:autoSpaceDN w:val="0"/>
        <w:adjustRightInd w:val="0"/>
        <w:spacing w:line="360" w:lineRule="auto"/>
        <w:jc w:val="center"/>
        <w:outlineLvl w:val="0"/>
        <w:rPr>
          <w:rFonts w:ascii="方正黑体_GBK" w:eastAsia="方正黑体_GBK" w:hAnsi="方正黑体_GBK" w:cs="方正黑体_GBK"/>
          <w:b/>
          <w:sz w:val="24"/>
        </w:rPr>
      </w:pPr>
      <w:bookmarkStart w:id="7" w:name="投资者权益须知1"/>
      <w:r>
        <w:rPr>
          <w:rFonts w:ascii="方正黑体_GBK" w:eastAsia="方正黑体_GBK" w:hAnsi="方正黑体_GBK" w:cs="方正黑体_GBK" w:hint="eastAsia"/>
          <w:b/>
          <w:sz w:val="28"/>
          <w:szCs w:val="28"/>
        </w:rPr>
        <w:t>投资者权益须知</w:t>
      </w:r>
      <w:r>
        <w:rPr>
          <w:rFonts w:ascii="方正黑体_GBK" w:eastAsia="方正黑体_GBK" w:hAnsi="方正黑体_GBK" w:cs="方正黑体_GBK"/>
          <w:b/>
          <w:sz w:val="28"/>
          <w:szCs w:val="28"/>
        </w:rPr>
        <w:br/>
      </w:r>
      <w:bookmarkEnd w:id="7"/>
      <w:r>
        <w:rPr>
          <w:rFonts w:ascii="方正黑体_GBK" w:eastAsia="方正黑体_GBK" w:hAnsi="方正黑体_GBK" w:cs="方正黑体_GBK" w:hint="eastAsia"/>
          <w:b/>
          <w:sz w:val="24"/>
        </w:rPr>
        <w:t>（适用于机构投资者）</w:t>
      </w:r>
    </w:p>
    <w:p w14:paraId="379A7CBC" w14:textId="77777777" w:rsidR="003E7F78" w:rsidRDefault="003E7F78">
      <w:pPr>
        <w:spacing w:line="360" w:lineRule="auto"/>
        <w:jc w:val="center"/>
        <w:rPr>
          <w:rFonts w:ascii="方正黑体_GBK" w:eastAsia="方正黑体_GBK" w:hAnsi="方正黑体_GBK" w:cs="方正黑体_GBK"/>
          <w:b/>
          <w:sz w:val="28"/>
          <w:szCs w:val="28"/>
        </w:rPr>
      </w:pPr>
    </w:p>
    <w:p w14:paraId="3CB01343" w14:textId="77777777" w:rsidR="003E7F78" w:rsidRDefault="00741AB5">
      <w:pPr>
        <w:snapToGrid w:val="0"/>
        <w:spacing w:beforeLines="50" w:before="156" w:line="360" w:lineRule="auto"/>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尊敬的机构投资者：</w:t>
      </w:r>
    </w:p>
    <w:p w14:paraId="49DFB872" w14:textId="77777777" w:rsidR="003E7F78" w:rsidRDefault="00741AB5">
      <w:pPr>
        <w:snapToGrid w:val="0"/>
        <w:spacing w:beforeLines="50" w:before="156" w:line="360" w:lineRule="auto"/>
        <w:ind w:firstLineChars="200" w:firstLine="482"/>
        <w:rPr>
          <w:rFonts w:ascii="仿宋_GB2312" w:eastAsia="仿宋_GB2312" w:hAnsi="宋体" w:cs="Arial"/>
          <w:color w:val="000000"/>
          <w:kern w:val="0"/>
          <w:sz w:val="24"/>
          <w:szCs w:val="24"/>
        </w:rPr>
      </w:pPr>
      <w:r>
        <w:rPr>
          <w:rFonts w:ascii="仿宋_GB2312" w:eastAsia="仿宋_GB2312" w:hAnsi="宋体" w:cs="Arial" w:hint="eastAsia"/>
          <w:b/>
          <w:color w:val="000000"/>
          <w:kern w:val="0"/>
          <w:sz w:val="24"/>
          <w:szCs w:val="24"/>
        </w:rPr>
        <w:t>理财非存款，产品有风险，投资须谨慎。</w:t>
      </w:r>
      <w:r>
        <w:rPr>
          <w:rFonts w:ascii="仿宋_GB2312" w:eastAsia="仿宋_GB2312" w:hAnsi="宋体" w:cs="Arial" w:hint="eastAsia"/>
          <w:kern w:val="0"/>
          <w:sz w:val="24"/>
          <w:szCs w:val="24"/>
        </w:rPr>
        <w:t>根据国家金融监督管理总局（原中国银行保险监督管理委员会，以下简称国家金融监督管理总局）</w:t>
      </w:r>
      <w:r>
        <w:rPr>
          <w:rFonts w:ascii="仿宋_GB2312" w:eastAsia="仿宋_GB2312" w:hAnsi="宋体" w:cs="Arial" w:hint="eastAsia"/>
          <w:color w:val="000000"/>
          <w:kern w:val="0"/>
          <w:sz w:val="24"/>
          <w:szCs w:val="24"/>
        </w:rPr>
        <w:t>相关监管规定的要求，在选择购买理财产品前，请认真考虑</w:t>
      </w:r>
      <w:r>
        <w:rPr>
          <w:rFonts w:ascii="仿宋_GB2312" w:eastAsia="仿宋_GB2312" w:hAnsi="宋体" w:hint="eastAsia"/>
          <w:sz w:val="24"/>
        </w:rPr>
        <w:t>本公司（单位）</w:t>
      </w:r>
      <w:r>
        <w:rPr>
          <w:rFonts w:ascii="仿宋_GB2312" w:eastAsia="仿宋_GB2312" w:hAnsi="宋体" w:cs="Arial" w:hint="eastAsia"/>
          <w:color w:val="000000"/>
          <w:kern w:val="0"/>
          <w:sz w:val="24"/>
          <w:szCs w:val="24"/>
        </w:rPr>
        <w:t>的投资目标、风险偏好和产品需求，仔细阅读本产品对应的产品说明书、风险揭示书、投资协议书、投资者权益须知等理财产品合同（以下简称《</w:t>
      </w:r>
      <w:r>
        <w:rPr>
          <w:rFonts w:ascii="仿宋_GB2312" w:eastAsia="仿宋_GB2312" w:hint="eastAsia"/>
          <w:sz w:val="24"/>
          <w:szCs w:val="24"/>
        </w:rPr>
        <w:t>理财产品合同》</w:t>
      </w:r>
      <w:r>
        <w:rPr>
          <w:rFonts w:ascii="仿宋_GB2312" w:eastAsia="仿宋_GB2312" w:hAnsi="宋体" w:cs="Arial" w:hint="eastAsia"/>
          <w:color w:val="000000"/>
          <w:kern w:val="0"/>
          <w:sz w:val="24"/>
          <w:szCs w:val="24"/>
        </w:rPr>
        <w:t>）及《</w:t>
      </w:r>
      <w:r>
        <w:rPr>
          <w:rFonts w:ascii="仿宋_GB2312" w:eastAsia="仿宋_GB2312" w:hAnsi="宋体" w:cs="Arial" w:hint="eastAsia"/>
          <w:color w:val="000000"/>
          <w:kern w:val="0"/>
          <w:sz w:val="24"/>
          <w:lang w:eastAsia="zh-Hans"/>
        </w:rPr>
        <w:t>华夏银行代理销售机构理财产品协议书</w:t>
      </w:r>
      <w:r>
        <w:rPr>
          <w:rFonts w:ascii="仿宋_GB2312" w:eastAsia="仿宋_GB2312" w:hAnsi="宋体" w:cs="Arial" w:hint="eastAsia"/>
          <w:color w:val="000000"/>
          <w:kern w:val="0"/>
          <w:sz w:val="24"/>
          <w:szCs w:val="24"/>
        </w:rPr>
        <w:t>》等全部文件，选择购买与</w:t>
      </w:r>
      <w:r>
        <w:rPr>
          <w:rFonts w:ascii="仿宋_GB2312" w:eastAsia="仿宋_GB2312" w:hAnsi="宋体" w:hint="eastAsia"/>
          <w:sz w:val="24"/>
        </w:rPr>
        <w:t>本公司（单位）</w:t>
      </w:r>
      <w:r>
        <w:rPr>
          <w:rFonts w:ascii="仿宋_GB2312" w:eastAsia="仿宋_GB2312" w:hAnsi="宋体" w:cs="Arial" w:hint="eastAsia"/>
          <w:color w:val="000000"/>
          <w:kern w:val="0"/>
          <w:sz w:val="24"/>
          <w:szCs w:val="24"/>
        </w:rPr>
        <w:t>自身风险承受能力匹配的产品。在阅读时如对理财产品合同或购买流程等有不明之处，请及时</w:t>
      </w:r>
      <w:r>
        <w:rPr>
          <w:rFonts w:ascii="仿宋_GB2312" w:eastAsia="仿宋_GB2312" w:hAnsi="宋体" w:cs="Arial" w:hint="eastAsia"/>
          <w:color w:val="000000"/>
          <w:kern w:val="0"/>
          <w:sz w:val="24"/>
          <w:szCs w:val="24"/>
        </w:rPr>
        <w:t>与代销机构华夏银行股份有限公司（以下简称华夏银行）相关人员进行咨询。在购买理财产品后，请关注理财产品的信息披露情况，及时获取相关信息；如对理财产品有任何意见或建议，请关注产品管理人交银理财有限责任公司（以下简称交银理财）及代销机构相关联络方式并予以反馈。</w:t>
      </w:r>
    </w:p>
    <w:p w14:paraId="26B3D5B7" w14:textId="77777777" w:rsidR="003E7F78" w:rsidRDefault="00741AB5">
      <w:pPr>
        <w:snapToGrid w:val="0"/>
        <w:spacing w:beforeLines="50" w:before="156" w:line="360" w:lineRule="auto"/>
        <w:ind w:firstLineChars="200" w:firstLine="480"/>
        <w:rPr>
          <w:rFonts w:ascii="仿宋_GB2312" w:eastAsia="仿宋_GB2312" w:hAnsi="宋体" w:cs="Arial"/>
          <w:color w:val="000000"/>
          <w:kern w:val="0"/>
          <w:sz w:val="24"/>
          <w:szCs w:val="24"/>
        </w:rPr>
      </w:pPr>
      <w:r>
        <w:rPr>
          <w:rFonts w:ascii="仿宋_GB2312" w:eastAsia="仿宋_GB2312" w:hAnsi="宋体" w:cs="Arial" w:hint="eastAsia"/>
          <w:color w:val="000000"/>
          <w:kern w:val="0"/>
          <w:sz w:val="24"/>
          <w:szCs w:val="24"/>
        </w:rPr>
        <w:t>本产品由交银理财发行与管理，代销机构华夏银行不承担产品的投资、兑付和风险管理责任。机构投资者在华夏银行购买代销的理财产品，须遵从华夏银行和交银理财相关规定。机构投资者不得使用贷款、发行债券等筹集的非自有资金投资理财产品。</w:t>
      </w:r>
    </w:p>
    <w:p w14:paraId="5C1AA153" w14:textId="77777777" w:rsidR="003E7F78" w:rsidRDefault="00741AB5">
      <w:pPr>
        <w:autoSpaceDE w:val="0"/>
        <w:autoSpaceDN w:val="0"/>
        <w:adjustRightInd w:val="0"/>
        <w:spacing w:line="360" w:lineRule="auto"/>
        <w:outlineLvl w:val="0"/>
        <w:rPr>
          <w:rFonts w:ascii="仿宋_GB2312" w:eastAsia="仿宋_GB2312" w:hAnsi="宋体" w:cs="Arial"/>
          <w:b/>
          <w:color w:val="000000"/>
          <w:kern w:val="0"/>
          <w:sz w:val="24"/>
          <w:szCs w:val="24"/>
        </w:rPr>
      </w:pPr>
      <w:r>
        <w:rPr>
          <w:rFonts w:ascii="方正黑体_GBK" w:eastAsia="方正黑体_GBK" w:hAnsi="方正黑体_GBK" w:cs="方正黑体_GBK"/>
          <w:b/>
          <w:sz w:val="28"/>
          <w:szCs w:val="28"/>
        </w:rPr>
        <w:t xml:space="preserve">   </w:t>
      </w:r>
      <w:r>
        <w:rPr>
          <w:rFonts w:ascii="仿宋_GB2312" w:eastAsia="仿宋_GB2312" w:hAnsi="宋体" w:cs="Arial" w:hint="eastAsia"/>
          <w:b/>
          <w:color w:val="000000"/>
          <w:kern w:val="0"/>
          <w:sz w:val="24"/>
          <w:szCs w:val="24"/>
        </w:rPr>
        <w:t>一、交银理财产品风险评级</w:t>
      </w:r>
    </w:p>
    <w:p w14:paraId="04ABD0D0" w14:textId="77777777" w:rsidR="003E7F78" w:rsidRDefault="00741AB5">
      <w:pPr>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交银理财产品风险评级共分为五级：低风险产品（</w:t>
      </w:r>
      <w:r>
        <w:rPr>
          <w:rFonts w:ascii="仿宋_GB2312" w:eastAsia="仿宋_GB2312" w:hAnsi="方正仿宋_GBK" w:cs="方正仿宋_GBK"/>
          <w:sz w:val="24"/>
          <w:szCs w:val="24"/>
        </w:rPr>
        <w:t>R1</w:t>
      </w:r>
      <w:r>
        <w:rPr>
          <w:rFonts w:ascii="仿宋_GB2312" w:eastAsia="仿宋_GB2312" w:hAnsi="方正仿宋_GBK" w:cs="方正仿宋_GBK"/>
          <w:sz w:val="24"/>
          <w:szCs w:val="24"/>
        </w:rPr>
        <w:t>）、较低风险产品（</w:t>
      </w:r>
      <w:r>
        <w:rPr>
          <w:rFonts w:ascii="仿宋_GB2312" w:eastAsia="仿宋_GB2312" w:hAnsi="方正仿宋_GBK" w:cs="方正仿宋_GBK"/>
          <w:sz w:val="24"/>
          <w:szCs w:val="24"/>
        </w:rPr>
        <w:t>R2</w:t>
      </w:r>
      <w:r>
        <w:rPr>
          <w:rFonts w:ascii="仿宋_GB2312" w:eastAsia="仿宋_GB2312" w:hAnsi="方正仿宋_GBK" w:cs="方正仿宋_GBK"/>
          <w:sz w:val="24"/>
          <w:szCs w:val="24"/>
        </w:rPr>
        <w:t>）、中等风险产品（</w:t>
      </w:r>
      <w:r>
        <w:rPr>
          <w:rFonts w:ascii="仿宋_GB2312" w:eastAsia="仿宋_GB2312" w:hAnsi="方正仿宋_GBK" w:cs="方正仿宋_GBK"/>
          <w:sz w:val="24"/>
          <w:szCs w:val="24"/>
        </w:rPr>
        <w:t>R3</w:t>
      </w:r>
      <w:r>
        <w:rPr>
          <w:rFonts w:ascii="仿宋_GB2312" w:eastAsia="仿宋_GB2312" w:hAnsi="方正仿宋_GBK" w:cs="方正仿宋_GBK"/>
          <w:sz w:val="24"/>
          <w:szCs w:val="24"/>
        </w:rPr>
        <w:t>）、较高风险产品（</w:t>
      </w:r>
      <w:r>
        <w:rPr>
          <w:rFonts w:ascii="仿宋_GB2312" w:eastAsia="仿宋_GB2312" w:hAnsi="方正仿宋_GBK" w:cs="方正仿宋_GBK"/>
          <w:sz w:val="24"/>
          <w:szCs w:val="24"/>
        </w:rPr>
        <w:t>R4</w:t>
      </w:r>
      <w:r>
        <w:rPr>
          <w:rFonts w:ascii="仿宋_GB2312" w:eastAsia="仿宋_GB2312" w:hAnsi="方正仿宋_GBK" w:cs="方正仿宋_GBK"/>
          <w:sz w:val="24"/>
          <w:szCs w:val="24"/>
        </w:rPr>
        <w:t>）、高风险产品（</w:t>
      </w:r>
      <w:r>
        <w:rPr>
          <w:rFonts w:ascii="仿宋_GB2312" w:eastAsia="仿宋_GB2312" w:hAnsi="方正仿宋_GBK" w:cs="方正仿宋_GBK"/>
          <w:sz w:val="24"/>
          <w:szCs w:val="24"/>
        </w:rPr>
        <w:t>R5</w:t>
      </w:r>
      <w:r>
        <w:rPr>
          <w:rFonts w:ascii="仿宋_GB2312" w:eastAsia="仿宋_GB2312" w:hAnsi="方正仿宋_GBK" w:cs="方正仿宋_GBK"/>
          <w:sz w:val="24"/>
          <w:szCs w:val="24"/>
        </w:rPr>
        <w:t>）。本产品经交银理财</w:t>
      </w:r>
      <w:r>
        <w:rPr>
          <w:rFonts w:ascii="仿宋_GB2312" w:eastAsia="仿宋_GB2312" w:hAnsi="方正仿宋_GBK" w:cs="方正仿宋_GBK" w:hint="eastAsia"/>
          <w:sz w:val="24"/>
          <w:szCs w:val="24"/>
        </w:rPr>
        <w:t>内部评级，评级结果为较低风险产品（</w:t>
      </w:r>
      <w:r>
        <w:rPr>
          <w:rFonts w:ascii="仿宋_GB2312" w:eastAsia="仿宋_GB2312" w:hAnsi="方正仿宋_GBK" w:cs="方正仿宋_GBK" w:hint="eastAsia"/>
          <w:sz w:val="24"/>
          <w:szCs w:val="24"/>
        </w:rPr>
        <w:t>R2</w:t>
      </w:r>
      <w:r>
        <w:rPr>
          <w:rFonts w:ascii="仿宋_GB2312" w:eastAsia="仿宋_GB2312" w:hAnsi="方正仿宋_GBK" w:cs="方正仿宋_GBK" w:hint="eastAsia"/>
          <w:sz w:val="24"/>
          <w:szCs w:val="24"/>
        </w:rPr>
        <w:t>）</w:t>
      </w:r>
      <w:r>
        <w:rPr>
          <w:rFonts w:ascii="仿宋_GB2312" w:eastAsia="仿宋_GB2312" w:hAnsi="方正仿宋_GBK" w:cs="方正仿宋_GBK"/>
          <w:sz w:val="24"/>
          <w:szCs w:val="24"/>
        </w:rPr>
        <w:t>，指</w:t>
      </w:r>
      <w:r>
        <w:rPr>
          <w:rFonts w:ascii="仿宋_GB2312" w:eastAsia="仿宋_GB2312" w:hAnsi="方正仿宋_GBK" w:cs="方正仿宋_GBK" w:hint="eastAsia"/>
          <w:sz w:val="24"/>
          <w:szCs w:val="24"/>
        </w:rPr>
        <w:t>理财产品的总体风险程度较低，管理人不承诺本金保障，净值波动较小。虽然存在一些可能对产品本金安全产生不利影响的因素，但产品本金出现损失的可能性较小。</w:t>
      </w:r>
    </w:p>
    <w:tbl>
      <w:tblPr>
        <w:tblW w:w="0" w:type="auto"/>
        <w:tblInd w:w="-108" w:type="dxa"/>
        <w:tblLook w:val="04A0" w:firstRow="1" w:lastRow="0" w:firstColumn="1" w:lastColumn="0" w:noHBand="0" w:noVBand="1"/>
      </w:tblPr>
      <w:tblGrid>
        <w:gridCol w:w="8612"/>
      </w:tblGrid>
      <w:tr w:rsidR="003E7F78" w14:paraId="3C659920" w14:textId="77777777">
        <w:trPr>
          <w:trHeight w:val="4334"/>
        </w:trPr>
        <w:tc>
          <w:tcPr>
            <w:tcW w:w="8720" w:type="dxa"/>
          </w:tcPr>
          <w:p w14:paraId="4E765F01" w14:textId="77777777" w:rsidR="003E7F78" w:rsidRDefault="00741AB5">
            <w:pPr>
              <w:spacing w:line="20" w:lineRule="exact"/>
              <w:rPr>
                <w:rFonts w:ascii="仿宋_GB2312" w:eastAsia="仿宋_GB2312" w:hAnsi="宋体" w:cs="Arial"/>
                <w:b/>
                <w:color w:val="000000"/>
                <w:kern w:val="0"/>
                <w:sz w:val="24"/>
                <w:szCs w:val="24"/>
              </w:rPr>
            </w:pPr>
            <w:r>
              <w:rPr>
                <w:noProof/>
              </w:rPr>
              <mc:AlternateContent>
                <mc:Choice Requires="wps">
                  <w:drawing>
                    <wp:anchor distT="0" distB="0" distL="114300" distR="114300" simplePos="0" relativeHeight="251679744" behindDoc="0" locked="0" layoutInCell="1" allowOverlap="1" wp14:anchorId="789ED501" wp14:editId="005E6EB2">
                      <wp:simplePos x="0" y="0"/>
                      <wp:positionH relativeFrom="column">
                        <wp:posOffset>2381250</wp:posOffset>
                      </wp:positionH>
                      <wp:positionV relativeFrom="paragraph">
                        <wp:posOffset>1070610</wp:posOffset>
                      </wp:positionV>
                      <wp:extent cx="210185" cy="254000"/>
                      <wp:effectExtent l="0" t="0" r="0" b="0"/>
                      <wp:wrapNone/>
                      <wp:docPr id="58"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185" cy="254000"/>
                              </a:xfrm>
                              <a:prstGeom prst="rect">
                                <a:avLst/>
                              </a:prstGeom>
                              <a:noFill/>
                              <a:ln>
                                <a:noFill/>
                              </a:ln>
                            </wps:spPr>
                            <wps:txbx>
                              <w:txbxContent>
                                <w:p w14:paraId="2DB490EF" w14:textId="77777777" w:rsidR="003E7F78" w:rsidRDefault="00741AB5">
                                  <w:r>
                                    <w:rPr>
                                      <w:b/>
                                      <w:bCs/>
                                      <w:color w:val="000000"/>
                                      <w:sz w:val="24"/>
                                    </w:rPr>
                                    <w:t>R</w:t>
                                  </w:r>
                                  <w:r>
                                    <w:rPr>
                                      <w:rFonts w:hint="eastAsia"/>
                                      <w:b/>
                                      <w:bCs/>
                                      <w:color w:val="000000"/>
                                      <w:sz w:val="24"/>
                                    </w:rPr>
                                    <w:t>5</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159" o:spid="_x0000_s1026" o:spt="1" style="position:absolute;left:0pt;margin-left:187.5pt;margin-top:84.3pt;height:20pt;width:16.55pt;z-index:251679744;mso-width-relative:page;mso-height-relative:page;" filled="f" stroked="f" coordsize="21600,21600" o:gfxdata="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LjGSC2wAAAAsBAAAPAAAAAAAAAAEAIAAAACIAAABkcnMvZG93bnJl&#10;di54bWxQSwECFAAUAAAACACHTuJAh67lF/oBAAD9AwAADgAAAAAAAAABACAAAAAqAQAAZHJzL2Uy&#10;b0RvYy54bWxQSwUGAAAAAAYABgBZAQAAlgUAAAAA&#10;">
                      <v:fill on="f" focussize="0,0"/>
                      <v:stroke on="f"/>
                      <v:imagedata o:title=""/>
                      <o:lock v:ext="edit" aspectratio="f"/>
                      <v:textbox inset="0mm,0mm,0mm,0mm">
                        <w:txbxContent>
                          <w:p>
                            <w:r>
                              <w:rPr>
                                <w:b/>
                                <w:bCs/>
                                <w:color w:val="000000"/>
                                <w:sz w:val="24"/>
                              </w:rPr>
                              <w:t>R</w:t>
                            </w:r>
                            <w:r>
                              <w:rPr>
                                <w:rFonts w:hint="eastAsia"/>
                                <w:b/>
                                <w:bCs/>
                                <w:color w:val="000000"/>
                                <w:sz w:val="24"/>
                              </w:rPr>
                              <w:t>5</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1C9425C" wp14:editId="610396E4">
                      <wp:simplePos x="0" y="0"/>
                      <wp:positionH relativeFrom="column">
                        <wp:posOffset>1111250</wp:posOffset>
                      </wp:positionH>
                      <wp:positionV relativeFrom="paragraph">
                        <wp:posOffset>1800860</wp:posOffset>
                      </wp:positionV>
                      <wp:extent cx="391160" cy="234950"/>
                      <wp:effectExtent l="0" t="0" r="8890" b="0"/>
                      <wp:wrapNone/>
                      <wp:docPr id="47" name="R2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34950"/>
                              </a:xfrm>
                              <a:prstGeom prst="rect">
                                <a:avLst/>
                              </a:prstGeom>
                              <a:solidFill>
                                <a:srgbClr val="7F7F7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2r" o:spid="_x0000_s1026" o:spt="1" style="position:absolute;left:0pt;margin-left:87.5pt;margin-top:141.8pt;height:18.5pt;width:30.8pt;z-index:251660288;mso-width-relative:page;mso-height-relative:page;" fillcolor="#7F7F7F" filled="t" stroked="t" coordsize="21600,21600" o:gfxdata="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p2GddkAAAALAQAADwAAAAAAAAABACAAAAAiAAAAZHJzL2Rvd25yZXYueG1sUEsBAhQAFAAA&#10;AAgAh07iQLM5uIYnAgAAZwQAAA4AAAAAAAAAAQAgAAAAKAEAAGRycy9lMm9Eb2MueG1sUEsFBgAA&#10;AAAGAAYAWQEAAMEFA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62336" behindDoc="0" locked="0" layoutInCell="1" allowOverlap="1" wp14:anchorId="61C09E64" wp14:editId="35893BF1">
                      <wp:simplePos x="0" y="0"/>
                      <wp:positionH relativeFrom="column">
                        <wp:posOffset>724535</wp:posOffset>
                      </wp:positionH>
                      <wp:positionV relativeFrom="paragraph">
                        <wp:posOffset>2037715</wp:posOffset>
                      </wp:positionV>
                      <wp:extent cx="391160" cy="234950"/>
                      <wp:effectExtent l="0" t="0" r="8890" b="0"/>
                      <wp:wrapNone/>
                      <wp:docPr id="69" name="R1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34950"/>
                              </a:xfrm>
                              <a:prstGeom prst="rect">
                                <a:avLst/>
                              </a:prstGeom>
                              <a:solidFill>
                                <a:srgbClr val="FFFFF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1r" o:spid="_x0000_s1026" o:spt="1" style="position:absolute;left:0pt;margin-left:57.05pt;margin-top:160.45pt;height:18.5pt;width:30.8pt;z-index:251662336;mso-width-relative:page;mso-height-relative:page;" fillcolor="#FFFFFF" filled="t" stroked="t" coordsize="21600,21600" o:gfxdata="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MBP9t3AAAAAsBAAAPAAAAAAAAAAEAIAAAACIAAABkcnMvZG93bnJldi54bWxQSwECFAAU&#10;AAAACACHTuJANsYPTiYCAABnBAAADgAAAAAAAAABACAAAAArAQAAZHJzL2Uyb0RvYy54bWxQSwUG&#10;AAAAAAYABgBZAQAAwwU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61312" behindDoc="0" locked="0" layoutInCell="1" allowOverlap="1" wp14:anchorId="6CCD6FAE" wp14:editId="20424BF7">
                      <wp:simplePos x="0" y="0"/>
                      <wp:positionH relativeFrom="column">
                        <wp:posOffset>1510665</wp:posOffset>
                      </wp:positionH>
                      <wp:positionV relativeFrom="paragraph">
                        <wp:posOffset>1540510</wp:posOffset>
                      </wp:positionV>
                      <wp:extent cx="381000" cy="252095"/>
                      <wp:effectExtent l="0" t="0" r="0" b="0"/>
                      <wp:wrapNone/>
                      <wp:docPr id="50" name="R3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52095"/>
                              </a:xfrm>
                              <a:prstGeom prst="rect">
                                <a:avLst/>
                              </a:prstGeom>
                              <a:solidFill>
                                <a:srgbClr val="FFFFF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3r" o:spid="_x0000_s1026" o:spt="1" style="position:absolute;left:0pt;margin-left:118.95pt;margin-top:121.3pt;height:19.85pt;width:30pt;z-index:251661312;mso-width-relative:page;mso-height-relative:page;" fillcolor="#FFFFFF" filled="t" stroked="t" coordsize="21600,21600" o:gfxdata="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167HR3AAAAAsBAAAPAAAAAAAAAAEAIAAAACIAAABkcnMvZG93bnJldi54bWxQSwECFAAU&#10;AAAACACHTuJA+5fRCCYCAABnBAAADgAAAAAAAAABACAAAAArAQAAZHJzL2Uyb0RvYy54bWxQSwUG&#10;AAAAAAYABgBZAQAAwwU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63360" behindDoc="0" locked="0" layoutInCell="1" allowOverlap="1" wp14:anchorId="2A690FFC" wp14:editId="1B96F471">
                      <wp:simplePos x="0" y="0"/>
                      <wp:positionH relativeFrom="column">
                        <wp:posOffset>1895475</wp:posOffset>
                      </wp:positionH>
                      <wp:positionV relativeFrom="paragraph">
                        <wp:posOffset>1296035</wp:posOffset>
                      </wp:positionV>
                      <wp:extent cx="391160" cy="234950"/>
                      <wp:effectExtent l="0" t="0" r="8890" b="0"/>
                      <wp:wrapNone/>
                      <wp:docPr id="70" name="R4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34950"/>
                              </a:xfrm>
                              <a:prstGeom prst="rect">
                                <a:avLst/>
                              </a:prstGeom>
                              <a:solidFill>
                                <a:srgbClr val="FFFFF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4r" o:spid="_x0000_s1026" o:spt="1" style="position:absolute;left:0pt;margin-left:149.25pt;margin-top:102.05pt;height:18.5pt;width:30.8pt;z-index:251663360;mso-width-relative:page;mso-height-relative:page;" fillcolor="#FFFFFF" filled="t" stroked="t" coordsize="21600,21600" o:gfxdata="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QyOhbcAAAACwEAAA8AAAAAAAAAAQAgAAAAIgAAAGRycy9kb3ducmV2LnhtbFBLAQIUABQA&#10;AAAIAIdO4kAutYUbJQIAAGcEAAAOAAAAAAAAAAEAIAAAACsBAABkcnMvZTJvRG9jLnhtbFBLBQYA&#10;AAAABgAGAFkBAADCBQ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64384" behindDoc="0" locked="0" layoutInCell="1" allowOverlap="1" wp14:anchorId="092C47E1" wp14:editId="02CE3864">
                      <wp:simplePos x="0" y="0"/>
                      <wp:positionH relativeFrom="column">
                        <wp:posOffset>2286000</wp:posOffset>
                      </wp:positionH>
                      <wp:positionV relativeFrom="paragraph">
                        <wp:posOffset>1051560</wp:posOffset>
                      </wp:positionV>
                      <wp:extent cx="391160" cy="234950"/>
                      <wp:effectExtent l="0" t="0" r="8890" b="0"/>
                      <wp:wrapNone/>
                      <wp:docPr id="71" name="R5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34950"/>
                              </a:xfrm>
                              <a:prstGeom prst="rect">
                                <a:avLst/>
                              </a:prstGeom>
                              <a:solidFill>
                                <a:srgbClr val="FFFFF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5r" o:spid="_x0000_s1026" o:spt="1" style="position:absolute;left:0pt;margin-left:180pt;margin-top:82.8pt;height:18.5pt;width:30.8pt;z-index:251664384;mso-width-relative:page;mso-height-relative:page;" fillcolor="#FFFFFF" filled="t" stroked="t" coordsize="21600,21600" o:gfxdata="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66KB/bAAAACwEAAA8AAAAAAAAAAQAgAAAAIgAAAGRycy9kb3ducmV2LnhtbFBLAQIUABQA&#10;AAAIAIdO4kCrMqi8JgIAAGcEAAAOAAAAAAAAAAEAIAAAACoBAABkcnMvZTJvRG9jLnhtbFBLBQYA&#10;AAAABgAGAFkBAADCBQ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77696" behindDoc="0" locked="0" layoutInCell="1" allowOverlap="1" wp14:anchorId="3C5609E7" wp14:editId="4BC6B7E3">
                      <wp:simplePos x="0" y="0"/>
                      <wp:positionH relativeFrom="column">
                        <wp:posOffset>1618615</wp:posOffset>
                      </wp:positionH>
                      <wp:positionV relativeFrom="paragraph">
                        <wp:posOffset>1565275</wp:posOffset>
                      </wp:positionV>
                      <wp:extent cx="200660" cy="226060"/>
                      <wp:effectExtent l="0" t="0" r="0" b="0"/>
                      <wp:wrapNone/>
                      <wp:docPr id="52"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226060"/>
                              </a:xfrm>
                              <a:prstGeom prst="rect">
                                <a:avLst/>
                              </a:prstGeom>
                              <a:noFill/>
                              <a:ln>
                                <a:noFill/>
                              </a:ln>
                            </wps:spPr>
                            <wps:txbx>
                              <w:txbxContent>
                                <w:p w14:paraId="552548F0" w14:textId="77777777" w:rsidR="003E7F78" w:rsidRDefault="00741AB5">
                                  <w:r>
                                    <w:rPr>
                                      <w:b/>
                                      <w:bCs/>
                                      <w:color w:val="000000"/>
                                      <w:sz w:val="24"/>
                                    </w:rPr>
                                    <w:t>R</w:t>
                                  </w:r>
                                  <w:r>
                                    <w:rPr>
                                      <w:rFonts w:hint="eastAsia"/>
                                      <w:b/>
                                      <w:bCs/>
                                      <w:color w:val="000000"/>
                                      <w:sz w:val="24"/>
                                    </w:rPr>
                                    <w:t>3</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153" o:spid="_x0000_s1026" o:spt="1" style="position:absolute;left:0pt;margin-left:127.45pt;margin-top:123.25pt;height:17.8pt;width:15.8pt;z-index:251677696;mso-width-relative:page;mso-height-relative:page;" filled="f" stroked="f" coordsize="21600,21600" o:gfxdata="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X3qvbaAAAACwEAAA8AAAAAAAAAAQAgAAAAIgAAAGRycy9kb3ducmV2Lnht&#10;bFBLAQIUABQAAAAIAIdO4kArhbgj9wEAAP0DAAAOAAAAAAAAAAEAIAAAACkBAABkcnMvZTJvRG9j&#10;LnhtbFBLBQYAAAAABgAGAFkBAACSBQAAAAA=&#10;">
                      <v:fill on="f" focussize="0,0"/>
                      <v:stroke on="f"/>
                      <v:imagedata o:title=""/>
                      <o:lock v:ext="edit" aspectratio="f"/>
                      <v:textbox inset="0mm,0mm,0mm,0mm">
                        <w:txbxContent>
                          <w:p>
                            <w:r>
                              <w:rPr>
                                <w:b/>
                                <w:bCs/>
                                <w:color w:val="000000"/>
                                <w:sz w:val="24"/>
                              </w:rPr>
                              <w:t>R</w:t>
                            </w:r>
                            <w:r>
                              <w:rPr>
                                <w:rFonts w:hint="eastAsia"/>
                                <w:b/>
                                <w:bCs/>
                                <w:color w:val="000000"/>
                                <w:sz w:val="24"/>
                              </w:rPr>
                              <w:t>3</w:t>
                            </w: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21896F8F" wp14:editId="30899099">
                      <wp:simplePos x="0" y="0"/>
                      <wp:positionH relativeFrom="column">
                        <wp:posOffset>516255</wp:posOffset>
                      </wp:positionH>
                      <wp:positionV relativeFrom="paragraph">
                        <wp:posOffset>217805</wp:posOffset>
                      </wp:positionV>
                      <wp:extent cx="69850" cy="69850"/>
                      <wp:effectExtent l="0" t="0" r="0" b="0"/>
                      <wp:wrapNone/>
                      <wp:docPr id="62" name="Freeform 163"/>
                      <wp:cNvGraphicFramePr/>
                      <a:graphic xmlns:a="http://schemas.openxmlformats.org/drawingml/2006/main">
                        <a:graphicData uri="http://schemas.microsoft.com/office/word/2010/wordprocessingShape">
                          <wps:wsp>
                            <wps:cNvSpPr/>
                            <wps:spPr bwMode="auto">
                              <a:xfrm>
                                <a:off x="0" y="0"/>
                                <a:ext cx="69850" cy="69850"/>
                              </a:xfrm>
                              <a:custGeom>
                                <a:avLst/>
                                <a:gdLst>
                                  <a:gd name="T0" fmla="*/ 0 w 110"/>
                                  <a:gd name="T1" fmla="*/ 69850 h 110"/>
                                  <a:gd name="T2" fmla="*/ 34925 w 110"/>
                                  <a:gd name="T3" fmla="*/ 0 h 110"/>
                                  <a:gd name="T4" fmla="*/ 69850 w 110"/>
                                  <a:gd name="T5" fmla="*/ 69850 h 110"/>
                                  <a:gd name="T6" fmla="*/ 0 w 110"/>
                                  <a:gd name="T7" fmla="*/ 69850 h 11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0" h="110">
                                    <a:moveTo>
                                      <a:pt x="0" y="110"/>
                                    </a:moveTo>
                                    <a:lnTo>
                                      <a:pt x="55" y="0"/>
                                    </a:lnTo>
                                    <a:lnTo>
                                      <a:pt x="110" y="110"/>
                                    </a:lnTo>
                                    <a:lnTo>
                                      <a:pt x="0" y="110"/>
                                    </a:lnTo>
                                    <a:close/>
                                  </a:path>
                                </a:pathLst>
                              </a:custGeom>
                              <a:solidFill>
                                <a:srgbClr val="4677B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shape id="Freeform 163" o:spid="_x0000_s1026" o:spt="100" style="position:absolute;left:0pt;margin-left:40.65pt;margin-top:17.15pt;height:5.5pt;width:5.5pt;z-index:251683840;mso-width-relative:page;mso-height-relative:page;" fillcolor="#4677BF" filled="t" stroked="f" coordsize="110,110" o:gfxdata="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" path="m0,110l55,0,110,110,0,110xe">
                      <v:path o:connectlocs="0,44354750;22177375,0;44354750,44354750;0,44354750" o:connectangles="0,0,0,0"/>
                      <v:fill on="t" focussize="0,0"/>
                      <v:stroke on="f"/>
                      <v:imagedata o:title=""/>
                      <o:lock v:ext="edit" aspectratio="f"/>
                    </v:shape>
                  </w:pict>
                </mc:Fallback>
              </mc:AlternateContent>
            </w:r>
            <w:r>
              <w:rPr>
                <w:noProof/>
              </w:rPr>
              <mc:AlternateContent>
                <mc:Choice Requires="wps">
                  <w:drawing>
                    <wp:anchor distT="0" distB="0" distL="113665" distR="113665" simplePos="0" relativeHeight="251682816" behindDoc="0" locked="0" layoutInCell="1" allowOverlap="1" wp14:anchorId="287D1AA5" wp14:editId="6273F658">
                      <wp:simplePos x="0" y="0"/>
                      <wp:positionH relativeFrom="column">
                        <wp:posOffset>550545</wp:posOffset>
                      </wp:positionH>
                      <wp:positionV relativeFrom="paragraph">
                        <wp:posOffset>278765</wp:posOffset>
                      </wp:positionV>
                      <wp:extent cx="0" cy="2030730"/>
                      <wp:effectExtent l="0" t="0" r="0" b="7620"/>
                      <wp:wrapNone/>
                      <wp:docPr id="61"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30730"/>
                              </a:xfrm>
                              <a:prstGeom prst="line">
                                <a:avLst/>
                              </a:prstGeom>
                              <a:noFill/>
                              <a:ln w="3175" cap="rnd">
                                <a:solidFill>
                                  <a:srgbClr val="4677BF"/>
                                </a:solidFill>
                                <a:round/>
                              </a:ln>
                            </wps:spPr>
                            <wps:bodyPr/>
                          </wps:wsp>
                        </a:graphicData>
                      </a:graphic>
                    </wp:anchor>
                  </w:drawing>
                </mc:Choice>
                <mc:Fallback xmlns:wpsCustomData="http://www.wps.cn/officeDocument/2013/wpsCustomData">
                  <w:pict>
                    <v:line id="Line 162" o:spid="_x0000_s1026" o:spt="20" style="position:absolute;left:0pt;flip:y;margin-left:43.35pt;margin-top:21.95pt;height:159.9pt;width:0pt;z-index:251682816;mso-width-relative:page;mso-height-relative:page;" filled="f" stroked="t" coordsize="21600,21600" o:gfxdata="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tvtOH1QAAAAgBAAAPAAAAAAAA&#10;AAEAIAAAACIAAABkcnMvZG93bnJldi54bWxQSwECFAAUAAAACACHTuJAM2rg59wBAAC2AwAADgAA&#10;AAAAAAABACAAAAAkAQAAZHJzL2Uyb0RvYy54bWxQSwUGAAAAAAYABgBZAQAAcgUAAAAA&#10;">
                      <v:fill on="f" focussize="0,0"/>
                      <v:stroke weight="0.25pt" color="#4677BF" joinstyle="round" endcap="round"/>
                      <v:imagedata o:title=""/>
                      <o:lock v:ext="edit" aspectratio="f"/>
                    </v:line>
                  </w:pict>
                </mc:Fallback>
              </mc:AlternateContent>
            </w:r>
            <w:r>
              <w:rPr>
                <w:noProof/>
              </w:rPr>
              <mc:AlternateContent>
                <mc:Choice Requires="wps">
                  <w:drawing>
                    <wp:anchor distT="0" distB="0" distL="114300" distR="114300" simplePos="0" relativeHeight="251681792" behindDoc="0" locked="0" layoutInCell="1" allowOverlap="1" wp14:anchorId="15BE75F9" wp14:editId="46C0896E">
                      <wp:simplePos x="0" y="0"/>
                      <wp:positionH relativeFrom="column">
                        <wp:posOffset>3363595</wp:posOffset>
                      </wp:positionH>
                      <wp:positionV relativeFrom="paragraph">
                        <wp:posOffset>2274570</wp:posOffset>
                      </wp:positionV>
                      <wp:extent cx="69850" cy="69215"/>
                      <wp:effectExtent l="0" t="0" r="0" b="0"/>
                      <wp:wrapNone/>
                      <wp:docPr id="60" name="Freeform 161"/>
                      <wp:cNvGraphicFramePr/>
                      <a:graphic xmlns:a="http://schemas.openxmlformats.org/drawingml/2006/main">
                        <a:graphicData uri="http://schemas.microsoft.com/office/word/2010/wordprocessingShape">
                          <wps:wsp>
                            <wps:cNvSpPr/>
                            <wps:spPr bwMode="auto">
                              <a:xfrm>
                                <a:off x="0" y="0"/>
                                <a:ext cx="69850" cy="69215"/>
                              </a:xfrm>
                              <a:custGeom>
                                <a:avLst/>
                                <a:gdLst>
                                  <a:gd name="T0" fmla="*/ 0 w 110"/>
                                  <a:gd name="T1" fmla="*/ 0 h 109"/>
                                  <a:gd name="T2" fmla="*/ 69850 w 110"/>
                                  <a:gd name="T3" fmla="*/ 34925 h 109"/>
                                  <a:gd name="T4" fmla="*/ 0 w 110"/>
                                  <a:gd name="T5" fmla="*/ 69215 h 109"/>
                                  <a:gd name="T6" fmla="*/ 0 w 110"/>
                                  <a:gd name="T7" fmla="*/ 0 h 10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0" h="109">
                                    <a:moveTo>
                                      <a:pt x="0" y="0"/>
                                    </a:moveTo>
                                    <a:lnTo>
                                      <a:pt x="110" y="55"/>
                                    </a:lnTo>
                                    <a:lnTo>
                                      <a:pt x="0" y="109"/>
                                    </a:lnTo>
                                    <a:lnTo>
                                      <a:pt x="0" y="0"/>
                                    </a:lnTo>
                                    <a:close/>
                                  </a:path>
                                </a:pathLst>
                              </a:custGeom>
                              <a:solidFill>
                                <a:srgbClr val="4677B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shape id="Freeform 161" o:spid="_x0000_s1026" o:spt="100" style="position:absolute;left:0pt;margin-left:264.85pt;margin-top:179.1pt;height:5.45pt;width:5.5pt;z-index:251681792;mso-width-relative:page;mso-height-relative:page;" fillcolor="#4677BF" filled="t" stroked="f" coordsize="110,109" o:gfxdata="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" path="m0,0l110,55,0,109,0,0xe">
                      <v:path o:connectlocs="0,0;44354750,22177375;0,43951525;0,0" o:connectangles="0,0,0,0"/>
                      <v:fill on="t" focussize="0,0"/>
                      <v:stroke on="f"/>
                      <v:imagedata o:title=""/>
                      <o:lock v:ext="edit" aspectratio="f"/>
                    </v:shape>
                  </w:pict>
                </mc:Fallback>
              </mc:AlternateContent>
            </w:r>
            <w:r>
              <w:rPr>
                <w:noProof/>
              </w:rPr>
              <mc:AlternateContent>
                <mc:Choice Requires="wps">
                  <w:drawing>
                    <wp:anchor distT="0" distB="0" distL="114300" distR="114300" simplePos="0" relativeHeight="251680768" behindDoc="0" locked="0" layoutInCell="1" allowOverlap="1" wp14:anchorId="63650EBC" wp14:editId="36F330F8">
                      <wp:simplePos x="0" y="0"/>
                      <wp:positionH relativeFrom="column">
                        <wp:posOffset>566420</wp:posOffset>
                      </wp:positionH>
                      <wp:positionV relativeFrom="paragraph">
                        <wp:posOffset>2308860</wp:posOffset>
                      </wp:positionV>
                      <wp:extent cx="2806065" cy="0"/>
                      <wp:effectExtent l="0" t="0" r="13335" b="0"/>
                      <wp:wrapNone/>
                      <wp:docPr id="59"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6065" cy="0"/>
                              </a:xfrm>
                              <a:prstGeom prst="line">
                                <a:avLst/>
                              </a:prstGeom>
                              <a:noFill/>
                              <a:ln w="3175" cap="rnd">
                                <a:solidFill>
                                  <a:srgbClr val="4677BF"/>
                                </a:solidFill>
                                <a:round/>
                              </a:ln>
                            </wps:spPr>
                            <wps:bodyPr/>
                          </wps:wsp>
                        </a:graphicData>
                      </a:graphic>
                    </wp:anchor>
                  </w:drawing>
                </mc:Choice>
                <mc:Fallback xmlns:wpsCustomData="http://www.wps.cn/officeDocument/2013/wpsCustomData">
                  <w:pict>
                    <v:line id="Line 160" o:spid="_x0000_s1026" o:spt="20" style="position:absolute;left:0pt;margin-left:44.6pt;margin-top:181.8pt;height:0pt;width:220.95pt;z-index:251680768;mso-width-relative:page;mso-height-relative:page;" filled="f" stroked="t" coordsize="21600,21600" o:gfxdata="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EDNl/1wAAAAoBAAAPAAAAAAAAAAEA&#10;IAAAACIAAABkcnMvZG93bnJldi54bWxQSwECFAAUAAAACACHTuJAEd8PGtcBAACsAwAADgAAAAAA&#10;AAABACAAAAAmAQAAZHJzL2Uyb0RvYy54bWxQSwUGAAAAAAYABgBZAQAAbwUAAAAA&#10;">
                      <v:fill on="f" focussize="0,0"/>
                      <v:stroke weight="0.25pt" color="#4677BF" joinstyle="round" endcap="round"/>
                      <v:imagedata o:title=""/>
                      <o:lock v:ext="edit" aspectratio="f"/>
                    </v:line>
                  </w:pict>
                </mc:Fallback>
              </mc:AlternateContent>
            </w:r>
            <w:r>
              <w:rPr>
                <w:noProof/>
              </w:rPr>
              <mc:AlternateContent>
                <mc:Choice Requires="wps">
                  <w:drawing>
                    <wp:anchor distT="0" distB="0" distL="114300" distR="114300" simplePos="0" relativeHeight="251678720" behindDoc="0" locked="0" layoutInCell="1" allowOverlap="1" wp14:anchorId="2AAA5870" wp14:editId="640F78F5">
                      <wp:simplePos x="0" y="0"/>
                      <wp:positionH relativeFrom="column">
                        <wp:posOffset>1956435</wp:posOffset>
                      </wp:positionH>
                      <wp:positionV relativeFrom="paragraph">
                        <wp:posOffset>1327150</wp:posOffset>
                      </wp:positionV>
                      <wp:extent cx="248285" cy="217170"/>
                      <wp:effectExtent l="0" t="0" r="0" b="0"/>
                      <wp:wrapNone/>
                      <wp:docPr id="55"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285" cy="217170"/>
                              </a:xfrm>
                              <a:prstGeom prst="rect">
                                <a:avLst/>
                              </a:prstGeom>
                              <a:noFill/>
                              <a:ln>
                                <a:noFill/>
                              </a:ln>
                            </wps:spPr>
                            <wps:txbx>
                              <w:txbxContent>
                                <w:p w14:paraId="566525E0" w14:textId="77777777" w:rsidR="003E7F78" w:rsidRDefault="00741AB5">
                                  <w:r>
                                    <w:rPr>
                                      <w:b/>
                                      <w:bCs/>
                                      <w:color w:val="000000"/>
                                      <w:sz w:val="24"/>
                                    </w:rPr>
                                    <w:t>R</w:t>
                                  </w:r>
                                  <w:r>
                                    <w:rPr>
                                      <w:rFonts w:hint="eastAsia"/>
                                      <w:b/>
                                      <w:bCs/>
                                      <w:color w:val="000000"/>
                                      <w:sz w:val="24"/>
                                    </w:rPr>
                                    <w:t>4</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156" o:spid="_x0000_s1026" o:spt="1" style="position:absolute;left:0pt;margin-left:154.05pt;margin-top:104.5pt;height:17.1pt;width:19.55pt;z-index:251678720;mso-width-relative:page;mso-height-relative:page;" filled="f" stroked="f" coordsize="21600,21600" o:gfxdata="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pXyG2wAAAAsBAAAPAAAAAAAAAAEAIAAAACIAAABkcnMvZG93bnJl&#10;di54bWxQSwECFAAUAAAACACHTuJAYMFmpfoBAAD9AwAADgAAAAAAAAABACAAAAAqAQAAZHJzL2Uy&#10;b0RvYy54bWxQSwUGAAAAAAYABgBZAQAAlgUAAAAA&#10;">
                      <v:fill on="f" focussize="0,0"/>
                      <v:stroke on="f"/>
                      <v:imagedata o:title=""/>
                      <o:lock v:ext="edit" aspectratio="f"/>
                      <v:textbox inset="0mm,0mm,0mm,0mm">
                        <w:txbxContent>
                          <w:p>
                            <w:r>
                              <w:rPr>
                                <w:b/>
                                <w:bCs/>
                                <w:color w:val="000000"/>
                                <w:sz w:val="24"/>
                              </w:rPr>
                              <w:t>R</w:t>
                            </w:r>
                            <w:r>
                              <w:rPr>
                                <w:rFonts w:hint="eastAsia"/>
                                <w:b/>
                                <w:bCs/>
                                <w:color w:val="000000"/>
                                <w:sz w:val="24"/>
                              </w:rPr>
                              <w:t>4</w:t>
                            </w:r>
                          </w:p>
                        </w:txbxContent>
                      </v:textbox>
                    </v:rect>
                  </w:pict>
                </mc:Fallback>
              </mc:AlternateContent>
            </w:r>
            <w:r>
              <w:rPr>
                <w:noProof/>
              </w:rPr>
              <mc:AlternateContent>
                <mc:Choice Requires="wps">
                  <w:drawing>
                    <wp:anchor distT="0" distB="0" distL="114300" distR="114300" simplePos="0" relativeHeight="251676672" behindDoc="0" locked="0" layoutInCell="1" allowOverlap="1" wp14:anchorId="40A038A7" wp14:editId="5DAA3CDA">
                      <wp:simplePos x="0" y="0"/>
                      <wp:positionH relativeFrom="column">
                        <wp:posOffset>1593850</wp:posOffset>
                      </wp:positionH>
                      <wp:positionV relativeFrom="paragraph">
                        <wp:posOffset>1574800</wp:posOffset>
                      </wp:positionV>
                      <wp:extent cx="114935" cy="198120"/>
                      <wp:effectExtent l="0" t="0" r="0" b="0"/>
                      <wp:wrapNone/>
                      <wp:docPr id="51"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98120"/>
                              </a:xfrm>
                              <a:prstGeom prst="rect">
                                <a:avLst/>
                              </a:prstGeom>
                              <a:noFill/>
                              <a:ln>
                                <a:noFill/>
                              </a:ln>
                            </wps:spPr>
                            <wps:txbx>
                              <w:txbxContent>
                                <w:p w14:paraId="7ED09625" w14:textId="77777777" w:rsidR="003E7F78" w:rsidRDefault="003E7F78"/>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52" o:spid="_x0000_s1026" o:spt="1" style="position:absolute;left:0pt;margin-left:125.5pt;margin-top:124pt;height:15.6pt;width:9.05pt;mso-wrap-style:none;z-index:251676672;mso-width-relative:page;mso-height-relative:page;" filled="f" stroked="f" coordsize="21600,21600" o:gfxdata="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GNsTNcAAAALAQAADwAAAAAAAAABACAAAAAiAAAAZHJzL2Rvd25yZXYueG1s&#10;UEsBAhQAFAAAAAgAh07iQGBhWE/5AQAA+wMAAA4AAAAAAAAAAQAgAAAAJgEAAGRycy9lMm9Eb2Mu&#10;eG1sUEsFBgAAAAAGAAYAWQEAAJEFAAAAAA==&#10;">
                      <v:fill on="f" focussize="0,0"/>
                      <v:stroke on="f"/>
                      <v:imagedata o:title=""/>
                      <o:lock v:ext="edit" aspectratio="f"/>
                      <v:textbox inset="0mm,0mm,0mm,0mm" style="mso-fit-shape-to-text:t;">
                        <w:txbxContent>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66ED5D65" wp14:editId="3B24E29A">
                      <wp:simplePos x="0" y="0"/>
                      <wp:positionH relativeFrom="column">
                        <wp:posOffset>1210310</wp:posOffset>
                      </wp:positionH>
                      <wp:positionV relativeFrom="paragraph">
                        <wp:posOffset>1813560</wp:posOffset>
                      </wp:positionV>
                      <wp:extent cx="186690" cy="198120"/>
                      <wp:effectExtent l="0" t="0" r="0" b="0"/>
                      <wp:wrapNone/>
                      <wp:docPr id="49"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 cy="198120"/>
                              </a:xfrm>
                              <a:prstGeom prst="rect">
                                <a:avLst/>
                              </a:prstGeom>
                              <a:noFill/>
                              <a:ln>
                                <a:noFill/>
                              </a:ln>
                            </wps:spPr>
                            <wps:txbx>
                              <w:txbxContent>
                                <w:p w14:paraId="2B166718" w14:textId="77777777" w:rsidR="003E7F78" w:rsidRDefault="00741AB5">
                                  <w:r>
                                    <w:rPr>
                                      <w:b/>
                                      <w:bCs/>
                                      <w:color w:val="000000"/>
                                      <w:sz w:val="24"/>
                                    </w:rPr>
                                    <w:t>R</w:t>
                                  </w:r>
                                  <w:r>
                                    <w:rPr>
                                      <w:rFonts w:hint="eastAsia"/>
                                      <w:b/>
                                      <w:bCs/>
                                      <w:color w:val="000000"/>
                                      <w:sz w:val="24"/>
                                    </w:rPr>
                                    <w:t>2</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50" o:spid="_x0000_s1026" o:spt="1" style="position:absolute;left:0pt;margin-left:95.3pt;margin-top:142.8pt;height:15.6pt;width:14.7pt;mso-wrap-style:none;z-index:251675648;mso-width-relative:page;mso-height-relative:page;" filled="f" stroked="f" coordsize="21600,21600" o:gfxdata="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SDxaE1gAAAAsBAAAPAAAAAAAAAAEAIAAAACIAAABkcnMvZG93bnJldi54bWxQ&#10;SwECFAAUAAAACACHTuJALuj1W/kBAAD7AwAADgAAAAAAAAABACAAAAAlAQAAZHJzL2Uyb0RvYy54&#10;bWxQSwUGAAAAAAYABgBZAQAAkAUAAAAA&#10;">
                      <v:fill on="f" focussize="0,0"/>
                      <v:stroke on="f"/>
                      <v:imagedata o:title=""/>
                      <o:lock v:ext="edit" aspectratio="f"/>
                      <v:textbox inset="0mm,0mm,0mm,0mm" style="mso-fit-shape-to-text:t;">
                        <w:txbxContent>
                          <w:p>
                            <w:r>
                              <w:rPr>
                                <w:b/>
                                <w:bCs/>
                                <w:color w:val="000000"/>
                                <w:sz w:val="24"/>
                              </w:rPr>
                              <w:t>R</w:t>
                            </w:r>
                            <w:r>
                              <w:rPr>
                                <w:rFonts w:hint="eastAsia"/>
                                <w:b/>
                                <w:bCs/>
                                <w:color w:val="000000"/>
                                <w:sz w:val="24"/>
                              </w:rPr>
                              <w:t>2</w:t>
                            </w:r>
                          </w:p>
                        </w:txbxContent>
                      </v:textbox>
                    </v:rect>
                  </w:pict>
                </mc:Fallback>
              </mc:AlternateContent>
            </w:r>
            <w:r>
              <w:rPr>
                <w:noProof/>
              </w:rPr>
              <mc:AlternateContent>
                <mc:Choice Requires="wps">
                  <w:drawing>
                    <wp:anchor distT="0" distB="0" distL="114300" distR="114300" simplePos="0" relativeHeight="251674624" behindDoc="0" locked="0" layoutInCell="1" allowOverlap="1" wp14:anchorId="111611E7" wp14:editId="16B98A3C">
                      <wp:simplePos x="0" y="0"/>
                      <wp:positionH relativeFrom="column">
                        <wp:posOffset>821690</wp:posOffset>
                      </wp:positionH>
                      <wp:positionV relativeFrom="paragraph">
                        <wp:posOffset>2042795</wp:posOffset>
                      </wp:positionV>
                      <wp:extent cx="308610" cy="231775"/>
                      <wp:effectExtent l="0" t="0" r="0" b="0"/>
                      <wp:wrapNone/>
                      <wp:docPr id="46"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 cy="231775"/>
                              </a:xfrm>
                              <a:prstGeom prst="rect">
                                <a:avLst/>
                              </a:prstGeom>
                              <a:noFill/>
                              <a:ln>
                                <a:noFill/>
                              </a:ln>
                            </wps:spPr>
                            <wps:txbx>
                              <w:txbxContent>
                                <w:p w14:paraId="13DE1FD9" w14:textId="77777777" w:rsidR="003E7F78" w:rsidRDefault="00741AB5">
                                  <w:pPr>
                                    <w:rPr>
                                      <w:color w:val="000000"/>
                                    </w:rPr>
                                  </w:pPr>
                                  <w:r>
                                    <w:rPr>
                                      <w:b/>
                                      <w:bCs/>
                                      <w:color w:val="000000"/>
                                      <w:sz w:val="24"/>
                                    </w:rPr>
                                    <w:t>R</w:t>
                                  </w:r>
                                  <w:r>
                                    <w:rPr>
                                      <w:rFonts w:hint="eastAsia"/>
                                      <w:b/>
                                      <w:bCs/>
                                      <w:color w:val="000000"/>
                                      <w:sz w:val="24"/>
                                    </w:rPr>
                                    <w:t>1</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147" o:spid="_x0000_s1026" o:spt="1" style="position:absolute;left:0pt;margin-left:64.7pt;margin-top:160.85pt;height:18.25pt;width:24.3pt;z-index:251674624;mso-width-relative:page;mso-height-relative:page;" filled="f" stroked="f" coordsize="21600,21600" o:gfxdata="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EdAMH2gAAAAsBAAAPAAAAAAAAAAEAIAAAACIAAABkcnMvZG93bnJl&#10;di54bWxQSwECFAAUAAAACACHTuJARJDEOPsBAAD9AwAADgAAAAAAAAABACAAAAApAQAAZHJzL2Uy&#10;b0RvYy54bWxQSwUGAAAAAAYABgBZAQAAlgUAAAAA&#10;">
                      <v:fill on="f" focussize="0,0"/>
                      <v:stroke on="f"/>
                      <v:imagedata o:title=""/>
                      <o:lock v:ext="edit" aspectratio="f"/>
                      <v:textbox inset="0mm,0mm,0mm,0mm">
                        <w:txbxContent>
                          <w:p>
                            <w:pPr>
                              <w:rPr>
                                <w:color w:val="000000"/>
                              </w:rPr>
                            </w:pPr>
                            <w:r>
                              <w:rPr>
                                <w:b/>
                                <w:bCs/>
                                <w:color w:val="000000"/>
                                <w:sz w:val="24"/>
                              </w:rPr>
                              <w:t>R</w:t>
                            </w:r>
                            <w:r>
                              <w:rPr>
                                <w:rFonts w:hint="eastAsia"/>
                                <w:b/>
                                <w:bCs/>
                                <w:color w:val="000000"/>
                                <w:sz w:val="24"/>
                              </w:rPr>
                              <w:t>1</w:t>
                            </w:r>
                          </w:p>
                        </w:txbxContent>
                      </v:textbox>
                    </v:rect>
                  </w:pict>
                </mc:Fallback>
              </mc:AlternateContent>
            </w:r>
            <w:r>
              <w:rPr>
                <w:noProof/>
              </w:rPr>
              <mc:AlternateContent>
                <mc:Choice Requires="wps">
                  <w:drawing>
                    <wp:anchor distT="0" distB="0" distL="114300" distR="114300" simplePos="0" relativeHeight="251673600" behindDoc="0" locked="0" layoutInCell="1" allowOverlap="1" wp14:anchorId="66F8E5ED" wp14:editId="7599B5E5">
                      <wp:simplePos x="0" y="0"/>
                      <wp:positionH relativeFrom="column">
                        <wp:posOffset>3204845</wp:posOffset>
                      </wp:positionH>
                      <wp:positionV relativeFrom="paragraph">
                        <wp:posOffset>2453005</wp:posOffset>
                      </wp:positionV>
                      <wp:extent cx="133985" cy="198120"/>
                      <wp:effectExtent l="0" t="0" r="0" b="0"/>
                      <wp:wrapNone/>
                      <wp:docPr id="42"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674D80CF" w14:textId="77777777" w:rsidR="003E7F78" w:rsidRDefault="00741AB5">
                                  <w:pPr>
                                    <w:rPr>
                                      <w:szCs w:val="21"/>
                                    </w:rPr>
                                  </w:pPr>
                                  <w:r>
                                    <w:rPr>
                                      <w:rFonts w:ascii="宋体" w:cs="宋体" w:hint="eastAsia"/>
                                      <w:b/>
                                      <w:bCs/>
                                      <w:color w:val="000000"/>
                                      <w:szCs w:val="21"/>
                                    </w:rPr>
                                    <w:t>度</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43" o:spid="_x0000_s1026" o:spt="1" style="position:absolute;left:0pt;margin-left:252.35pt;margin-top:193.15pt;height:15.6pt;width:10.55pt;mso-wrap-style:none;z-index:251673600;mso-width-relative:page;mso-height-relative:page;" filled="f" stroked="f" coordsize="21600,21600" o:gfxdata="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Qod9NkAAAALAQAADwAAAAAAAAABACAAAAAiAAAAZHJzL2Rvd25yZXYu&#10;eG1sUEsBAhQAFAAAAAgAh07iQHUjnt/6AQAA+wMAAA4AAAAAAAAAAQAgAAAAKAEAAGRycy9lMm9E&#10;b2MueG1sUEsFBgAAAAAGAAYAWQEAAJQFA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度</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24E41B9D" wp14:editId="5E040E9B">
                      <wp:simplePos x="0" y="0"/>
                      <wp:positionH relativeFrom="column">
                        <wp:posOffset>3004820</wp:posOffset>
                      </wp:positionH>
                      <wp:positionV relativeFrom="paragraph">
                        <wp:posOffset>2453005</wp:posOffset>
                      </wp:positionV>
                      <wp:extent cx="133985" cy="198120"/>
                      <wp:effectExtent l="0" t="0" r="0" b="0"/>
                      <wp:wrapNone/>
                      <wp:docPr id="41"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55377D57" w14:textId="77777777" w:rsidR="003E7F78" w:rsidRDefault="00741AB5">
                                  <w:pPr>
                                    <w:rPr>
                                      <w:szCs w:val="21"/>
                                    </w:rPr>
                                  </w:pPr>
                                  <w:r>
                                    <w:rPr>
                                      <w:rFonts w:ascii="宋体" w:cs="宋体" w:hint="eastAsia"/>
                                      <w:b/>
                                      <w:bCs/>
                                      <w:color w:val="000000"/>
                                      <w:szCs w:val="21"/>
                                    </w:rPr>
                                    <w:t>程</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42" o:spid="_x0000_s1026" o:spt="1" style="position:absolute;left:0pt;margin-left:236.6pt;margin-top:193.15pt;height:15.6pt;width:10.55pt;mso-wrap-style:none;z-index:251672576;mso-width-relative:page;mso-height-relative:page;" filled="f" stroked="f" coordsize="21600,21600" o:gfxdata="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1g5ZL2AAAAAsBAAAPAAAAAAAAAAEAIAAAACIAAABkcnMvZG93bnJldi54&#10;bWxQSwECFAAUAAAACACHTuJAlnyurPoBAAD7AwAADgAAAAAAAAABACAAAAAnAQAAZHJzL2Uyb0Rv&#10;Yy54bWxQSwUGAAAAAAYABgBZAQAAkwU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程</w:t>
                            </w:r>
                          </w:p>
                        </w:txbxContent>
                      </v:textbox>
                    </v:rect>
                  </w:pict>
                </mc:Fallback>
              </mc:AlternateContent>
            </w:r>
            <w:r>
              <w:rPr>
                <w:noProof/>
              </w:rPr>
              <mc:AlternateContent>
                <mc:Choice Requires="wps">
                  <w:drawing>
                    <wp:anchor distT="0" distB="0" distL="114300" distR="114300" simplePos="0" relativeHeight="251671552" behindDoc="0" locked="0" layoutInCell="1" allowOverlap="1" wp14:anchorId="5CB12F77" wp14:editId="1476DC4C">
                      <wp:simplePos x="0" y="0"/>
                      <wp:positionH relativeFrom="column">
                        <wp:posOffset>2813685</wp:posOffset>
                      </wp:positionH>
                      <wp:positionV relativeFrom="paragraph">
                        <wp:posOffset>2453005</wp:posOffset>
                      </wp:positionV>
                      <wp:extent cx="133985" cy="198120"/>
                      <wp:effectExtent l="0" t="0" r="0" b="0"/>
                      <wp:wrapNone/>
                      <wp:docPr id="40"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6FFD0CF8" w14:textId="77777777" w:rsidR="003E7F78" w:rsidRDefault="00741AB5">
                                  <w:pPr>
                                    <w:rPr>
                                      <w:szCs w:val="21"/>
                                    </w:rPr>
                                  </w:pPr>
                                  <w:r>
                                    <w:rPr>
                                      <w:rFonts w:ascii="宋体" w:cs="宋体" w:hint="eastAsia"/>
                                      <w:b/>
                                      <w:bCs/>
                                      <w:color w:val="000000"/>
                                      <w:szCs w:val="21"/>
                                    </w:rPr>
                                    <w:t>险</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41" o:spid="_x0000_s1026" o:spt="1" style="position:absolute;left:0pt;margin-left:221.55pt;margin-top:193.15pt;height:15.6pt;width:10.55pt;mso-wrap-style:none;z-index:251671552;mso-width-relative:page;mso-height-relative:page;" filled="f" stroked="f" coordsize="21600,21600" o:gfxdata="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FD/AdgAAAALAQAADwAAAAAAAAABACAAAAAiAAAAZHJzL2Rvd25yZXYueG1s&#10;UEsBAhQAFAAAAAgAh07iQM0wTMP4AQAA+wMAAA4AAAAAAAAAAQAgAAAAJwEAAGRycy9lMm9Eb2Mu&#10;eG1sUEsFBgAAAAAGAAYAWQEAAJEFA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险</w:t>
                            </w:r>
                          </w:p>
                        </w:txbxContent>
                      </v:textbox>
                    </v:rect>
                  </w:pict>
                </mc:Fallback>
              </mc:AlternateContent>
            </w:r>
            <w:r>
              <w:rPr>
                <w:noProof/>
              </w:rPr>
              <mc:AlternateContent>
                <mc:Choice Requires="wps">
                  <w:drawing>
                    <wp:anchor distT="0" distB="0" distL="114300" distR="114300" simplePos="0" relativeHeight="251670528" behindDoc="0" locked="0" layoutInCell="1" allowOverlap="1" wp14:anchorId="2EEE10F3" wp14:editId="7E0CFCBC">
                      <wp:simplePos x="0" y="0"/>
                      <wp:positionH relativeFrom="column">
                        <wp:posOffset>2623185</wp:posOffset>
                      </wp:positionH>
                      <wp:positionV relativeFrom="paragraph">
                        <wp:posOffset>2453005</wp:posOffset>
                      </wp:positionV>
                      <wp:extent cx="133985" cy="198120"/>
                      <wp:effectExtent l="0" t="0" r="0" b="0"/>
                      <wp:wrapNone/>
                      <wp:docPr id="39"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1FE75C81" w14:textId="77777777" w:rsidR="003E7F78" w:rsidRDefault="00741AB5">
                                  <w:pPr>
                                    <w:rPr>
                                      <w:szCs w:val="21"/>
                                    </w:rPr>
                                  </w:pPr>
                                  <w:r>
                                    <w:rPr>
                                      <w:rFonts w:ascii="宋体" w:cs="宋体" w:hint="eastAsia"/>
                                      <w:b/>
                                      <w:bCs/>
                                      <w:color w:val="000000"/>
                                      <w:szCs w:val="21"/>
                                    </w:rPr>
                                    <w:t>风</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40" o:spid="_x0000_s1026" o:spt="1" style="position:absolute;left:0pt;margin-left:206.55pt;margin-top:193.15pt;height:15.6pt;width:10.55pt;mso-wrap-style:none;z-index:251670528;mso-width-relative:page;mso-height-relative:page;" filled="f" stroked="f" coordsize="21600,21600" o:gfxdata="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RgagfYAAAACwEAAA8AAAAAAAAAAQAgAAAAIgAAAGRycy9kb3ducmV2Lnht&#10;bFBLAQIUABQAAAAIAIdO4kBFxNhU+QEAAPsDAAAOAAAAAAAAAAEAIAAAACcBAABkcnMvZTJvRG9j&#10;LnhtbFBLBQYAAAAABgAGAFkBAACSBQ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风</w:t>
                            </w: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5348BCEB" wp14:editId="288470B1">
                      <wp:simplePos x="0" y="0"/>
                      <wp:positionH relativeFrom="column">
                        <wp:posOffset>230505</wp:posOffset>
                      </wp:positionH>
                      <wp:positionV relativeFrom="paragraph">
                        <wp:posOffset>906780</wp:posOffset>
                      </wp:positionV>
                      <wp:extent cx="133985" cy="198120"/>
                      <wp:effectExtent l="0" t="0" r="0" b="0"/>
                      <wp:wrapNone/>
                      <wp:docPr id="38"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3621238C" w14:textId="77777777" w:rsidR="003E7F78" w:rsidRDefault="00741AB5">
                                  <w:pPr>
                                    <w:rPr>
                                      <w:szCs w:val="21"/>
                                    </w:rPr>
                                  </w:pPr>
                                  <w:r>
                                    <w:rPr>
                                      <w:rFonts w:ascii="宋体" w:cs="宋体" w:hint="eastAsia"/>
                                      <w:b/>
                                      <w:bCs/>
                                      <w:color w:val="000000"/>
                                      <w:szCs w:val="21"/>
                                    </w:rPr>
                                    <w:t>益</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39" o:spid="_x0000_s1026" o:spt="1" style="position:absolute;left:0pt;margin-left:18.15pt;margin-top:71.4pt;height:15.6pt;width:10.55pt;mso-wrap-style:none;z-index:251669504;mso-width-relative:page;mso-height-relative:page;" filled="f" stroked="f" coordsize="21600,21600" o:gfxdata="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wntec1gAAAAkBAAAPAAAAAAAAAAEAIAAAACIAAABkcnMvZG93bnJldi54bWxQ&#10;SwECFAAUAAAACACHTuJAbbX1qvkBAAD7AwAADgAAAAAAAAABACAAAAAlAQAAZHJzL2Uyb0RvYy54&#10;bWxQSwUGAAAAAAYABgBZAQAAkAU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益</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7BE410A9" wp14:editId="776025D7">
                      <wp:simplePos x="0" y="0"/>
                      <wp:positionH relativeFrom="column">
                        <wp:posOffset>230505</wp:posOffset>
                      </wp:positionH>
                      <wp:positionV relativeFrom="paragraph">
                        <wp:posOffset>706755</wp:posOffset>
                      </wp:positionV>
                      <wp:extent cx="133985" cy="198120"/>
                      <wp:effectExtent l="0" t="0" r="0" b="0"/>
                      <wp:wrapNone/>
                      <wp:docPr id="37"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0D16229D" w14:textId="77777777" w:rsidR="003E7F78" w:rsidRDefault="00741AB5">
                                  <w:pPr>
                                    <w:rPr>
                                      <w:szCs w:val="21"/>
                                    </w:rPr>
                                  </w:pPr>
                                  <w:r>
                                    <w:rPr>
                                      <w:rFonts w:ascii="宋体" w:cs="宋体" w:hint="eastAsia"/>
                                      <w:b/>
                                      <w:bCs/>
                                      <w:color w:val="000000"/>
                                      <w:szCs w:val="21"/>
                                    </w:rPr>
                                    <w:t>收</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38" o:spid="_x0000_s1026" o:spt="1" style="position:absolute;left:0pt;margin-left:18.15pt;margin-top:55.65pt;height:15.6pt;width:10.55pt;mso-wrap-style:none;z-index:251668480;mso-width-relative:page;mso-height-relative:page;" filled="f" stroked="f" coordsize="21600,21600" o:gfxdata="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5fl5xdYAAAAJAQAADwAAAAAAAAABACAAAAAiAAAAZHJzL2Rvd25yZXYueG1s&#10;UEsBAhQAFAAAAAgAh07iQE0YYw36AQAA+wMAAA4AAAAAAAAAAQAgAAAAJQEAAGRycy9lMm9Eb2Mu&#10;eG1sUEsFBgAAAAAGAAYAWQEAAJEFA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收</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3E98B273" wp14:editId="0302BDAC">
                      <wp:simplePos x="0" y="0"/>
                      <wp:positionH relativeFrom="column">
                        <wp:posOffset>230505</wp:posOffset>
                      </wp:positionH>
                      <wp:positionV relativeFrom="paragraph">
                        <wp:posOffset>506095</wp:posOffset>
                      </wp:positionV>
                      <wp:extent cx="133985" cy="198120"/>
                      <wp:effectExtent l="0" t="0" r="0" b="0"/>
                      <wp:wrapNone/>
                      <wp:docPr id="36"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516EEDA2" w14:textId="77777777" w:rsidR="003E7F78" w:rsidRDefault="00741AB5">
                                  <w:pPr>
                                    <w:rPr>
                                      <w:szCs w:val="21"/>
                                    </w:rPr>
                                  </w:pPr>
                                  <w:r>
                                    <w:rPr>
                                      <w:rFonts w:ascii="宋体" w:cs="宋体" w:hint="eastAsia"/>
                                      <w:b/>
                                      <w:bCs/>
                                      <w:color w:val="000000"/>
                                      <w:szCs w:val="21"/>
                                    </w:rPr>
                                    <w:t>险</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37" o:spid="_x0000_s1026" o:spt="1" style="position:absolute;left:0pt;margin-left:18.15pt;margin-top:39.85pt;height:15.6pt;width:10.55pt;mso-wrap-style:none;z-index:251667456;mso-width-relative:page;mso-height-relative:page;" filled="f" stroked="f" coordsize="21600,21600" o:gfxdata="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uzfFtYAAAAIAQAADwAAAAAAAAABACAAAAAiAAAAZHJzL2Rvd25yZXYueG1s&#10;UEsBAhQAFAAAAAgAh07iQEXPy/z6AQAA+wMAAA4AAAAAAAAAAQAgAAAAJQEAAGRycy9lMm9Eb2Mu&#10;eG1sUEsFBgAAAAAGAAYAWQEAAJEFA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险</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1B33256F" wp14:editId="142FE4C7">
                      <wp:simplePos x="0" y="0"/>
                      <wp:positionH relativeFrom="column">
                        <wp:posOffset>230505</wp:posOffset>
                      </wp:positionH>
                      <wp:positionV relativeFrom="paragraph">
                        <wp:posOffset>296545</wp:posOffset>
                      </wp:positionV>
                      <wp:extent cx="133985" cy="198120"/>
                      <wp:effectExtent l="0" t="0" r="0" b="0"/>
                      <wp:wrapNone/>
                      <wp:docPr id="35"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25BF4715" w14:textId="77777777" w:rsidR="003E7F78" w:rsidRDefault="00741AB5">
                                  <w:pPr>
                                    <w:rPr>
                                      <w:szCs w:val="21"/>
                                    </w:rPr>
                                  </w:pPr>
                                  <w:r>
                                    <w:rPr>
                                      <w:rFonts w:ascii="宋体" w:cs="宋体" w:hint="eastAsia"/>
                                      <w:b/>
                                      <w:bCs/>
                                      <w:color w:val="000000"/>
                                      <w:szCs w:val="21"/>
                                    </w:rPr>
                                    <w:t>风</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36" o:spid="_x0000_s1026" o:spt="1" style="position:absolute;left:0pt;margin-left:18.15pt;margin-top:23.35pt;height:15.6pt;width:10.55pt;mso-wrap-style:none;z-index:251666432;mso-width-relative:page;mso-height-relative:page;" filled="f" stroked="f" coordsize="21600,21600" o:gfxdata="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wCuXnVAAAABwEAAA8AAAAAAAAAAQAgAAAAIgAAAGRycy9kb3ducmV2LnhtbFBL&#10;AQIUABQAAAAIAIdO4kCmkPuP+QEAAPsDAAAOAAAAAAAAAAEAIAAAACQBAABkcnMvZTJvRG9jLnht&#10;bFBLBQYAAAAABgAGAFkBAACPBQ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风</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0C685B6C" wp14:editId="1A87E965">
                      <wp:simplePos x="0" y="0"/>
                      <wp:positionH relativeFrom="column">
                        <wp:posOffset>173355</wp:posOffset>
                      </wp:positionH>
                      <wp:positionV relativeFrom="paragraph">
                        <wp:posOffset>124460</wp:posOffset>
                      </wp:positionV>
                      <wp:extent cx="3419475" cy="2562225"/>
                      <wp:effectExtent l="0" t="0" r="0" b="0"/>
                      <wp:wrapNone/>
                      <wp:docPr id="34" name="Rectangle 1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19475" cy="2562225"/>
                              </a:xfrm>
                              <a:prstGeom prst="rect">
                                <a:avLst/>
                              </a:prstGeom>
                              <a:no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135" o:spid="_x0000_s1026" o:spt="1" style="position:absolute;left:0pt;margin-left:13.65pt;margin-top:9.8pt;height:201.75pt;width:269.25pt;z-index:251665408;mso-width-relative:page;mso-height-relative:page;" filled="f" stroked="f" coordsize="21600,21600" o:gfxdata="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CPpINoAAAAJAQAADwAAAAAAAAABACAAAAAi&#10;AAAAZHJzL2Rvd25yZXYueG1sUEsBAhQAFAAAAAgAh07iQAaicXoIAgAAFwQAAA4AAAAAAAAAAQAg&#10;AAAAKQEAAGRycy9lMm9Eb2MueG1sUEsFBgAAAAAGAAYAWQEAAKMFAAAAAA==&#10;">
                      <v:fill on="f" focussize="0,0"/>
                      <v:stroke on="f"/>
                      <v:imagedata o:title=""/>
                      <o:lock v:ext="edit" aspectratio="t"/>
                    </v:rect>
                  </w:pict>
                </mc:Fallback>
              </mc:AlternateContent>
            </w:r>
            <w:r>
              <w:rPr>
                <w:noProof/>
              </w:rPr>
              <mc:AlternateContent>
                <mc:Choice Requires="wps">
                  <w:drawing>
                    <wp:anchor distT="0" distB="0" distL="114300" distR="114300" simplePos="0" relativeHeight="251659264" behindDoc="1" locked="0" layoutInCell="1" allowOverlap="1" wp14:anchorId="6B119324" wp14:editId="1C46C8E9">
                      <wp:simplePos x="0" y="0"/>
                      <wp:positionH relativeFrom="column">
                        <wp:posOffset>3592830</wp:posOffset>
                      </wp:positionH>
                      <wp:positionV relativeFrom="paragraph">
                        <wp:posOffset>133985</wp:posOffset>
                      </wp:positionV>
                      <wp:extent cx="1320800" cy="1617980"/>
                      <wp:effectExtent l="0" t="0" r="0" b="1270"/>
                      <wp:wrapNone/>
                      <wp:docPr id="3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1617980"/>
                              </a:xfrm>
                              <a:prstGeom prst="rect">
                                <a:avLst/>
                              </a:prstGeom>
                              <a:noFill/>
                              <a:ln w="9525">
                                <a:solidFill>
                                  <a:srgbClr val="95B3D7"/>
                                </a:solidFill>
                                <a:miter lim="800000"/>
                              </a:ln>
                            </wps:spPr>
                            <wps:txbx>
                              <w:txbxContent>
                                <w:p w14:paraId="20966F78" w14:textId="77777777" w:rsidR="003E7F78" w:rsidRDefault="00741AB5">
                                  <w:pPr>
                                    <w:shd w:val="clear" w:color="auto" w:fill="B3B3B3"/>
                                    <w:spacing w:line="360" w:lineRule="auto"/>
                                    <w:rPr>
                                      <w:rFonts w:ascii="Arial" w:hAnsi="Arial" w:cs="Arial"/>
                                      <w:b/>
                                      <w:kern w:val="0"/>
                                      <w:szCs w:val="21"/>
                                    </w:rPr>
                                  </w:pPr>
                                  <w:r>
                                    <w:rPr>
                                      <w:rFonts w:ascii="Arial" w:hAnsi="Arial" w:cs="Arial" w:hint="eastAsia"/>
                                      <w:b/>
                                      <w:kern w:val="0"/>
                                      <w:szCs w:val="21"/>
                                    </w:rPr>
                                    <w:t>R5</w:t>
                                  </w:r>
                                  <w:r>
                                    <w:rPr>
                                      <w:rFonts w:ascii="Arial" w:hAnsi="Arial" w:cs="Arial" w:hint="eastAsia"/>
                                      <w:b/>
                                      <w:kern w:val="0"/>
                                      <w:szCs w:val="21"/>
                                    </w:rPr>
                                    <w:t>：</w:t>
                                  </w:r>
                                  <w:r>
                                    <w:rPr>
                                      <w:rFonts w:ascii="Arial" w:hAnsi="宋体" w:cs="Arial" w:hint="eastAsia"/>
                                      <w:b/>
                                      <w:kern w:val="0"/>
                                      <w:szCs w:val="21"/>
                                    </w:rPr>
                                    <w:t>高风险</w:t>
                                  </w:r>
                                </w:p>
                                <w:p w14:paraId="463F1E51" w14:textId="77777777" w:rsidR="003E7F78" w:rsidRDefault="00741AB5">
                                  <w:pPr>
                                    <w:shd w:val="clear" w:color="auto" w:fill="B3B3B3"/>
                                    <w:spacing w:line="360" w:lineRule="auto"/>
                                    <w:rPr>
                                      <w:rFonts w:ascii="Arial" w:hAnsi="Arial" w:cs="Arial"/>
                                      <w:b/>
                                      <w:kern w:val="0"/>
                                      <w:szCs w:val="21"/>
                                    </w:rPr>
                                  </w:pPr>
                                  <w:r>
                                    <w:rPr>
                                      <w:rFonts w:ascii="Arial" w:hAnsi="Arial" w:cs="Arial" w:hint="eastAsia"/>
                                      <w:b/>
                                      <w:kern w:val="0"/>
                                      <w:szCs w:val="21"/>
                                    </w:rPr>
                                    <w:t>R4</w:t>
                                  </w:r>
                                  <w:r>
                                    <w:rPr>
                                      <w:rFonts w:ascii="Arial" w:hAnsi="Arial" w:cs="Arial" w:hint="eastAsia"/>
                                      <w:b/>
                                      <w:kern w:val="0"/>
                                      <w:szCs w:val="21"/>
                                    </w:rPr>
                                    <w:t>：</w:t>
                                  </w:r>
                                  <w:r>
                                    <w:rPr>
                                      <w:rFonts w:ascii="Arial" w:hAnsi="宋体" w:cs="Arial" w:hint="eastAsia"/>
                                      <w:b/>
                                      <w:kern w:val="0"/>
                                      <w:szCs w:val="21"/>
                                    </w:rPr>
                                    <w:t>较高风险</w:t>
                                  </w:r>
                                </w:p>
                                <w:p w14:paraId="7E7AED74" w14:textId="77777777" w:rsidR="003E7F78" w:rsidRDefault="00741AB5">
                                  <w:pPr>
                                    <w:shd w:val="clear" w:color="auto" w:fill="B3B3B3"/>
                                    <w:spacing w:line="360" w:lineRule="auto"/>
                                    <w:rPr>
                                      <w:rFonts w:ascii="Arial" w:hAnsi="Arial" w:cs="Arial"/>
                                      <w:b/>
                                      <w:kern w:val="0"/>
                                      <w:szCs w:val="21"/>
                                    </w:rPr>
                                  </w:pPr>
                                  <w:r>
                                    <w:rPr>
                                      <w:rFonts w:ascii="Arial" w:hAnsi="Arial" w:cs="Arial" w:hint="eastAsia"/>
                                      <w:b/>
                                      <w:kern w:val="0"/>
                                      <w:szCs w:val="21"/>
                                    </w:rPr>
                                    <w:t>R3</w:t>
                                  </w:r>
                                  <w:r>
                                    <w:rPr>
                                      <w:rFonts w:ascii="Arial" w:hAnsi="Arial" w:cs="Arial" w:hint="eastAsia"/>
                                      <w:b/>
                                      <w:kern w:val="0"/>
                                      <w:szCs w:val="21"/>
                                    </w:rPr>
                                    <w:t>：</w:t>
                                  </w:r>
                                  <w:r>
                                    <w:rPr>
                                      <w:rFonts w:ascii="Arial" w:hAnsi="宋体" w:cs="Arial" w:hint="eastAsia"/>
                                      <w:b/>
                                      <w:kern w:val="0"/>
                                      <w:szCs w:val="21"/>
                                    </w:rPr>
                                    <w:t>中等风险</w:t>
                                  </w:r>
                                </w:p>
                                <w:p w14:paraId="4CF467C9" w14:textId="77777777" w:rsidR="003E7F78" w:rsidRDefault="00741AB5">
                                  <w:pPr>
                                    <w:shd w:val="clear" w:color="auto" w:fill="B3B3B3"/>
                                    <w:spacing w:line="360" w:lineRule="auto"/>
                                    <w:rPr>
                                      <w:rFonts w:ascii="Arial" w:hAnsi="Arial" w:cs="Arial"/>
                                      <w:b/>
                                      <w:kern w:val="0"/>
                                      <w:szCs w:val="21"/>
                                    </w:rPr>
                                  </w:pPr>
                                  <w:r>
                                    <w:rPr>
                                      <w:rFonts w:ascii="Arial" w:hAnsi="Arial" w:cs="Arial"/>
                                      <w:b/>
                                      <w:szCs w:val="21"/>
                                    </w:rPr>
                                    <w:t>R</w:t>
                                  </w:r>
                                  <w:r>
                                    <w:rPr>
                                      <w:rFonts w:ascii="Arial" w:hAnsi="Arial" w:cs="Arial" w:hint="eastAsia"/>
                                      <w:b/>
                                      <w:szCs w:val="21"/>
                                    </w:rPr>
                                    <w:t>2</w:t>
                                  </w:r>
                                  <w:r>
                                    <w:rPr>
                                      <w:rFonts w:ascii="Arial" w:hAnsi="Arial" w:cs="Arial" w:hint="eastAsia"/>
                                      <w:b/>
                                      <w:szCs w:val="21"/>
                                    </w:rPr>
                                    <w:t>：较</w:t>
                                  </w:r>
                                  <w:r>
                                    <w:rPr>
                                      <w:rFonts w:ascii="Arial" w:hAnsi="宋体" w:cs="Arial" w:hint="eastAsia"/>
                                      <w:b/>
                                      <w:kern w:val="0"/>
                                      <w:szCs w:val="21"/>
                                    </w:rPr>
                                    <w:t>低风险</w:t>
                                  </w:r>
                                </w:p>
                                <w:p w14:paraId="573E728B" w14:textId="77777777" w:rsidR="003E7F78" w:rsidRDefault="00741AB5">
                                  <w:pPr>
                                    <w:shd w:val="clear" w:color="auto" w:fill="B3B3B3"/>
                                    <w:spacing w:line="360" w:lineRule="auto"/>
                                    <w:rPr>
                                      <w:rFonts w:ascii="Arial" w:hAnsi="Arial" w:cs="Arial"/>
                                      <w:b/>
                                      <w:szCs w:val="21"/>
                                    </w:rPr>
                                  </w:pPr>
                                  <w:r>
                                    <w:rPr>
                                      <w:rFonts w:ascii="Arial" w:hAnsi="Arial" w:cs="Arial" w:hint="eastAsia"/>
                                      <w:b/>
                                      <w:szCs w:val="21"/>
                                    </w:rPr>
                                    <w:t>R1</w:t>
                                  </w:r>
                                  <w:r>
                                    <w:rPr>
                                      <w:rFonts w:ascii="Arial" w:hAnsi="Arial" w:cs="Arial" w:hint="eastAsia"/>
                                      <w:b/>
                                      <w:szCs w:val="21"/>
                                    </w:rPr>
                                    <w:t>：低风险</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33" o:spid="_x0000_s1026" o:spt="202" type="#_x0000_t202" style="position:absolute;left:0pt;margin-left:282.9pt;margin-top:10.55pt;height:127.4pt;width:104pt;z-index:-251657216;mso-width-relative:page;mso-height-relative:page;" filled="f" stroked="t" coordsize="21600,21600" o:gfxdata="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FCk3GNYAAAAKAQAADwAAAAAAAAABACAAAAAiAAAAZHJzL2Rvd25yZXYu&#10;eG1sUEsBAhQAFAAAAAgAh07iQCQ9CF42AgAAYQQAAA4AAAAAAAAAAQAgAAAAJQEAAGRycy9lMm9E&#10;b2MueG1sUEsFBgAAAAAGAAYAWQEAAM0FAAAAAA==&#10;">
                      <v:fill on="f" focussize="0,0"/>
                      <v:stroke color="#95B3D7" miterlimit="8" joinstyle="miter"/>
                      <v:imagedata o:title=""/>
                      <o:lock v:ext="edit" aspectratio="f"/>
                      <v:textbox>
                        <w:txbxContent>
                          <w:p>
                            <w:pPr>
                              <w:shd w:val="clear" w:color="auto" w:fill="B3B3B3"/>
                              <w:spacing w:line="360" w:lineRule="auto"/>
                              <w:rPr>
                                <w:rFonts w:ascii="Arial" w:hAnsi="Arial" w:cs="Arial"/>
                                <w:b/>
                                <w:kern w:val="0"/>
                                <w:szCs w:val="21"/>
                              </w:rPr>
                            </w:pPr>
                            <w:r>
                              <w:rPr>
                                <w:rFonts w:hint="eastAsia" w:ascii="Arial" w:hAnsi="Arial" w:cs="Arial"/>
                                <w:b/>
                                <w:kern w:val="0"/>
                                <w:szCs w:val="21"/>
                              </w:rPr>
                              <w:t>R5：</w:t>
                            </w:r>
                            <w:r>
                              <w:rPr>
                                <w:rFonts w:hint="eastAsia" w:ascii="Arial" w:hAnsi="宋体" w:cs="Arial"/>
                                <w:b/>
                                <w:kern w:val="0"/>
                                <w:szCs w:val="21"/>
                              </w:rPr>
                              <w:t>高风险</w:t>
                            </w:r>
                          </w:p>
                          <w:p>
                            <w:pPr>
                              <w:shd w:val="clear" w:color="auto" w:fill="B3B3B3"/>
                              <w:spacing w:line="360" w:lineRule="auto"/>
                              <w:rPr>
                                <w:rFonts w:ascii="Arial" w:hAnsi="Arial" w:cs="Arial"/>
                                <w:b/>
                                <w:kern w:val="0"/>
                                <w:szCs w:val="21"/>
                              </w:rPr>
                            </w:pPr>
                            <w:r>
                              <w:rPr>
                                <w:rFonts w:hint="eastAsia" w:ascii="Arial" w:hAnsi="Arial" w:cs="Arial"/>
                                <w:b/>
                                <w:kern w:val="0"/>
                                <w:szCs w:val="21"/>
                              </w:rPr>
                              <w:t>R4：</w:t>
                            </w:r>
                            <w:r>
                              <w:rPr>
                                <w:rFonts w:hint="eastAsia" w:ascii="Arial" w:hAnsi="宋体" w:cs="Arial"/>
                                <w:b/>
                                <w:kern w:val="0"/>
                                <w:szCs w:val="21"/>
                              </w:rPr>
                              <w:t>较高风险</w:t>
                            </w:r>
                          </w:p>
                          <w:p>
                            <w:pPr>
                              <w:shd w:val="clear" w:color="auto" w:fill="B3B3B3"/>
                              <w:spacing w:line="360" w:lineRule="auto"/>
                              <w:rPr>
                                <w:rFonts w:ascii="Arial" w:hAnsi="Arial" w:cs="Arial"/>
                                <w:b/>
                                <w:kern w:val="0"/>
                                <w:szCs w:val="21"/>
                              </w:rPr>
                            </w:pPr>
                            <w:r>
                              <w:rPr>
                                <w:rFonts w:hint="eastAsia" w:ascii="Arial" w:hAnsi="Arial" w:cs="Arial"/>
                                <w:b/>
                                <w:kern w:val="0"/>
                                <w:szCs w:val="21"/>
                              </w:rPr>
                              <w:t>R3：</w:t>
                            </w:r>
                            <w:r>
                              <w:rPr>
                                <w:rFonts w:hint="eastAsia" w:ascii="Arial" w:hAnsi="宋体" w:cs="Arial"/>
                                <w:b/>
                                <w:kern w:val="0"/>
                                <w:szCs w:val="21"/>
                              </w:rPr>
                              <w:t>中等风险</w:t>
                            </w:r>
                          </w:p>
                          <w:p>
                            <w:pPr>
                              <w:shd w:val="clear" w:color="auto" w:fill="B3B3B3"/>
                              <w:spacing w:line="360" w:lineRule="auto"/>
                              <w:rPr>
                                <w:rFonts w:ascii="Arial" w:hAnsi="Arial" w:cs="Arial"/>
                                <w:b/>
                                <w:kern w:val="0"/>
                                <w:szCs w:val="21"/>
                              </w:rPr>
                            </w:pPr>
                            <w:r>
                              <w:rPr>
                                <w:rFonts w:ascii="Arial" w:hAnsi="Arial" w:cs="Arial"/>
                                <w:b/>
                                <w:szCs w:val="21"/>
                              </w:rPr>
                              <w:t>R</w:t>
                            </w:r>
                            <w:r>
                              <w:rPr>
                                <w:rFonts w:hint="eastAsia" w:ascii="Arial" w:hAnsi="Arial" w:cs="Arial"/>
                                <w:b/>
                                <w:szCs w:val="21"/>
                              </w:rPr>
                              <w:t>2：较</w:t>
                            </w:r>
                            <w:r>
                              <w:rPr>
                                <w:rFonts w:hint="eastAsia" w:ascii="Arial" w:hAnsi="宋体" w:cs="Arial"/>
                                <w:b/>
                                <w:kern w:val="0"/>
                                <w:szCs w:val="21"/>
                              </w:rPr>
                              <w:t>低风险</w:t>
                            </w:r>
                          </w:p>
                          <w:p>
                            <w:pPr>
                              <w:shd w:val="clear" w:color="auto" w:fill="B3B3B3"/>
                              <w:spacing w:line="360" w:lineRule="auto"/>
                              <w:rPr>
                                <w:rFonts w:ascii="Arial" w:hAnsi="Arial" w:cs="Arial"/>
                                <w:b/>
                                <w:szCs w:val="21"/>
                              </w:rPr>
                            </w:pPr>
                            <w:r>
                              <w:rPr>
                                <w:rFonts w:hint="eastAsia" w:ascii="Arial" w:hAnsi="Arial" w:cs="Arial"/>
                                <w:b/>
                                <w:szCs w:val="21"/>
                              </w:rPr>
                              <w:t>R1：低风险</w:t>
                            </w:r>
                          </w:p>
                        </w:txbxContent>
                      </v:textbox>
                    </v:shape>
                  </w:pict>
                </mc:Fallback>
              </mc:AlternateContent>
            </w:r>
          </w:p>
          <w:p w14:paraId="2E277FFB" w14:textId="77777777" w:rsidR="003E7F78" w:rsidRDefault="003E7F78">
            <w:pPr>
              <w:spacing w:line="20" w:lineRule="exact"/>
              <w:rPr>
                <w:rFonts w:ascii="仿宋_GB2312" w:eastAsia="仿宋_GB2312" w:hAnsi="宋体" w:cs="Arial"/>
                <w:b/>
                <w:color w:val="000000"/>
                <w:kern w:val="0"/>
                <w:sz w:val="24"/>
                <w:szCs w:val="24"/>
              </w:rPr>
            </w:pPr>
          </w:p>
        </w:tc>
      </w:tr>
    </w:tbl>
    <w:p w14:paraId="20B02B68" w14:textId="77777777" w:rsidR="003E7F78" w:rsidRDefault="00741AB5">
      <w:pPr>
        <w:adjustRightInd w:val="0"/>
        <w:spacing w:line="360" w:lineRule="auto"/>
        <w:ind w:firstLineChars="200" w:firstLine="480"/>
        <w:rPr>
          <w:szCs w:val="21"/>
        </w:rPr>
      </w:pPr>
      <w:r>
        <w:rPr>
          <w:rFonts w:ascii="仿宋_GB2312" w:eastAsia="仿宋_GB2312" w:hint="eastAsia"/>
          <w:sz w:val="24"/>
          <w:szCs w:val="24"/>
        </w:rPr>
        <w:t>▲▲本理财产品通过代销机构销售的，理财产品评级以代销机构最终披露的评级结果为准。</w:t>
      </w:r>
    </w:p>
    <w:p w14:paraId="217DF2E6" w14:textId="77777777" w:rsidR="003E7F78" w:rsidRDefault="00741AB5">
      <w:pPr>
        <w:spacing w:line="360" w:lineRule="auto"/>
        <w:ind w:firstLineChars="200" w:firstLine="482"/>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二、华夏银行代理销售理财产品的流程</w:t>
      </w:r>
    </w:p>
    <w:p w14:paraId="77DC2B48"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（一）华夏银行营业网点</w:t>
      </w:r>
    </w:p>
    <w:p w14:paraId="54755F2B"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Ansi="方正仿宋_GBK" w:cs="方正仿宋_GBK" w:hint="eastAsia"/>
          <w:sz w:val="24"/>
          <w:szCs w:val="24"/>
        </w:rPr>
        <w:t>华夏银行客户经理为机构投资者介绍产品，揭示风险→投资者阅读</w:t>
      </w:r>
      <w:r>
        <w:rPr>
          <w:rFonts w:ascii="仿宋_GB2312" w:eastAsia="仿宋_GB2312" w:hint="eastAsia"/>
          <w:sz w:val="24"/>
          <w:szCs w:val="24"/>
          <w:lang w:eastAsia="zh-Hans"/>
        </w:rPr>
        <w:t>《产品说明书》</w:t>
      </w:r>
      <w:r>
        <w:rPr>
          <w:rFonts w:ascii="仿宋_GB2312" w:eastAsia="仿宋_GB2312" w:hint="eastAsia"/>
          <w:sz w:val="24"/>
          <w:szCs w:val="24"/>
        </w:rPr>
        <w:t>、《</w:t>
      </w:r>
      <w:r>
        <w:rPr>
          <w:rFonts w:ascii="仿宋_GB2312" w:eastAsia="仿宋_GB2312" w:hint="eastAsia"/>
          <w:sz w:val="24"/>
          <w:szCs w:val="24"/>
          <w:lang w:eastAsia="zh-Hans"/>
        </w:rPr>
        <w:t>华夏银行代理销售机构理财产品协议书</w:t>
      </w:r>
      <w:r>
        <w:rPr>
          <w:rFonts w:ascii="仿宋_GB2312" w:eastAsia="仿宋_GB2312" w:hint="eastAsia"/>
          <w:sz w:val="24"/>
          <w:szCs w:val="24"/>
        </w:rPr>
        <w:t>》、《</w:t>
      </w:r>
      <w:r>
        <w:rPr>
          <w:rFonts w:ascii="仿宋_GB2312" w:eastAsia="仿宋_GB2312" w:hint="eastAsia"/>
          <w:sz w:val="24"/>
          <w:szCs w:val="24"/>
          <w:lang w:eastAsia="zh-Hans"/>
        </w:rPr>
        <w:t>投资协议书</w:t>
      </w:r>
      <w:r>
        <w:rPr>
          <w:rFonts w:ascii="仿宋_GB2312" w:eastAsia="仿宋_GB2312" w:hint="eastAsia"/>
          <w:sz w:val="24"/>
          <w:szCs w:val="24"/>
        </w:rPr>
        <w:t>》</w:t>
      </w:r>
      <w:r>
        <w:rPr>
          <w:rFonts w:ascii="仿宋_GB2312" w:eastAsia="仿宋_GB2312" w:hint="eastAsia"/>
          <w:sz w:val="24"/>
          <w:szCs w:val="24"/>
          <w:lang w:eastAsia="zh-Hans"/>
        </w:rPr>
        <w:t>、</w:t>
      </w:r>
      <w:r>
        <w:rPr>
          <w:rFonts w:ascii="仿宋_GB2312" w:eastAsia="仿宋_GB2312" w:hint="eastAsia"/>
          <w:sz w:val="24"/>
          <w:szCs w:val="24"/>
        </w:rPr>
        <w:t>《</w:t>
      </w:r>
      <w:r>
        <w:rPr>
          <w:rFonts w:ascii="仿宋_GB2312" w:eastAsia="仿宋_GB2312" w:hint="eastAsia"/>
          <w:sz w:val="24"/>
          <w:szCs w:val="24"/>
          <w:lang w:eastAsia="zh-Hans"/>
        </w:rPr>
        <w:t>投资者权益须知》</w:t>
      </w:r>
      <w:r>
        <w:rPr>
          <w:rFonts w:ascii="仿宋_GB2312" w:eastAsia="仿宋_GB2312" w:hint="eastAsia"/>
          <w:sz w:val="24"/>
          <w:szCs w:val="24"/>
        </w:rPr>
        <w:t>、</w:t>
      </w:r>
      <w:r>
        <w:rPr>
          <w:rFonts w:ascii="仿宋_GB2312" w:eastAsia="仿宋_GB2312" w:hint="eastAsia"/>
          <w:sz w:val="24"/>
          <w:szCs w:val="24"/>
          <w:lang w:eastAsia="zh-Hans"/>
        </w:rPr>
        <w:t>《风险揭示书</w:t>
      </w:r>
      <w:r>
        <w:rPr>
          <w:rFonts w:ascii="仿宋_GB2312" w:eastAsia="仿宋_GB2312" w:hint="eastAsia"/>
          <w:sz w:val="24"/>
          <w:szCs w:val="24"/>
        </w:rPr>
        <w:t>》</w:t>
      </w:r>
      <w:r>
        <w:rPr>
          <w:rFonts w:ascii="仿宋_GB2312" w:eastAsia="仿宋_GB2312" w:hAnsi="方正仿宋_GBK" w:cs="方正仿宋_GBK" w:hint="eastAsia"/>
          <w:sz w:val="24"/>
          <w:szCs w:val="24"/>
        </w:rPr>
        <w:t>等相关文件→前往柜面进行购买操作→</w:t>
      </w:r>
      <w:r>
        <w:rPr>
          <w:rFonts w:ascii="仿宋_GB2312" w:eastAsia="仿宋_GB2312" w:hint="eastAsia"/>
          <w:sz w:val="24"/>
          <w:szCs w:val="24"/>
        </w:rPr>
        <w:t>理财产品购买操作结束</w:t>
      </w:r>
    </w:p>
    <w:p w14:paraId="35D0D1C2"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（二）华夏银行网上银行</w:t>
      </w:r>
    </w:p>
    <w:p w14:paraId="270BD0DA"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Ansi="方正仿宋_GBK" w:cs="方正仿宋_GBK" w:hint="eastAsia"/>
          <w:sz w:val="24"/>
          <w:szCs w:val="24"/>
        </w:rPr>
        <w:t>机构投资者登录网上银行→选择理财产品，查看产品信息→点击“购买”→阅读</w:t>
      </w:r>
      <w:r>
        <w:rPr>
          <w:rFonts w:ascii="仿宋_GB2312" w:eastAsia="仿宋_GB2312" w:hint="eastAsia"/>
          <w:sz w:val="24"/>
          <w:szCs w:val="24"/>
          <w:lang w:eastAsia="zh-Hans"/>
        </w:rPr>
        <w:t>《产品说明书》</w:t>
      </w:r>
      <w:r>
        <w:rPr>
          <w:rFonts w:ascii="仿宋_GB2312" w:eastAsia="仿宋_GB2312" w:hint="eastAsia"/>
          <w:sz w:val="24"/>
          <w:szCs w:val="24"/>
        </w:rPr>
        <w:t>、《</w:t>
      </w:r>
      <w:r>
        <w:rPr>
          <w:rFonts w:ascii="仿宋_GB2312" w:eastAsia="仿宋_GB2312" w:hint="eastAsia"/>
          <w:sz w:val="24"/>
          <w:szCs w:val="24"/>
          <w:lang w:eastAsia="zh-Hans"/>
        </w:rPr>
        <w:t>华夏银行代理销售机构理财产品协议书</w:t>
      </w:r>
      <w:r>
        <w:rPr>
          <w:rFonts w:ascii="仿宋_GB2312" w:eastAsia="仿宋_GB2312" w:hint="eastAsia"/>
          <w:sz w:val="24"/>
          <w:szCs w:val="24"/>
        </w:rPr>
        <w:t>》、《</w:t>
      </w:r>
      <w:r>
        <w:rPr>
          <w:rFonts w:ascii="仿宋_GB2312" w:eastAsia="仿宋_GB2312" w:hint="eastAsia"/>
          <w:sz w:val="24"/>
          <w:szCs w:val="24"/>
          <w:lang w:eastAsia="zh-Hans"/>
        </w:rPr>
        <w:t>投资协议书</w:t>
      </w:r>
      <w:r>
        <w:rPr>
          <w:rFonts w:ascii="仿宋_GB2312" w:eastAsia="仿宋_GB2312" w:hint="eastAsia"/>
          <w:sz w:val="24"/>
          <w:szCs w:val="24"/>
        </w:rPr>
        <w:t>》</w:t>
      </w:r>
      <w:r>
        <w:rPr>
          <w:rFonts w:ascii="仿宋_GB2312" w:eastAsia="仿宋_GB2312" w:hint="eastAsia"/>
          <w:sz w:val="24"/>
          <w:szCs w:val="24"/>
          <w:lang w:eastAsia="zh-Hans"/>
        </w:rPr>
        <w:t>、</w:t>
      </w:r>
      <w:r>
        <w:rPr>
          <w:rFonts w:ascii="仿宋_GB2312" w:eastAsia="仿宋_GB2312" w:hint="eastAsia"/>
          <w:sz w:val="24"/>
          <w:szCs w:val="24"/>
        </w:rPr>
        <w:t>《</w:t>
      </w:r>
      <w:r>
        <w:rPr>
          <w:rFonts w:ascii="仿宋_GB2312" w:eastAsia="仿宋_GB2312" w:hint="eastAsia"/>
          <w:sz w:val="24"/>
          <w:szCs w:val="24"/>
          <w:lang w:eastAsia="zh-Hans"/>
        </w:rPr>
        <w:t>投资者权益须知》</w:t>
      </w:r>
      <w:r>
        <w:rPr>
          <w:rFonts w:ascii="仿宋_GB2312" w:eastAsia="仿宋_GB2312" w:hint="eastAsia"/>
          <w:sz w:val="24"/>
          <w:szCs w:val="24"/>
        </w:rPr>
        <w:t>、</w:t>
      </w:r>
      <w:r>
        <w:rPr>
          <w:rFonts w:ascii="仿宋_GB2312" w:eastAsia="仿宋_GB2312" w:hint="eastAsia"/>
          <w:sz w:val="24"/>
          <w:szCs w:val="24"/>
          <w:lang w:eastAsia="zh-Hans"/>
        </w:rPr>
        <w:t>《风险揭示书</w:t>
      </w:r>
      <w:r>
        <w:rPr>
          <w:rFonts w:ascii="仿宋_GB2312" w:eastAsia="仿宋_GB2312" w:hint="eastAsia"/>
          <w:sz w:val="24"/>
          <w:szCs w:val="24"/>
        </w:rPr>
        <w:t>》</w:t>
      </w:r>
      <w:r>
        <w:rPr>
          <w:rFonts w:ascii="仿宋_GB2312" w:eastAsia="仿宋_GB2312" w:hAnsi="方正仿宋_GBK" w:cs="方正仿宋_GBK" w:hint="eastAsia"/>
          <w:sz w:val="24"/>
          <w:szCs w:val="24"/>
        </w:rPr>
        <w:t>等相关文件→</w:t>
      </w:r>
      <w:r>
        <w:rPr>
          <w:rFonts w:ascii="仿宋_GB2312" w:eastAsia="仿宋_GB2312" w:hAnsi="方正仿宋_GBK" w:cs="方正仿宋_GBK" w:hint="eastAsia"/>
          <w:sz w:val="24"/>
          <w:szCs w:val="24"/>
          <w:lang w:eastAsia="zh-Hans"/>
        </w:rPr>
        <w:t>点击</w:t>
      </w:r>
      <w:r>
        <w:rPr>
          <w:rFonts w:ascii="仿宋_GB2312" w:eastAsia="仿宋_GB2312" w:hAnsi="方正仿宋_GBK" w:cs="方正仿宋_GBK" w:hint="eastAsia"/>
          <w:sz w:val="24"/>
          <w:szCs w:val="24"/>
        </w:rPr>
        <w:t>“</w:t>
      </w:r>
      <w:r>
        <w:rPr>
          <w:rFonts w:ascii="仿宋_GB2312" w:eastAsia="仿宋_GB2312" w:hAnsi="方正仿宋_GBK" w:cs="方正仿宋_GBK" w:hint="eastAsia"/>
          <w:sz w:val="24"/>
          <w:szCs w:val="24"/>
          <w:lang w:eastAsia="zh-Hans"/>
        </w:rPr>
        <w:t>确认并同意相关内容</w:t>
      </w:r>
      <w:r>
        <w:rPr>
          <w:rFonts w:ascii="仿宋_GB2312" w:eastAsia="仿宋_GB2312" w:hAnsi="方正仿宋_GBK" w:cs="方正仿宋_GBK" w:hint="eastAsia"/>
          <w:sz w:val="24"/>
          <w:szCs w:val="24"/>
        </w:rPr>
        <w:t>”→</w:t>
      </w:r>
      <w:r>
        <w:rPr>
          <w:rFonts w:ascii="仿宋_GB2312" w:eastAsia="仿宋_GB2312" w:hAnsi="方正仿宋_GBK" w:cs="方正仿宋_GBK" w:hint="eastAsia"/>
          <w:sz w:val="24"/>
          <w:szCs w:val="24"/>
          <w:lang w:eastAsia="zh-Hans"/>
        </w:rPr>
        <w:t>输入购买金额</w:t>
      </w:r>
      <w:r>
        <w:rPr>
          <w:rFonts w:ascii="仿宋_GB2312" w:eastAsia="仿宋_GB2312" w:hAnsi="方正仿宋_GBK" w:cs="方正仿宋_GBK" w:hint="eastAsia"/>
          <w:sz w:val="24"/>
          <w:szCs w:val="24"/>
        </w:rPr>
        <w:t>→点击“</w:t>
      </w:r>
      <w:r>
        <w:rPr>
          <w:rFonts w:ascii="仿宋_GB2312" w:eastAsia="仿宋_GB2312" w:hAnsi="方正仿宋_GBK" w:cs="方正仿宋_GBK" w:hint="eastAsia"/>
          <w:sz w:val="24"/>
          <w:szCs w:val="24"/>
          <w:lang w:eastAsia="zh-Hans"/>
        </w:rPr>
        <w:t>立即购买</w:t>
      </w:r>
      <w:r>
        <w:rPr>
          <w:rFonts w:ascii="仿宋_GB2312" w:eastAsia="仿宋_GB2312" w:hAnsi="方正仿宋_GBK" w:cs="方正仿宋_GBK" w:hint="eastAsia"/>
          <w:sz w:val="24"/>
          <w:szCs w:val="24"/>
        </w:rPr>
        <w:t>”</w:t>
      </w:r>
      <w:r>
        <w:rPr>
          <w:rFonts w:ascii="仿宋_GB2312" w:eastAsia="仿宋_GB2312" w:hAnsi="方正仿宋_GBK" w:cs="方正仿宋_GBK" w:hint="eastAsia"/>
          <w:sz w:val="24"/>
          <w:szCs w:val="24"/>
          <w:lang w:eastAsia="zh-Hans"/>
        </w:rPr>
        <w:t>并确认</w:t>
      </w:r>
      <w:r>
        <w:rPr>
          <w:rFonts w:ascii="仿宋_GB2312" w:eastAsia="仿宋_GB2312" w:hAnsi="方正仿宋_GBK" w:cs="方正仿宋_GBK" w:hint="eastAsia"/>
          <w:sz w:val="24"/>
          <w:szCs w:val="24"/>
        </w:rPr>
        <w:t>→</w:t>
      </w:r>
      <w:r>
        <w:rPr>
          <w:rFonts w:ascii="仿宋_GB2312" w:eastAsia="仿宋_GB2312" w:hint="eastAsia"/>
          <w:sz w:val="24"/>
          <w:szCs w:val="24"/>
        </w:rPr>
        <w:t>理财产品购买操作结束</w:t>
      </w:r>
    </w:p>
    <w:p w14:paraId="0B57F8B7" w14:textId="77777777" w:rsidR="003E7F78" w:rsidRDefault="00741AB5">
      <w:pPr>
        <w:spacing w:line="360" w:lineRule="auto"/>
        <w:ind w:firstLineChars="200" w:firstLine="480"/>
        <w:rPr>
          <w:rFonts w:ascii="仿宋_GB2312" w:eastAsia="仿宋_GB2312"/>
          <w:sz w:val="24"/>
          <w:szCs w:val="24"/>
        </w:rPr>
      </w:pPr>
      <w:r>
        <w:rPr>
          <w:rFonts w:ascii="仿宋_GB2312" w:eastAsia="仿宋_GB2312" w:hint="eastAsia"/>
          <w:sz w:val="24"/>
          <w:szCs w:val="24"/>
        </w:rPr>
        <w:t>（三）华夏银行手机银行</w:t>
      </w:r>
    </w:p>
    <w:p w14:paraId="48ED3CD4" w14:textId="77777777" w:rsidR="003E7F78" w:rsidRDefault="00741AB5">
      <w:pPr>
        <w:spacing w:line="360" w:lineRule="auto"/>
        <w:ind w:firstLineChars="200" w:firstLine="480"/>
        <w:rPr>
          <w:rFonts w:ascii="仿宋_GB2312"/>
          <w:sz w:val="24"/>
        </w:rPr>
      </w:pPr>
      <w:r>
        <w:rPr>
          <w:rFonts w:ascii="仿宋_GB2312" w:eastAsia="仿宋_GB2312" w:hAnsi="方正仿宋_GBK" w:cs="方正仿宋_GBK" w:hint="eastAsia"/>
          <w:sz w:val="24"/>
          <w:szCs w:val="24"/>
        </w:rPr>
        <w:t>机构投资者登录手机银行→选择理财产品，查看产品信息→点击“购买”→阅读《产品说明书》、《</w:t>
      </w:r>
      <w:r>
        <w:rPr>
          <w:rFonts w:ascii="仿宋_GB2312" w:eastAsia="仿宋_GB2312" w:hint="eastAsia"/>
          <w:sz w:val="24"/>
          <w:szCs w:val="24"/>
          <w:lang w:eastAsia="zh-Hans"/>
        </w:rPr>
        <w:t>华夏银行代理销售机构理财产品协议书</w:t>
      </w:r>
      <w:r>
        <w:rPr>
          <w:rFonts w:ascii="仿宋_GB2312" w:eastAsia="仿宋_GB2312" w:hAnsi="方正仿宋_GBK" w:cs="方正仿宋_GBK" w:hint="eastAsia"/>
          <w:sz w:val="24"/>
          <w:szCs w:val="24"/>
        </w:rPr>
        <w:t>》、《投资协议书》、《投资者权益须知》、《风险揭示书》等相关文件→点击“确认并同意相关内容</w:t>
      </w:r>
      <w:r>
        <w:rPr>
          <w:rFonts w:ascii="仿宋_GB2312" w:eastAsia="仿宋_GB2312" w:hAnsi="方正仿宋_GBK" w:cs="方正仿宋_GBK" w:hint="eastAsia"/>
          <w:sz w:val="24"/>
          <w:szCs w:val="24"/>
        </w:rPr>
        <w:t>”→输入购买金额→点击“确定”→理财产品购买操作结束</w:t>
      </w:r>
    </w:p>
    <w:p w14:paraId="50435B45"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三、理财产品信息披露的方式、渠道和频率</w:t>
      </w:r>
    </w:p>
    <w:p w14:paraId="43114021" w14:textId="77777777" w:rsidR="003E7F78" w:rsidRDefault="00741AB5">
      <w:pPr>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理财产品相关信息的披露方式、渠道和频率，您可以根据本产品对应的产品说明书第十一条“信息披露”中约定，通过拨打管理人客户服务热线</w:t>
      </w:r>
      <w:r>
        <w:rPr>
          <w:rFonts w:ascii="仿宋_GB2312" w:eastAsia="仿宋_GB2312" w:hAnsi="方正仿宋_GBK" w:cs="方正仿宋_GBK"/>
          <w:sz w:val="24"/>
          <w:szCs w:val="24"/>
        </w:rPr>
        <w:t>400-820-9555</w:t>
      </w:r>
      <w:r>
        <w:rPr>
          <w:rFonts w:ascii="仿宋_GB2312" w:eastAsia="仿宋_GB2312" w:hAnsi="方正仿宋_GBK" w:cs="方正仿宋_GBK"/>
          <w:sz w:val="24"/>
          <w:szCs w:val="24"/>
        </w:rPr>
        <w:t>、拨打代销机构客户服务热线</w:t>
      </w:r>
      <w:r>
        <w:rPr>
          <w:rFonts w:ascii="仿宋_GB2312" w:eastAsia="仿宋_GB2312" w:hAnsi="方正仿宋_GBK" w:cs="方正仿宋_GBK"/>
          <w:sz w:val="24"/>
          <w:szCs w:val="24"/>
        </w:rPr>
        <w:t>95577</w:t>
      </w:r>
      <w:r>
        <w:rPr>
          <w:rFonts w:ascii="仿宋_GB2312" w:eastAsia="仿宋_GB2312" w:hAnsi="方正仿宋_GBK" w:cs="方正仿宋_GBK"/>
          <w:sz w:val="24"/>
          <w:szCs w:val="24"/>
        </w:rPr>
        <w:t>、登录</w:t>
      </w:r>
      <w:r>
        <w:rPr>
          <w:rFonts w:ascii="仿宋_GB2312" w:eastAsia="仿宋_GB2312" w:hAnsi="方正仿宋_GBK" w:cs="方正仿宋_GBK" w:hint="eastAsia"/>
          <w:sz w:val="24"/>
          <w:szCs w:val="24"/>
        </w:rPr>
        <w:t>管理人网站或</w:t>
      </w:r>
      <w:r>
        <w:rPr>
          <w:rFonts w:ascii="仿宋_GB2312" w:eastAsia="仿宋_GB2312" w:hAnsi="方正仿宋_GBK" w:cs="方正仿宋_GBK"/>
          <w:sz w:val="24"/>
          <w:szCs w:val="24"/>
        </w:rPr>
        <w:t>代销机构网站或</w:t>
      </w:r>
      <w:r>
        <w:rPr>
          <w:rFonts w:ascii="仿宋_GB2312" w:eastAsia="仿宋_GB2312" w:hAnsi="方正仿宋_GBK" w:cs="方正仿宋_GBK" w:hint="eastAsia"/>
          <w:sz w:val="24"/>
          <w:szCs w:val="24"/>
        </w:rPr>
        <w:t>至</w:t>
      </w:r>
      <w:r>
        <w:rPr>
          <w:rFonts w:ascii="仿宋_GB2312" w:eastAsia="仿宋_GB2312" w:hAnsi="方正仿宋_GBK" w:cs="方正仿宋_GBK"/>
          <w:sz w:val="24"/>
          <w:szCs w:val="24"/>
        </w:rPr>
        <w:t>代销机构营业网点进行查询。</w:t>
      </w:r>
    </w:p>
    <w:p w14:paraId="07D61892"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四、投资者投诉方式和程序</w:t>
      </w:r>
    </w:p>
    <w:p w14:paraId="3B793FB4" w14:textId="77777777" w:rsidR="003E7F78" w:rsidRDefault="00741AB5">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投资者如对代销机构推介、销售的产品认为有不实或未尽风险告知职责或其它疑义事项，或需进行业务咨询和投诉时，投资者可通过拨打管理人客户服务热线</w:t>
      </w:r>
      <w:r>
        <w:rPr>
          <w:rFonts w:ascii="仿宋_GB2312" w:eastAsia="仿宋_GB2312" w:hAnsi="方正仿宋_GBK" w:cs="方正仿宋_GBK"/>
          <w:sz w:val="24"/>
          <w:szCs w:val="24"/>
        </w:rPr>
        <w:t>400-820-9555</w:t>
      </w:r>
      <w:r>
        <w:rPr>
          <w:rFonts w:ascii="仿宋_GB2312" w:eastAsia="仿宋_GB2312" w:hAnsi="方正仿宋_GBK" w:cs="方正仿宋_GBK" w:hint="eastAsia"/>
          <w:sz w:val="24"/>
          <w:szCs w:val="24"/>
        </w:rPr>
        <w:t>、拨打代销机构客户服务热线</w:t>
      </w:r>
      <w:r>
        <w:rPr>
          <w:rFonts w:ascii="仿宋_GB2312" w:eastAsia="仿宋_GB2312" w:hAnsi="方正仿宋_GBK" w:cs="方正仿宋_GBK"/>
          <w:sz w:val="24"/>
          <w:szCs w:val="24"/>
        </w:rPr>
        <w:t>95577</w:t>
      </w:r>
      <w:r>
        <w:rPr>
          <w:rFonts w:ascii="仿宋_GB2312" w:eastAsia="仿宋_GB2312" w:hAnsi="方正仿宋_GBK" w:cs="方正仿宋_GBK" w:hint="eastAsia"/>
          <w:sz w:val="24"/>
          <w:szCs w:val="24"/>
        </w:rPr>
        <w:t>、通过代销机构手机银行</w:t>
      </w:r>
      <w:r>
        <w:rPr>
          <w:rFonts w:ascii="仿宋_GB2312" w:eastAsia="仿宋_GB2312" w:hAnsi="方正仿宋_GBK" w:cs="方正仿宋_GBK"/>
          <w:sz w:val="24"/>
          <w:szCs w:val="24"/>
        </w:rPr>
        <w:t>或至代销机构营业网点等方式反馈，管理人或代销机构将由专人接听、记录您的意见或建议，并由双方协商共同解决。</w:t>
      </w:r>
    </w:p>
    <w:p w14:paraId="358DABBE"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五、华夏银行的联络方式</w:t>
      </w:r>
    </w:p>
    <w:p w14:paraId="17025937" w14:textId="77777777" w:rsidR="003E7F78" w:rsidRDefault="00741AB5">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（一）华夏银行客户服务热线：</w:t>
      </w:r>
      <w:r>
        <w:rPr>
          <w:rFonts w:ascii="仿宋_GB2312" w:eastAsia="仿宋_GB2312" w:hAnsi="方正仿宋_GBK" w:cs="方正仿宋_GBK"/>
          <w:sz w:val="24"/>
          <w:szCs w:val="24"/>
        </w:rPr>
        <w:t>95577</w:t>
      </w:r>
    </w:p>
    <w:p w14:paraId="50254781" w14:textId="77777777" w:rsidR="003E7F78" w:rsidRDefault="00741AB5">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（二）华夏银行门户网站：</w:t>
      </w:r>
      <w:r>
        <w:rPr>
          <w:rFonts w:ascii="仿宋_GB2312" w:eastAsia="仿宋_GB2312" w:hAnsi="方正仿宋_GBK" w:cs="方正仿宋_GBK"/>
          <w:sz w:val="24"/>
          <w:szCs w:val="24"/>
        </w:rPr>
        <w:t>www.hxb.com.cn</w:t>
      </w:r>
    </w:p>
    <w:p w14:paraId="4135065E"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六、交银理财的联络方式</w:t>
      </w:r>
    </w:p>
    <w:p w14:paraId="2A420A35" w14:textId="77777777" w:rsidR="003E7F78" w:rsidRDefault="00741AB5">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（一）交银理财客户服务热线：</w:t>
      </w:r>
      <w:r>
        <w:rPr>
          <w:rFonts w:ascii="仿宋_GB2312" w:eastAsia="仿宋_GB2312" w:hAnsi="方正仿宋_GBK" w:cs="方正仿宋_GBK"/>
          <w:sz w:val="24"/>
          <w:szCs w:val="24"/>
        </w:rPr>
        <w:t>400-820-</w:t>
      </w:r>
      <w:r>
        <w:rPr>
          <w:rFonts w:ascii="仿宋_GB2312" w:eastAsia="仿宋_GB2312" w:hAnsi="方正仿宋_GBK" w:cs="方正仿宋_GBK"/>
          <w:sz w:val="24"/>
          <w:szCs w:val="24"/>
        </w:rPr>
        <w:t>9555</w:t>
      </w:r>
    </w:p>
    <w:p w14:paraId="428E66B9" w14:textId="77777777" w:rsidR="003E7F78" w:rsidRDefault="00741AB5">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（二）交银理财热线服务时间：工作日</w:t>
      </w:r>
      <w:r>
        <w:rPr>
          <w:rFonts w:ascii="仿宋_GB2312" w:eastAsia="仿宋_GB2312" w:hAnsi="方正仿宋_GBK" w:cs="方正仿宋_GBK"/>
          <w:sz w:val="24"/>
          <w:szCs w:val="24"/>
        </w:rPr>
        <w:t>9:00-17:00</w:t>
      </w:r>
    </w:p>
    <w:p w14:paraId="6C07AE62" w14:textId="77777777" w:rsidR="003E7F78" w:rsidRDefault="00741AB5">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（三）交银理财门户网站：</w:t>
      </w:r>
      <w:r>
        <w:rPr>
          <w:rFonts w:ascii="仿宋_GB2312" w:eastAsia="仿宋_GB2312" w:hAnsi="方正仿宋_GBK" w:cs="方正仿宋_GBK"/>
          <w:sz w:val="24"/>
          <w:szCs w:val="24"/>
        </w:rPr>
        <w:t>www.bocommwm.cn</w:t>
      </w:r>
    </w:p>
    <w:p w14:paraId="7DB9C402" w14:textId="77777777" w:rsidR="003E7F78" w:rsidRDefault="003E7F78">
      <w:pPr>
        <w:widowControl/>
        <w:shd w:val="clear" w:color="auto" w:fill="FFFFFF"/>
        <w:spacing w:line="360" w:lineRule="auto"/>
        <w:ind w:firstLineChars="200" w:firstLine="480"/>
        <w:jc w:val="left"/>
        <w:rPr>
          <w:rFonts w:ascii="仿宋_GB2312" w:eastAsia="仿宋_GB2312" w:hAnsi="方正仿宋_GBK" w:cs="方正仿宋_GBK"/>
          <w:sz w:val="24"/>
          <w:szCs w:val="24"/>
        </w:rPr>
      </w:pPr>
    </w:p>
    <w:p w14:paraId="5AA17BD5" w14:textId="77777777" w:rsidR="003E7F78" w:rsidRDefault="00741AB5">
      <w:pPr>
        <w:spacing w:line="360" w:lineRule="auto"/>
        <w:rPr>
          <w:rFonts w:ascii="仿宋_GB2312" w:eastAsia="仿宋_GB2312" w:hAnsi="Arial" w:cs="Arial"/>
          <w:color w:val="000000"/>
          <w:kern w:val="0"/>
          <w:sz w:val="24"/>
          <w:szCs w:val="24"/>
        </w:rPr>
      </w:pPr>
      <w:r>
        <w:rPr>
          <w:rFonts w:ascii="仿宋_GB2312" w:eastAsia="仿宋_GB2312" w:hint="eastAsia"/>
          <w:sz w:val="24"/>
          <w:szCs w:val="24"/>
        </w:rPr>
        <w:t>－－－－－－－－－－－－－－－－－－－－－－－－－－－－－－－－－－－</w:t>
      </w:r>
    </w:p>
    <w:p w14:paraId="00188502" w14:textId="77777777" w:rsidR="003E7F78" w:rsidRDefault="003E7F78">
      <w:pPr>
        <w:spacing w:line="360" w:lineRule="auto"/>
        <w:rPr>
          <w:rFonts w:ascii="仿宋_GB2312" w:eastAsia="仿宋_GB2312"/>
          <w:sz w:val="24"/>
          <w:szCs w:val="24"/>
        </w:rPr>
      </w:pPr>
    </w:p>
    <w:p w14:paraId="47B33D0C" w14:textId="77777777" w:rsidR="003E7F78" w:rsidRDefault="003E7F78">
      <w:pPr>
        <w:spacing w:line="360" w:lineRule="auto"/>
        <w:rPr>
          <w:rFonts w:ascii="仿宋_GB2312" w:eastAsia="仿宋_GB2312"/>
          <w:sz w:val="24"/>
          <w:szCs w:val="24"/>
        </w:rPr>
      </w:pPr>
    </w:p>
    <w:p w14:paraId="4239CC5A" w14:textId="77777777" w:rsidR="003E7F78" w:rsidRDefault="00741AB5">
      <w:pPr>
        <w:spacing w:line="360" w:lineRule="auto"/>
        <w:ind w:firstLineChars="200" w:firstLine="482"/>
        <w:rPr>
          <w:rFonts w:ascii="仿宋_GB2312" w:eastAsia="仿宋_GB2312"/>
          <w:b/>
          <w:sz w:val="24"/>
          <w:szCs w:val="24"/>
        </w:rPr>
      </w:pPr>
      <w:r>
        <w:rPr>
          <w:rFonts w:ascii="仿宋_GB2312" w:eastAsia="仿宋_GB2312" w:hint="eastAsia"/>
          <w:b/>
          <w:sz w:val="24"/>
          <w:szCs w:val="24"/>
        </w:rPr>
        <w:t>声明：本人</w:t>
      </w:r>
      <w:r>
        <w:rPr>
          <w:rFonts w:ascii="仿宋_GB2312" w:eastAsia="仿宋_GB2312" w:hint="eastAsia"/>
          <w:b/>
          <w:sz w:val="24"/>
          <w:szCs w:val="24"/>
        </w:rPr>
        <w:t>/</w:t>
      </w:r>
      <w:r>
        <w:rPr>
          <w:rFonts w:ascii="仿宋_GB2312" w:eastAsia="仿宋_GB2312" w:hint="eastAsia"/>
          <w:b/>
          <w:sz w:val="24"/>
          <w:szCs w:val="24"/>
        </w:rPr>
        <w:t>本公司（单位）知悉</w:t>
      </w:r>
      <w:r>
        <w:rPr>
          <w:rFonts w:ascii="仿宋_GB2312" w:eastAsia="仿宋_GB2312" w:hint="eastAsia"/>
          <w:b/>
          <w:sz w:val="24"/>
          <w:szCs w:val="24"/>
        </w:rPr>
        <w:t>交银理财稳享鑫荣日日开</w:t>
      </w:r>
      <w:r>
        <w:rPr>
          <w:rFonts w:ascii="仿宋_GB2312" w:eastAsia="仿宋_GB2312" w:hint="eastAsia"/>
          <w:b/>
          <w:sz w:val="24"/>
          <w:szCs w:val="24"/>
        </w:rPr>
        <w:t>3</w:t>
      </w:r>
      <w:r>
        <w:rPr>
          <w:rFonts w:ascii="仿宋_GB2312" w:eastAsia="仿宋_GB2312" w:hint="eastAsia"/>
          <w:b/>
          <w:sz w:val="24"/>
          <w:szCs w:val="24"/>
        </w:rPr>
        <w:t>号理财产品</w:t>
      </w:r>
      <w:r>
        <w:rPr>
          <w:rFonts w:ascii="仿宋_GB2312" w:eastAsia="仿宋_GB2312" w:hint="eastAsia"/>
          <w:b/>
          <w:sz w:val="24"/>
          <w:szCs w:val="24"/>
        </w:rPr>
        <w:t>合同由本产品对应的风险揭示书、投资协议书、产品说明书、投资者权益须知共同组成，本人</w:t>
      </w:r>
      <w:r>
        <w:rPr>
          <w:rFonts w:ascii="仿宋_GB2312" w:eastAsia="仿宋_GB2312" w:hint="eastAsia"/>
          <w:b/>
          <w:sz w:val="24"/>
          <w:szCs w:val="24"/>
        </w:rPr>
        <w:t>/</w:t>
      </w:r>
      <w:r>
        <w:rPr>
          <w:rFonts w:ascii="仿宋_GB2312" w:eastAsia="仿宋_GB2312" w:hint="eastAsia"/>
          <w:b/>
          <w:sz w:val="24"/>
          <w:szCs w:val="24"/>
        </w:rPr>
        <w:t>本公司（单位）确认已经收到本理财产品合同，且已经认真阅读、理解并接受该理财产品合同的所有条款及相关法律规定，确认已经获得满意的信息披露，理解</w:t>
      </w:r>
      <w:r>
        <w:rPr>
          <w:rFonts w:ascii="仿宋_GB2312" w:eastAsia="仿宋_GB2312" w:hint="eastAsia"/>
          <w:b/>
          <w:sz w:val="24"/>
          <w:szCs w:val="24"/>
        </w:rPr>
        <w:t>交银理财稳享鑫荣日日开</w:t>
      </w:r>
      <w:r>
        <w:rPr>
          <w:rFonts w:ascii="仿宋_GB2312" w:eastAsia="仿宋_GB2312" w:hint="eastAsia"/>
          <w:b/>
          <w:sz w:val="24"/>
          <w:szCs w:val="24"/>
        </w:rPr>
        <w:t>3</w:t>
      </w:r>
      <w:r>
        <w:rPr>
          <w:rFonts w:ascii="仿宋_GB2312" w:eastAsia="仿宋_GB2312" w:hint="eastAsia"/>
          <w:b/>
          <w:sz w:val="24"/>
          <w:szCs w:val="24"/>
        </w:rPr>
        <w:t>号理财产品</w:t>
      </w:r>
      <w:r>
        <w:rPr>
          <w:rFonts w:ascii="仿宋_GB2312" w:eastAsia="仿宋_GB2312" w:hint="eastAsia"/>
          <w:b/>
          <w:sz w:val="24"/>
          <w:szCs w:val="24"/>
        </w:rPr>
        <w:t>的性质、风险及可能的损失，并愿意承担且有能力承担该等风险。</w:t>
      </w:r>
    </w:p>
    <w:p w14:paraId="3E617BC0" w14:textId="77777777" w:rsidR="003E7F78" w:rsidRDefault="003E7F78">
      <w:pPr>
        <w:spacing w:line="360" w:lineRule="auto"/>
        <w:ind w:firstLineChars="200" w:firstLine="480"/>
        <w:rPr>
          <w:rFonts w:ascii="仿宋_GB2312" w:eastAsia="仿宋_GB2312"/>
          <w:sz w:val="24"/>
          <w:szCs w:val="24"/>
        </w:rPr>
      </w:pPr>
    </w:p>
    <w:p w14:paraId="3CD55389" w14:textId="77777777" w:rsidR="003E7F78" w:rsidRDefault="003E7F78">
      <w:pPr>
        <w:spacing w:line="360" w:lineRule="auto"/>
        <w:ind w:firstLineChars="200" w:firstLine="480"/>
        <w:rPr>
          <w:rFonts w:ascii="仿宋_GB2312" w:eastAsia="仿宋_GB2312"/>
          <w:sz w:val="24"/>
          <w:szCs w:val="24"/>
        </w:rPr>
      </w:pPr>
    </w:p>
    <w:p w14:paraId="5EF27FFE" w14:textId="77777777" w:rsidR="003E7F78" w:rsidRDefault="003E7F78">
      <w:pPr>
        <w:spacing w:line="360" w:lineRule="auto"/>
        <w:ind w:firstLineChars="200" w:firstLine="480"/>
        <w:rPr>
          <w:rFonts w:ascii="仿宋_GB2312" w:eastAsia="仿宋_GB2312"/>
          <w:sz w:val="24"/>
          <w:szCs w:val="24"/>
        </w:rPr>
      </w:pPr>
    </w:p>
    <w:p w14:paraId="18250938" w14:textId="77777777" w:rsidR="003E7F78" w:rsidRDefault="003E7F78">
      <w:pPr>
        <w:spacing w:line="360" w:lineRule="auto"/>
        <w:ind w:firstLineChars="200" w:firstLine="480"/>
        <w:rPr>
          <w:rFonts w:ascii="仿宋_GB2312" w:eastAsia="仿宋_GB2312"/>
          <w:sz w:val="24"/>
          <w:szCs w:val="24"/>
        </w:rPr>
      </w:pPr>
    </w:p>
    <w:p w14:paraId="5FDF69EE" w14:textId="77777777" w:rsidR="003E7F78" w:rsidRDefault="00741AB5">
      <w:pPr>
        <w:autoSpaceDE w:val="0"/>
        <w:autoSpaceDN w:val="0"/>
        <w:adjustRightInd w:val="0"/>
        <w:spacing w:line="360" w:lineRule="auto"/>
        <w:ind w:firstLineChars="200" w:firstLine="480"/>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个人投资者签名：</w:t>
      </w:r>
    </w:p>
    <w:p w14:paraId="18EFBF55" w14:textId="77777777" w:rsidR="003E7F78" w:rsidRDefault="00741AB5">
      <w:pPr>
        <w:spacing w:line="360" w:lineRule="auto"/>
        <w:ind w:leftChars="228" w:left="479"/>
        <w:jc w:val="left"/>
        <w:rPr>
          <w:rFonts w:ascii="仿宋_GB2312" w:eastAsia="仿宋_GB2312"/>
          <w:sz w:val="24"/>
          <w:szCs w:val="24"/>
        </w:rPr>
      </w:pPr>
      <w:r>
        <w:rPr>
          <w:rFonts w:ascii="仿宋_GB2312" w:eastAsia="仿宋_GB2312" w:hAnsi="Arial" w:cs="Arial" w:hint="eastAsia"/>
          <w:color w:val="000000"/>
          <w:kern w:val="0"/>
          <w:sz w:val="24"/>
          <w:szCs w:val="24"/>
        </w:rPr>
        <w:t>机构投资者（盖章）：</w:t>
      </w:r>
      <w:r>
        <w:rPr>
          <w:rFonts w:ascii="仿宋_GB2312" w:eastAsia="仿宋_GB2312"/>
          <w:sz w:val="24"/>
          <w:szCs w:val="24"/>
        </w:rPr>
        <w:t xml:space="preserve">               </w:t>
      </w:r>
      <w:r>
        <w:rPr>
          <w:rFonts w:ascii="仿宋_GB2312" w:eastAsia="仿宋_GB2312"/>
          <w:sz w:val="24"/>
          <w:szCs w:val="24"/>
        </w:rPr>
        <w:cr/>
      </w:r>
      <w:r>
        <w:rPr>
          <w:rFonts w:ascii="仿宋_GB2312" w:eastAsia="仿宋_GB2312" w:hAnsi="Arial" w:cs="Arial" w:hint="eastAsia"/>
          <w:color w:val="000000"/>
          <w:kern w:val="0"/>
          <w:sz w:val="24"/>
          <w:szCs w:val="24"/>
        </w:rPr>
        <w:t>机构投资者法定代表人或授权代表（签名或盖章）：</w:t>
      </w:r>
      <w:r>
        <w:rPr>
          <w:rFonts w:ascii="仿宋_GB2312" w:eastAsia="仿宋_GB2312" w:hint="eastAsia"/>
          <w:sz w:val="24"/>
          <w:szCs w:val="24"/>
        </w:rPr>
        <w:t xml:space="preserve">                       </w:t>
      </w:r>
      <w:r>
        <w:rPr>
          <w:rFonts w:ascii="仿宋_GB2312" w:eastAsia="仿宋_GB2312"/>
          <w:sz w:val="24"/>
          <w:szCs w:val="24"/>
        </w:rPr>
        <w:t xml:space="preserve">      </w:t>
      </w:r>
    </w:p>
    <w:p w14:paraId="408BDA9F" w14:textId="77777777" w:rsidR="003E7F78" w:rsidRDefault="00741AB5">
      <w:pPr>
        <w:spacing w:line="360" w:lineRule="auto"/>
        <w:ind w:firstLineChars="200" w:firstLine="480"/>
        <w:jc w:val="left"/>
        <w:rPr>
          <w:rFonts w:ascii="仿宋_GB2312" w:eastAsia="仿宋_GB2312"/>
          <w:sz w:val="24"/>
          <w:szCs w:val="24"/>
        </w:rPr>
      </w:pPr>
      <w:r>
        <w:rPr>
          <w:rFonts w:ascii="仿宋_GB2312" w:eastAsia="仿宋_GB2312" w:hint="eastAsia"/>
          <w:sz w:val="24"/>
          <w:szCs w:val="24"/>
        </w:rPr>
        <w:t>日期：</w:t>
      </w:r>
    </w:p>
    <w:p w14:paraId="504EEF2F" w14:textId="77777777" w:rsidR="003E7F78" w:rsidRDefault="00741AB5">
      <w:pPr>
        <w:spacing w:line="360" w:lineRule="auto"/>
        <w:ind w:firstLineChars="200" w:firstLine="480"/>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（本理财产品合同共有三份签名文本，第一联代销机构留存，第二联投资者留存，第三联产品管理人留存。）</w:t>
      </w:r>
    </w:p>
    <w:p w14:paraId="7F3ACDB7" w14:textId="77777777" w:rsidR="003E7F78" w:rsidRDefault="003E7F78">
      <w:pPr>
        <w:spacing w:line="360" w:lineRule="auto"/>
        <w:jc w:val="center"/>
        <w:rPr>
          <w:rFonts w:ascii="仿宋_GB2312" w:eastAsia="仿宋_GB2312"/>
          <w:sz w:val="24"/>
          <w:szCs w:val="24"/>
        </w:rPr>
      </w:pPr>
    </w:p>
    <w:p w14:paraId="0DF2D80D" w14:textId="77777777" w:rsidR="003E7F78" w:rsidRDefault="003E7F78">
      <w:pPr>
        <w:spacing w:line="360" w:lineRule="auto"/>
        <w:jc w:val="center"/>
        <w:rPr>
          <w:sz w:val="22"/>
          <w:szCs w:val="24"/>
        </w:rPr>
      </w:pPr>
    </w:p>
    <w:sectPr w:rsidR="003E7F78">
      <w:headerReference w:type="even" r:id="rId8"/>
      <w:headerReference w:type="default" r:id="rId9"/>
      <w:footerReference w:type="even" r:id="rId10"/>
      <w:footerReference w:type="default" r:id="rId11"/>
      <w:headerReference w:type="first" r:id="rId12"/>
      <w:footerReference w:type="first" r:id="rId13"/>
      <w:pgSz w:w="11906" w:h="16838"/>
      <w:pgMar w:top="1440" w:right="1701" w:bottom="1440"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3A36" w14:textId="77777777" w:rsidR="00000000" w:rsidRDefault="00741AB5">
      <w:r>
        <w:separator/>
      </w:r>
    </w:p>
  </w:endnote>
  <w:endnote w:type="continuationSeparator" w:id="0">
    <w:p w14:paraId="6C0A3C69" w14:textId="77777777" w:rsidR="00000000" w:rsidRDefault="00741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仿宋_GBK">
    <w:panose1 w:val="03000509000000000000"/>
    <w:charset w:val="86"/>
    <w:family w:val="script"/>
    <w:pitch w:val="fixed"/>
    <w:sig w:usb0="00002003" w:usb1="090E0000" w:usb2="00000010" w:usb3="00000000" w:csb0="003C0041"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2003" w:usb1="090E0000" w:usb2="00000010" w:usb3="00000000" w:csb0="003C0041" w:csb1="00000000"/>
  </w:font>
  <w:font w:name="方正楷体_GBK">
    <w:panose1 w:val="03000509000000000000"/>
    <w:charset w:val="86"/>
    <w:family w:val="script"/>
    <w:pitch w:val="fixed"/>
    <w:sig w:usb0="00002003" w:usb1="090E0000" w:usb2="00000010" w:usb3="00000000" w:csb0="003C0041"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86D0" w14:textId="77777777" w:rsidR="000950E3" w:rsidRDefault="000950E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A78C6" w14:textId="77777777" w:rsidR="003E7F78" w:rsidRDefault="00741AB5">
    <w:pPr>
      <w:pStyle w:val="a9"/>
      <w:jc w:val="center"/>
    </w:pPr>
    <w:r>
      <w:rPr>
        <w:rFonts w:hint="eastAsia"/>
        <w:b/>
        <w:sz w:val="21"/>
        <w:szCs w:val="21"/>
      </w:rPr>
      <w:t>第</w:t>
    </w:r>
    <w:r>
      <w:rPr>
        <w:rFonts w:hint="eastAsia"/>
        <w:b/>
        <w:sz w:val="21"/>
        <w:szCs w:val="21"/>
      </w:rPr>
      <w:t xml:space="preserve"> </w:t>
    </w:r>
    <w:r>
      <w:rPr>
        <w:b/>
        <w:sz w:val="21"/>
        <w:szCs w:val="21"/>
      </w:rPr>
      <w:fldChar w:fldCharType="begin"/>
    </w:r>
    <w:r>
      <w:rPr>
        <w:b/>
        <w:sz w:val="21"/>
        <w:szCs w:val="21"/>
      </w:rPr>
      <w:instrText xml:space="preserve"> PAGE </w:instrText>
    </w:r>
    <w:r>
      <w:rPr>
        <w:b/>
        <w:sz w:val="21"/>
        <w:szCs w:val="21"/>
      </w:rPr>
      <w:fldChar w:fldCharType="separate"/>
    </w:r>
    <w:r>
      <w:rPr>
        <w:b/>
        <w:sz w:val="21"/>
        <w:szCs w:val="21"/>
      </w:rPr>
      <w:t>1</w:t>
    </w:r>
    <w:r>
      <w:rPr>
        <w:b/>
        <w:sz w:val="21"/>
        <w:szCs w:val="21"/>
      </w:rPr>
      <w:fldChar w:fldCharType="end"/>
    </w:r>
    <w:r>
      <w:rPr>
        <w:rFonts w:hint="eastAsia"/>
        <w:b/>
        <w:sz w:val="21"/>
        <w:szCs w:val="21"/>
      </w:rPr>
      <w:t xml:space="preserve"> </w:t>
    </w:r>
    <w:r>
      <w:rPr>
        <w:rFonts w:hint="eastAsia"/>
        <w:b/>
        <w:sz w:val="21"/>
        <w:szCs w:val="21"/>
      </w:rPr>
      <w:t>页</w:t>
    </w:r>
    <w:r>
      <w:rPr>
        <w:rFonts w:hint="eastAsia"/>
        <w:b/>
        <w:sz w:val="21"/>
        <w:szCs w:val="21"/>
      </w:rPr>
      <w:t xml:space="preserve"> </w:t>
    </w:r>
    <w:r>
      <w:rPr>
        <w:rFonts w:hint="eastAsia"/>
        <w:b/>
        <w:sz w:val="21"/>
        <w:szCs w:val="21"/>
      </w:rPr>
      <w:t>共</w:t>
    </w:r>
    <w:r>
      <w:rPr>
        <w:rFonts w:hint="eastAsia"/>
        <w:b/>
        <w:sz w:val="21"/>
        <w:szCs w:val="21"/>
      </w:rPr>
      <w:t xml:space="preserve"> </w:t>
    </w:r>
    <w:r>
      <w:rPr>
        <w:b/>
        <w:sz w:val="21"/>
        <w:szCs w:val="21"/>
      </w:rPr>
      <w:fldChar w:fldCharType="begin"/>
    </w:r>
    <w:r>
      <w:rPr>
        <w:b/>
        <w:sz w:val="21"/>
        <w:szCs w:val="21"/>
      </w:rPr>
      <w:instrText xml:space="preserve"> NUMPAGES </w:instrText>
    </w:r>
    <w:r>
      <w:rPr>
        <w:b/>
        <w:sz w:val="21"/>
        <w:szCs w:val="21"/>
      </w:rPr>
      <w:fldChar w:fldCharType="separate"/>
    </w:r>
    <w:r>
      <w:rPr>
        <w:b/>
        <w:sz w:val="21"/>
        <w:szCs w:val="21"/>
      </w:rPr>
      <w:t>2</w:t>
    </w:r>
    <w:r>
      <w:rPr>
        <w:b/>
        <w:sz w:val="21"/>
        <w:szCs w:val="21"/>
      </w:rPr>
      <w:fldChar w:fldCharType="end"/>
    </w:r>
    <w:r>
      <w:rPr>
        <w:rFonts w:hint="eastAsia"/>
        <w:b/>
        <w:sz w:val="21"/>
        <w:szCs w:val="21"/>
      </w:rPr>
      <w:t xml:space="preserve"> </w:t>
    </w:r>
    <w:r>
      <w:rPr>
        <w:rFonts w:hint="eastAsia"/>
        <w:b/>
        <w:sz w:val="21"/>
        <w:szCs w:val="21"/>
      </w:rPr>
      <w:t>页</w:t>
    </w:r>
    <w:r>
      <w:rPr>
        <w:rFonts w:hint="eastAsia"/>
        <w:b/>
        <w:sz w:val="21"/>
        <w:szCs w:val="21"/>
      </w:rPr>
      <w:t xml:space="preserve">                                         </w:t>
    </w:r>
    <w:r>
      <w:rPr>
        <w:rFonts w:hint="eastAsia"/>
        <w:b/>
        <w:sz w:val="21"/>
        <w:szCs w:val="21"/>
      </w:rPr>
      <w:t>交银理财·稳享系列</w:t>
    </w:r>
  </w:p>
  <w:p w14:paraId="745817EC" w14:textId="77777777" w:rsidR="003E7F78" w:rsidRDefault="00741AB5">
    <w:pPr>
      <w:pStyle w:val="a9"/>
      <w:jc w:val="center"/>
    </w:pPr>
    <w:r>
      <w:rPr>
        <w:rFonts w:hint="eastAsia"/>
        <w:b/>
        <w:sz w:val="21"/>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0209F" w14:textId="77777777" w:rsidR="000950E3" w:rsidRDefault="000950E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93C11" w14:textId="77777777" w:rsidR="00000000" w:rsidRDefault="00741AB5">
      <w:r>
        <w:separator/>
      </w:r>
    </w:p>
  </w:footnote>
  <w:footnote w:type="continuationSeparator" w:id="0">
    <w:p w14:paraId="7BA4D247" w14:textId="77777777" w:rsidR="00000000" w:rsidRDefault="00741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476E" w14:textId="77777777" w:rsidR="000950E3" w:rsidRDefault="000950E3">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C071" w14:textId="77777777" w:rsidR="003E7F78" w:rsidRDefault="00741AB5">
    <w:pPr>
      <w:pStyle w:val="ab"/>
      <w:jc w:val="both"/>
    </w:pPr>
    <w:r>
      <w:rPr>
        <w:rFonts w:hint="eastAsia"/>
        <w:b/>
        <w:sz w:val="21"/>
        <w:szCs w:val="21"/>
      </w:rPr>
      <w:t>交银理财·稳享系列</w:t>
    </w:r>
    <w:r>
      <w:rPr>
        <w:rFonts w:hint="eastAsia"/>
        <w:b/>
        <w:sz w:val="21"/>
        <w:szCs w:val="21"/>
      </w:rPr>
      <w:t xml:space="preserve">                         </w:t>
    </w:r>
    <w:r>
      <w:rPr>
        <w:rFonts w:hint="eastAsia"/>
        <w:b/>
        <w:sz w:val="21"/>
        <w:szCs w:val="21"/>
      </w:rPr>
      <w:t>理财非存款，产品有风险，投资须谨慎！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1A14" w14:textId="77777777" w:rsidR="000950E3" w:rsidRDefault="000950E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bordersDoNotSurroundHeader/>
  <w:bordersDoNotSurroundFooter/>
  <w:defaultTabStop w:val="420"/>
  <w:drawingGridVerticalSpacing w:val="156"/>
  <w:noPunctuationKerning/>
  <w:characterSpacingControl w:val="compressPunctuation"/>
  <w:hdrShapeDefaults>
    <o:shapedefaults v:ext="edit" spidmax="2049" fillcolor="white">
      <v:fill color="white"/>
      <v:stroke weight=".25pt"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0A6"/>
    <w:rsid w:val="00000804"/>
    <w:rsid w:val="00002085"/>
    <w:rsid w:val="000029EC"/>
    <w:rsid w:val="00002B8A"/>
    <w:rsid w:val="00002BD7"/>
    <w:rsid w:val="00003576"/>
    <w:rsid w:val="000040DB"/>
    <w:rsid w:val="00004DB6"/>
    <w:rsid w:val="000050D1"/>
    <w:rsid w:val="00005B46"/>
    <w:rsid w:val="00006F6A"/>
    <w:rsid w:val="000074EB"/>
    <w:rsid w:val="000076B2"/>
    <w:rsid w:val="000076E4"/>
    <w:rsid w:val="00007789"/>
    <w:rsid w:val="00007903"/>
    <w:rsid w:val="00011CBC"/>
    <w:rsid w:val="000125A9"/>
    <w:rsid w:val="00012C72"/>
    <w:rsid w:val="00013243"/>
    <w:rsid w:val="000139FC"/>
    <w:rsid w:val="00013A29"/>
    <w:rsid w:val="00014512"/>
    <w:rsid w:val="00014523"/>
    <w:rsid w:val="000145A5"/>
    <w:rsid w:val="00015EB6"/>
    <w:rsid w:val="00016B2D"/>
    <w:rsid w:val="000178DE"/>
    <w:rsid w:val="000179D9"/>
    <w:rsid w:val="00017B7A"/>
    <w:rsid w:val="00017D09"/>
    <w:rsid w:val="00017F38"/>
    <w:rsid w:val="000209A7"/>
    <w:rsid w:val="00020C2F"/>
    <w:rsid w:val="00021188"/>
    <w:rsid w:val="00021673"/>
    <w:rsid w:val="000226DD"/>
    <w:rsid w:val="0002277F"/>
    <w:rsid w:val="00023071"/>
    <w:rsid w:val="00025053"/>
    <w:rsid w:val="000256C3"/>
    <w:rsid w:val="000259C9"/>
    <w:rsid w:val="0002626F"/>
    <w:rsid w:val="000271FA"/>
    <w:rsid w:val="0003018B"/>
    <w:rsid w:val="00030713"/>
    <w:rsid w:val="000308E0"/>
    <w:rsid w:val="00030DAA"/>
    <w:rsid w:val="00030FD6"/>
    <w:rsid w:val="00031284"/>
    <w:rsid w:val="00031BC8"/>
    <w:rsid w:val="00032EDE"/>
    <w:rsid w:val="000343FB"/>
    <w:rsid w:val="00035595"/>
    <w:rsid w:val="00036478"/>
    <w:rsid w:val="000364C3"/>
    <w:rsid w:val="000371FC"/>
    <w:rsid w:val="00037B2A"/>
    <w:rsid w:val="00040AA6"/>
    <w:rsid w:val="00040D8B"/>
    <w:rsid w:val="000416D3"/>
    <w:rsid w:val="00042805"/>
    <w:rsid w:val="00043092"/>
    <w:rsid w:val="00043C46"/>
    <w:rsid w:val="0004500F"/>
    <w:rsid w:val="00045977"/>
    <w:rsid w:val="00046C5F"/>
    <w:rsid w:val="0004710F"/>
    <w:rsid w:val="000501F9"/>
    <w:rsid w:val="0005129D"/>
    <w:rsid w:val="00051A3C"/>
    <w:rsid w:val="00051BD5"/>
    <w:rsid w:val="0005249A"/>
    <w:rsid w:val="000532F1"/>
    <w:rsid w:val="0005362F"/>
    <w:rsid w:val="00053F0C"/>
    <w:rsid w:val="00054192"/>
    <w:rsid w:val="00054863"/>
    <w:rsid w:val="00054CB4"/>
    <w:rsid w:val="0005580F"/>
    <w:rsid w:val="00055B25"/>
    <w:rsid w:val="00056CAA"/>
    <w:rsid w:val="00056CED"/>
    <w:rsid w:val="00057047"/>
    <w:rsid w:val="0005718E"/>
    <w:rsid w:val="000579EF"/>
    <w:rsid w:val="000605AB"/>
    <w:rsid w:val="00060DEB"/>
    <w:rsid w:val="00061411"/>
    <w:rsid w:val="00061FA4"/>
    <w:rsid w:val="00062D19"/>
    <w:rsid w:val="0006334D"/>
    <w:rsid w:val="00063B03"/>
    <w:rsid w:val="00063EED"/>
    <w:rsid w:val="00064B95"/>
    <w:rsid w:val="00064E3E"/>
    <w:rsid w:val="00065251"/>
    <w:rsid w:val="0006525C"/>
    <w:rsid w:val="00066BAC"/>
    <w:rsid w:val="00066CCD"/>
    <w:rsid w:val="00066E17"/>
    <w:rsid w:val="00070797"/>
    <w:rsid w:val="00070861"/>
    <w:rsid w:val="00071F87"/>
    <w:rsid w:val="0007225B"/>
    <w:rsid w:val="00072996"/>
    <w:rsid w:val="00072B99"/>
    <w:rsid w:val="00073766"/>
    <w:rsid w:val="00073D82"/>
    <w:rsid w:val="0007460C"/>
    <w:rsid w:val="00074EB5"/>
    <w:rsid w:val="00075A82"/>
    <w:rsid w:val="00076B47"/>
    <w:rsid w:val="0007743C"/>
    <w:rsid w:val="00077BFC"/>
    <w:rsid w:val="00077C90"/>
    <w:rsid w:val="000805DD"/>
    <w:rsid w:val="000806E3"/>
    <w:rsid w:val="000806E6"/>
    <w:rsid w:val="00080737"/>
    <w:rsid w:val="00080BE6"/>
    <w:rsid w:val="00080D73"/>
    <w:rsid w:val="0008126A"/>
    <w:rsid w:val="00082622"/>
    <w:rsid w:val="00082B0C"/>
    <w:rsid w:val="00082B97"/>
    <w:rsid w:val="00082CF5"/>
    <w:rsid w:val="0008302A"/>
    <w:rsid w:val="000835E2"/>
    <w:rsid w:val="00083B3A"/>
    <w:rsid w:val="000840A3"/>
    <w:rsid w:val="000841FE"/>
    <w:rsid w:val="00084467"/>
    <w:rsid w:val="00084BB5"/>
    <w:rsid w:val="0008643D"/>
    <w:rsid w:val="00086605"/>
    <w:rsid w:val="0008671B"/>
    <w:rsid w:val="00087E14"/>
    <w:rsid w:val="00090063"/>
    <w:rsid w:val="000901E3"/>
    <w:rsid w:val="00090891"/>
    <w:rsid w:val="00090DFE"/>
    <w:rsid w:val="000919C6"/>
    <w:rsid w:val="000926AA"/>
    <w:rsid w:val="000934B5"/>
    <w:rsid w:val="000944C2"/>
    <w:rsid w:val="00094D65"/>
    <w:rsid w:val="000950E3"/>
    <w:rsid w:val="00095402"/>
    <w:rsid w:val="00096252"/>
    <w:rsid w:val="000970C0"/>
    <w:rsid w:val="000979C0"/>
    <w:rsid w:val="000A1BF4"/>
    <w:rsid w:val="000A2250"/>
    <w:rsid w:val="000A23C4"/>
    <w:rsid w:val="000A2B17"/>
    <w:rsid w:val="000A310E"/>
    <w:rsid w:val="000A494D"/>
    <w:rsid w:val="000A4A34"/>
    <w:rsid w:val="000A52EC"/>
    <w:rsid w:val="000A568A"/>
    <w:rsid w:val="000A57E0"/>
    <w:rsid w:val="000A6B18"/>
    <w:rsid w:val="000A75E8"/>
    <w:rsid w:val="000A7B7A"/>
    <w:rsid w:val="000A7C49"/>
    <w:rsid w:val="000A7DF8"/>
    <w:rsid w:val="000B090E"/>
    <w:rsid w:val="000B13D1"/>
    <w:rsid w:val="000B1C19"/>
    <w:rsid w:val="000B247F"/>
    <w:rsid w:val="000B2ACD"/>
    <w:rsid w:val="000B2AEE"/>
    <w:rsid w:val="000B2D8D"/>
    <w:rsid w:val="000B2E9E"/>
    <w:rsid w:val="000B339D"/>
    <w:rsid w:val="000B3B8F"/>
    <w:rsid w:val="000B3F81"/>
    <w:rsid w:val="000B5790"/>
    <w:rsid w:val="000B5C45"/>
    <w:rsid w:val="000B5E5D"/>
    <w:rsid w:val="000B69C8"/>
    <w:rsid w:val="000B7799"/>
    <w:rsid w:val="000B7C1A"/>
    <w:rsid w:val="000C06CE"/>
    <w:rsid w:val="000C09FC"/>
    <w:rsid w:val="000C0E98"/>
    <w:rsid w:val="000C237B"/>
    <w:rsid w:val="000C419B"/>
    <w:rsid w:val="000C42F2"/>
    <w:rsid w:val="000C4407"/>
    <w:rsid w:val="000C4583"/>
    <w:rsid w:val="000C4D0B"/>
    <w:rsid w:val="000C5479"/>
    <w:rsid w:val="000C5B49"/>
    <w:rsid w:val="000C5EFD"/>
    <w:rsid w:val="000C68B8"/>
    <w:rsid w:val="000C6BF0"/>
    <w:rsid w:val="000C7358"/>
    <w:rsid w:val="000C73FC"/>
    <w:rsid w:val="000C77B4"/>
    <w:rsid w:val="000C7A1B"/>
    <w:rsid w:val="000C7A40"/>
    <w:rsid w:val="000D05A6"/>
    <w:rsid w:val="000D0B78"/>
    <w:rsid w:val="000D0F7E"/>
    <w:rsid w:val="000D1282"/>
    <w:rsid w:val="000D14D0"/>
    <w:rsid w:val="000D14EF"/>
    <w:rsid w:val="000D14FD"/>
    <w:rsid w:val="000D15A1"/>
    <w:rsid w:val="000D166C"/>
    <w:rsid w:val="000D18D8"/>
    <w:rsid w:val="000D26CA"/>
    <w:rsid w:val="000D423A"/>
    <w:rsid w:val="000D43ED"/>
    <w:rsid w:val="000D48E8"/>
    <w:rsid w:val="000D4D19"/>
    <w:rsid w:val="000D6204"/>
    <w:rsid w:val="000D636F"/>
    <w:rsid w:val="000D71FA"/>
    <w:rsid w:val="000D78B4"/>
    <w:rsid w:val="000D7A4A"/>
    <w:rsid w:val="000D7B00"/>
    <w:rsid w:val="000D7BBD"/>
    <w:rsid w:val="000E0068"/>
    <w:rsid w:val="000E0DA3"/>
    <w:rsid w:val="000E19ED"/>
    <w:rsid w:val="000E208A"/>
    <w:rsid w:val="000E2675"/>
    <w:rsid w:val="000E3609"/>
    <w:rsid w:val="000E3AA4"/>
    <w:rsid w:val="000E3B8A"/>
    <w:rsid w:val="000E3E43"/>
    <w:rsid w:val="000E41F4"/>
    <w:rsid w:val="000E4446"/>
    <w:rsid w:val="000E4DCA"/>
    <w:rsid w:val="000E514A"/>
    <w:rsid w:val="000E548A"/>
    <w:rsid w:val="000E574B"/>
    <w:rsid w:val="000E70FE"/>
    <w:rsid w:val="000E7319"/>
    <w:rsid w:val="000E7C2A"/>
    <w:rsid w:val="000F1766"/>
    <w:rsid w:val="000F36A0"/>
    <w:rsid w:val="000F3716"/>
    <w:rsid w:val="000F4044"/>
    <w:rsid w:val="000F41A1"/>
    <w:rsid w:val="000F4773"/>
    <w:rsid w:val="000F486A"/>
    <w:rsid w:val="000F5589"/>
    <w:rsid w:val="000F5B23"/>
    <w:rsid w:val="000F6A6D"/>
    <w:rsid w:val="000F708D"/>
    <w:rsid w:val="000F7266"/>
    <w:rsid w:val="000F7822"/>
    <w:rsid w:val="00100941"/>
    <w:rsid w:val="00100C1A"/>
    <w:rsid w:val="001011FE"/>
    <w:rsid w:val="00101C3D"/>
    <w:rsid w:val="001022ED"/>
    <w:rsid w:val="00102F81"/>
    <w:rsid w:val="00103CF1"/>
    <w:rsid w:val="00104BC6"/>
    <w:rsid w:val="00104EA2"/>
    <w:rsid w:val="001052C6"/>
    <w:rsid w:val="001054D9"/>
    <w:rsid w:val="0010553B"/>
    <w:rsid w:val="00105790"/>
    <w:rsid w:val="00106029"/>
    <w:rsid w:val="00106189"/>
    <w:rsid w:val="00106314"/>
    <w:rsid w:val="00106FB7"/>
    <w:rsid w:val="0010715D"/>
    <w:rsid w:val="001106AD"/>
    <w:rsid w:val="0011105B"/>
    <w:rsid w:val="00111494"/>
    <w:rsid w:val="001115FE"/>
    <w:rsid w:val="00111D78"/>
    <w:rsid w:val="001124D7"/>
    <w:rsid w:val="00112CEA"/>
    <w:rsid w:val="00113077"/>
    <w:rsid w:val="00113086"/>
    <w:rsid w:val="00113403"/>
    <w:rsid w:val="001137CB"/>
    <w:rsid w:val="00113940"/>
    <w:rsid w:val="00113B5E"/>
    <w:rsid w:val="00114F2E"/>
    <w:rsid w:val="001154D7"/>
    <w:rsid w:val="00116E0D"/>
    <w:rsid w:val="001202C9"/>
    <w:rsid w:val="00120BAE"/>
    <w:rsid w:val="001212CB"/>
    <w:rsid w:val="001215C4"/>
    <w:rsid w:val="001216CE"/>
    <w:rsid w:val="00121E9B"/>
    <w:rsid w:val="001222E3"/>
    <w:rsid w:val="001225AA"/>
    <w:rsid w:val="00122C14"/>
    <w:rsid w:val="00122EDB"/>
    <w:rsid w:val="001230A5"/>
    <w:rsid w:val="0012374A"/>
    <w:rsid w:val="00123A29"/>
    <w:rsid w:val="00123EF5"/>
    <w:rsid w:val="00124511"/>
    <w:rsid w:val="00124CB1"/>
    <w:rsid w:val="0012510A"/>
    <w:rsid w:val="001252C2"/>
    <w:rsid w:val="0012601E"/>
    <w:rsid w:val="00126776"/>
    <w:rsid w:val="00126B8D"/>
    <w:rsid w:val="001273D9"/>
    <w:rsid w:val="001276DD"/>
    <w:rsid w:val="00127BEE"/>
    <w:rsid w:val="001301C3"/>
    <w:rsid w:val="00130861"/>
    <w:rsid w:val="001316C5"/>
    <w:rsid w:val="001319B5"/>
    <w:rsid w:val="00131F85"/>
    <w:rsid w:val="00132D8C"/>
    <w:rsid w:val="00132DFA"/>
    <w:rsid w:val="00133000"/>
    <w:rsid w:val="00133B22"/>
    <w:rsid w:val="00133D16"/>
    <w:rsid w:val="001341AE"/>
    <w:rsid w:val="00134615"/>
    <w:rsid w:val="001347D4"/>
    <w:rsid w:val="00134A48"/>
    <w:rsid w:val="00134FD3"/>
    <w:rsid w:val="00136269"/>
    <w:rsid w:val="00136422"/>
    <w:rsid w:val="00136628"/>
    <w:rsid w:val="00137585"/>
    <w:rsid w:val="00137DFC"/>
    <w:rsid w:val="00140561"/>
    <w:rsid w:val="001407A3"/>
    <w:rsid w:val="0014089A"/>
    <w:rsid w:val="001409B5"/>
    <w:rsid w:val="00140E29"/>
    <w:rsid w:val="00141B9E"/>
    <w:rsid w:val="00141EBB"/>
    <w:rsid w:val="00142084"/>
    <w:rsid w:val="00142141"/>
    <w:rsid w:val="0014267A"/>
    <w:rsid w:val="00142884"/>
    <w:rsid w:val="00142E89"/>
    <w:rsid w:val="0014310D"/>
    <w:rsid w:val="00143A40"/>
    <w:rsid w:val="0014402D"/>
    <w:rsid w:val="001444C5"/>
    <w:rsid w:val="001446F6"/>
    <w:rsid w:val="00144B92"/>
    <w:rsid w:val="00144FD2"/>
    <w:rsid w:val="00145A36"/>
    <w:rsid w:val="00145D89"/>
    <w:rsid w:val="001469D3"/>
    <w:rsid w:val="00146E8E"/>
    <w:rsid w:val="0014713B"/>
    <w:rsid w:val="001472B3"/>
    <w:rsid w:val="00147E0B"/>
    <w:rsid w:val="001502C7"/>
    <w:rsid w:val="001507BD"/>
    <w:rsid w:val="00151274"/>
    <w:rsid w:val="001512FC"/>
    <w:rsid w:val="00152552"/>
    <w:rsid w:val="00152F6C"/>
    <w:rsid w:val="001567BD"/>
    <w:rsid w:val="00157714"/>
    <w:rsid w:val="0015795D"/>
    <w:rsid w:val="001604ED"/>
    <w:rsid w:val="001611DE"/>
    <w:rsid w:val="00161DEE"/>
    <w:rsid w:val="001621E2"/>
    <w:rsid w:val="00162599"/>
    <w:rsid w:val="00163384"/>
    <w:rsid w:val="00163C5F"/>
    <w:rsid w:val="00164950"/>
    <w:rsid w:val="00164F35"/>
    <w:rsid w:val="00165C15"/>
    <w:rsid w:val="001660F9"/>
    <w:rsid w:val="001661C9"/>
    <w:rsid w:val="00166347"/>
    <w:rsid w:val="00166A18"/>
    <w:rsid w:val="00170194"/>
    <w:rsid w:val="00170560"/>
    <w:rsid w:val="00171485"/>
    <w:rsid w:val="00171614"/>
    <w:rsid w:val="00171AEB"/>
    <w:rsid w:val="00172164"/>
    <w:rsid w:val="0017285E"/>
    <w:rsid w:val="001729F6"/>
    <w:rsid w:val="001736EE"/>
    <w:rsid w:val="00174896"/>
    <w:rsid w:val="00174C71"/>
    <w:rsid w:val="00174EB9"/>
    <w:rsid w:val="00175F25"/>
    <w:rsid w:val="001769F0"/>
    <w:rsid w:val="001777D1"/>
    <w:rsid w:val="00177BA0"/>
    <w:rsid w:val="001802C2"/>
    <w:rsid w:val="00181513"/>
    <w:rsid w:val="00182B08"/>
    <w:rsid w:val="00183582"/>
    <w:rsid w:val="001840F5"/>
    <w:rsid w:val="0018414A"/>
    <w:rsid w:val="00184DAF"/>
    <w:rsid w:val="00186092"/>
    <w:rsid w:val="00186924"/>
    <w:rsid w:val="00187402"/>
    <w:rsid w:val="001876F2"/>
    <w:rsid w:val="0019060D"/>
    <w:rsid w:val="001912AC"/>
    <w:rsid w:val="00191EA8"/>
    <w:rsid w:val="001921C3"/>
    <w:rsid w:val="001928F2"/>
    <w:rsid w:val="00192CB4"/>
    <w:rsid w:val="0019415E"/>
    <w:rsid w:val="001941A2"/>
    <w:rsid w:val="00194503"/>
    <w:rsid w:val="001948C8"/>
    <w:rsid w:val="0019537A"/>
    <w:rsid w:val="0019588C"/>
    <w:rsid w:val="00195A6C"/>
    <w:rsid w:val="0019609B"/>
    <w:rsid w:val="001968A3"/>
    <w:rsid w:val="00196AE4"/>
    <w:rsid w:val="001970E8"/>
    <w:rsid w:val="001972E4"/>
    <w:rsid w:val="001974FC"/>
    <w:rsid w:val="00197978"/>
    <w:rsid w:val="001A0117"/>
    <w:rsid w:val="001A0A6B"/>
    <w:rsid w:val="001A0B64"/>
    <w:rsid w:val="001A1DC0"/>
    <w:rsid w:val="001A2E43"/>
    <w:rsid w:val="001A3001"/>
    <w:rsid w:val="001A3B7A"/>
    <w:rsid w:val="001A3D1D"/>
    <w:rsid w:val="001A6176"/>
    <w:rsid w:val="001A65E8"/>
    <w:rsid w:val="001A68CC"/>
    <w:rsid w:val="001A7561"/>
    <w:rsid w:val="001A7F44"/>
    <w:rsid w:val="001B00B8"/>
    <w:rsid w:val="001B020C"/>
    <w:rsid w:val="001B0549"/>
    <w:rsid w:val="001B1744"/>
    <w:rsid w:val="001B1904"/>
    <w:rsid w:val="001B1F4F"/>
    <w:rsid w:val="001B243B"/>
    <w:rsid w:val="001B2D90"/>
    <w:rsid w:val="001B2FB8"/>
    <w:rsid w:val="001B3533"/>
    <w:rsid w:val="001B3659"/>
    <w:rsid w:val="001B37D4"/>
    <w:rsid w:val="001B5654"/>
    <w:rsid w:val="001B5D36"/>
    <w:rsid w:val="001B63A0"/>
    <w:rsid w:val="001B68E7"/>
    <w:rsid w:val="001B6DF1"/>
    <w:rsid w:val="001B7194"/>
    <w:rsid w:val="001B7227"/>
    <w:rsid w:val="001B7541"/>
    <w:rsid w:val="001C08EF"/>
    <w:rsid w:val="001C1369"/>
    <w:rsid w:val="001C2455"/>
    <w:rsid w:val="001C2852"/>
    <w:rsid w:val="001C38B3"/>
    <w:rsid w:val="001C453E"/>
    <w:rsid w:val="001C4698"/>
    <w:rsid w:val="001C48B3"/>
    <w:rsid w:val="001C4B4F"/>
    <w:rsid w:val="001C51F3"/>
    <w:rsid w:val="001C53E9"/>
    <w:rsid w:val="001C5476"/>
    <w:rsid w:val="001C5BDC"/>
    <w:rsid w:val="001C5F1A"/>
    <w:rsid w:val="001C6021"/>
    <w:rsid w:val="001C636E"/>
    <w:rsid w:val="001C65AB"/>
    <w:rsid w:val="001C6BCC"/>
    <w:rsid w:val="001C6EEC"/>
    <w:rsid w:val="001C7266"/>
    <w:rsid w:val="001C730F"/>
    <w:rsid w:val="001C772B"/>
    <w:rsid w:val="001D0740"/>
    <w:rsid w:val="001D12F2"/>
    <w:rsid w:val="001D1B8F"/>
    <w:rsid w:val="001D2477"/>
    <w:rsid w:val="001D2A62"/>
    <w:rsid w:val="001D2F1B"/>
    <w:rsid w:val="001D4660"/>
    <w:rsid w:val="001D6DA7"/>
    <w:rsid w:val="001D7373"/>
    <w:rsid w:val="001D76BE"/>
    <w:rsid w:val="001D7AC6"/>
    <w:rsid w:val="001E0180"/>
    <w:rsid w:val="001E0273"/>
    <w:rsid w:val="001E0C12"/>
    <w:rsid w:val="001E11E9"/>
    <w:rsid w:val="001E15B5"/>
    <w:rsid w:val="001E1796"/>
    <w:rsid w:val="001E255A"/>
    <w:rsid w:val="001E2FDE"/>
    <w:rsid w:val="001E39CD"/>
    <w:rsid w:val="001E3D7E"/>
    <w:rsid w:val="001E4772"/>
    <w:rsid w:val="001E4998"/>
    <w:rsid w:val="001E4C7B"/>
    <w:rsid w:val="001E4D80"/>
    <w:rsid w:val="001E5329"/>
    <w:rsid w:val="001E5746"/>
    <w:rsid w:val="001E610B"/>
    <w:rsid w:val="001E6765"/>
    <w:rsid w:val="001E6D0F"/>
    <w:rsid w:val="001E741D"/>
    <w:rsid w:val="001E7C8B"/>
    <w:rsid w:val="001F14E2"/>
    <w:rsid w:val="001F18FF"/>
    <w:rsid w:val="001F217C"/>
    <w:rsid w:val="001F3671"/>
    <w:rsid w:val="001F3E1E"/>
    <w:rsid w:val="001F4BBB"/>
    <w:rsid w:val="001F5449"/>
    <w:rsid w:val="001F5544"/>
    <w:rsid w:val="001F5879"/>
    <w:rsid w:val="001F6C36"/>
    <w:rsid w:val="001F780C"/>
    <w:rsid w:val="001F789A"/>
    <w:rsid w:val="001F79E0"/>
    <w:rsid w:val="001F7D39"/>
    <w:rsid w:val="002003B1"/>
    <w:rsid w:val="0020053C"/>
    <w:rsid w:val="00201542"/>
    <w:rsid w:val="0020299E"/>
    <w:rsid w:val="00203D6B"/>
    <w:rsid w:val="002045D5"/>
    <w:rsid w:val="0020479B"/>
    <w:rsid w:val="00204BC2"/>
    <w:rsid w:val="00205D58"/>
    <w:rsid w:val="002105FC"/>
    <w:rsid w:val="00210736"/>
    <w:rsid w:val="00210953"/>
    <w:rsid w:val="00210FD5"/>
    <w:rsid w:val="002118F1"/>
    <w:rsid w:val="00211E8D"/>
    <w:rsid w:val="00212638"/>
    <w:rsid w:val="00213D7E"/>
    <w:rsid w:val="00213D9C"/>
    <w:rsid w:val="00213E87"/>
    <w:rsid w:val="0021433C"/>
    <w:rsid w:val="00214A66"/>
    <w:rsid w:val="0021554C"/>
    <w:rsid w:val="00215C3E"/>
    <w:rsid w:val="00215CC1"/>
    <w:rsid w:val="00216071"/>
    <w:rsid w:val="0021670E"/>
    <w:rsid w:val="00216BBE"/>
    <w:rsid w:val="00216EA0"/>
    <w:rsid w:val="00216F8A"/>
    <w:rsid w:val="002178B4"/>
    <w:rsid w:val="002225BF"/>
    <w:rsid w:val="00222666"/>
    <w:rsid w:val="002229FA"/>
    <w:rsid w:val="00222FAE"/>
    <w:rsid w:val="002239FF"/>
    <w:rsid w:val="00224081"/>
    <w:rsid w:val="00224BD4"/>
    <w:rsid w:val="00225D59"/>
    <w:rsid w:val="00227529"/>
    <w:rsid w:val="002278E1"/>
    <w:rsid w:val="00230835"/>
    <w:rsid w:val="00230B61"/>
    <w:rsid w:val="00230C73"/>
    <w:rsid w:val="00232228"/>
    <w:rsid w:val="00232AF1"/>
    <w:rsid w:val="00232CF8"/>
    <w:rsid w:val="002341A7"/>
    <w:rsid w:val="002347BA"/>
    <w:rsid w:val="00235863"/>
    <w:rsid w:val="00235893"/>
    <w:rsid w:val="00235B0E"/>
    <w:rsid w:val="00237723"/>
    <w:rsid w:val="00240082"/>
    <w:rsid w:val="00240232"/>
    <w:rsid w:val="002405D5"/>
    <w:rsid w:val="00240749"/>
    <w:rsid w:val="00241230"/>
    <w:rsid w:val="0024224F"/>
    <w:rsid w:val="002427CF"/>
    <w:rsid w:val="00242AB0"/>
    <w:rsid w:val="00242DBB"/>
    <w:rsid w:val="002431C4"/>
    <w:rsid w:val="002435DB"/>
    <w:rsid w:val="00243696"/>
    <w:rsid w:val="002437DB"/>
    <w:rsid w:val="002440F5"/>
    <w:rsid w:val="00244885"/>
    <w:rsid w:val="00244B4D"/>
    <w:rsid w:val="00245614"/>
    <w:rsid w:val="00245784"/>
    <w:rsid w:val="00245D54"/>
    <w:rsid w:val="00246E03"/>
    <w:rsid w:val="002470CF"/>
    <w:rsid w:val="002501CC"/>
    <w:rsid w:val="002504A8"/>
    <w:rsid w:val="00251857"/>
    <w:rsid w:val="00251D1A"/>
    <w:rsid w:val="00251D78"/>
    <w:rsid w:val="00252563"/>
    <w:rsid w:val="00253A17"/>
    <w:rsid w:val="00253AE3"/>
    <w:rsid w:val="00253CA9"/>
    <w:rsid w:val="00254467"/>
    <w:rsid w:val="0025702B"/>
    <w:rsid w:val="0025707E"/>
    <w:rsid w:val="00257113"/>
    <w:rsid w:val="002573BE"/>
    <w:rsid w:val="002573F1"/>
    <w:rsid w:val="002623B0"/>
    <w:rsid w:val="0026397B"/>
    <w:rsid w:val="00263BD1"/>
    <w:rsid w:val="00263DD7"/>
    <w:rsid w:val="00263E57"/>
    <w:rsid w:val="00263EB0"/>
    <w:rsid w:val="00264322"/>
    <w:rsid w:val="002646B4"/>
    <w:rsid w:val="00264705"/>
    <w:rsid w:val="00264A68"/>
    <w:rsid w:val="00264B10"/>
    <w:rsid w:val="002654B6"/>
    <w:rsid w:val="00265B58"/>
    <w:rsid w:val="00265CEE"/>
    <w:rsid w:val="00265FC8"/>
    <w:rsid w:val="0026713F"/>
    <w:rsid w:val="0026799A"/>
    <w:rsid w:val="0027038A"/>
    <w:rsid w:val="0027075B"/>
    <w:rsid w:val="00270897"/>
    <w:rsid w:val="00271ABA"/>
    <w:rsid w:val="00272631"/>
    <w:rsid w:val="0027408A"/>
    <w:rsid w:val="00274560"/>
    <w:rsid w:val="0027557D"/>
    <w:rsid w:val="00275AAF"/>
    <w:rsid w:val="00275AF5"/>
    <w:rsid w:val="00275B5C"/>
    <w:rsid w:val="00276049"/>
    <w:rsid w:val="002761EB"/>
    <w:rsid w:val="002768F7"/>
    <w:rsid w:val="00276931"/>
    <w:rsid w:val="00276B34"/>
    <w:rsid w:val="0027713B"/>
    <w:rsid w:val="00277289"/>
    <w:rsid w:val="00277A4D"/>
    <w:rsid w:val="00280038"/>
    <w:rsid w:val="00280735"/>
    <w:rsid w:val="0028173A"/>
    <w:rsid w:val="00281960"/>
    <w:rsid w:val="00281C67"/>
    <w:rsid w:val="002825D6"/>
    <w:rsid w:val="0028276E"/>
    <w:rsid w:val="0028357F"/>
    <w:rsid w:val="00283D6D"/>
    <w:rsid w:val="00283F74"/>
    <w:rsid w:val="002843E7"/>
    <w:rsid w:val="00285914"/>
    <w:rsid w:val="00285D2C"/>
    <w:rsid w:val="00286117"/>
    <w:rsid w:val="00286642"/>
    <w:rsid w:val="002878B5"/>
    <w:rsid w:val="002879E4"/>
    <w:rsid w:val="00287C4C"/>
    <w:rsid w:val="002900BD"/>
    <w:rsid w:val="00290BBF"/>
    <w:rsid w:val="00291F3D"/>
    <w:rsid w:val="00292025"/>
    <w:rsid w:val="00292069"/>
    <w:rsid w:val="0029258E"/>
    <w:rsid w:val="00292788"/>
    <w:rsid w:val="00292B02"/>
    <w:rsid w:val="00293303"/>
    <w:rsid w:val="0029343B"/>
    <w:rsid w:val="00293539"/>
    <w:rsid w:val="00293573"/>
    <w:rsid w:val="00294262"/>
    <w:rsid w:val="00294B0B"/>
    <w:rsid w:val="00294E5D"/>
    <w:rsid w:val="00294F7E"/>
    <w:rsid w:val="00295252"/>
    <w:rsid w:val="00295C34"/>
    <w:rsid w:val="002968B0"/>
    <w:rsid w:val="00296A6A"/>
    <w:rsid w:val="00296FAE"/>
    <w:rsid w:val="002974DA"/>
    <w:rsid w:val="00297643"/>
    <w:rsid w:val="002A09BD"/>
    <w:rsid w:val="002A0BCE"/>
    <w:rsid w:val="002A1CFD"/>
    <w:rsid w:val="002A1D15"/>
    <w:rsid w:val="002A1D16"/>
    <w:rsid w:val="002A28FB"/>
    <w:rsid w:val="002A2CFE"/>
    <w:rsid w:val="002A2FB2"/>
    <w:rsid w:val="002A3030"/>
    <w:rsid w:val="002A3514"/>
    <w:rsid w:val="002A41F4"/>
    <w:rsid w:val="002A51E4"/>
    <w:rsid w:val="002A523F"/>
    <w:rsid w:val="002A6543"/>
    <w:rsid w:val="002A69FE"/>
    <w:rsid w:val="002A6C63"/>
    <w:rsid w:val="002A6DA2"/>
    <w:rsid w:val="002A6E26"/>
    <w:rsid w:val="002A70B3"/>
    <w:rsid w:val="002A7232"/>
    <w:rsid w:val="002A7355"/>
    <w:rsid w:val="002B1F8F"/>
    <w:rsid w:val="002B1F99"/>
    <w:rsid w:val="002B1FAA"/>
    <w:rsid w:val="002B21F8"/>
    <w:rsid w:val="002B2496"/>
    <w:rsid w:val="002B3516"/>
    <w:rsid w:val="002B3740"/>
    <w:rsid w:val="002B3A73"/>
    <w:rsid w:val="002B3B1B"/>
    <w:rsid w:val="002B3D45"/>
    <w:rsid w:val="002B40E9"/>
    <w:rsid w:val="002B44AB"/>
    <w:rsid w:val="002B4795"/>
    <w:rsid w:val="002B5751"/>
    <w:rsid w:val="002B5A90"/>
    <w:rsid w:val="002B6B36"/>
    <w:rsid w:val="002B6FE3"/>
    <w:rsid w:val="002B76D1"/>
    <w:rsid w:val="002C1425"/>
    <w:rsid w:val="002C2AA7"/>
    <w:rsid w:val="002C2E64"/>
    <w:rsid w:val="002C35F9"/>
    <w:rsid w:val="002C4AB6"/>
    <w:rsid w:val="002C4F4A"/>
    <w:rsid w:val="002C57A2"/>
    <w:rsid w:val="002C5C19"/>
    <w:rsid w:val="002C6298"/>
    <w:rsid w:val="002C6CEB"/>
    <w:rsid w:val="002C7A7A"/>
    <w:rsid w:val="002D00A2"/>
    <w:rsid w:val="002D0768"/>
    <w:rsid w:val="002D0D42"/>
    <w:rsid w:val="002D153A"/>
    <w:rsid w:val="002D1A1B"/>
    <w:rsid w:val="002D1D0F"/>
    <w:rsid w:val="002D46C0"/>
    <w:rsid w:val="002D4C44"/>
    <w:rsid w:val="002D607A"/>
    <w:rsid w:val="002D6525"/>
    <w:rsid w:val="002D65F7"/>
    <w:rsid w:val="002D6DA9"/>
    <w:rsid w:val="002D6E63"/>
    <w:rsid w:val="002E04E4"/>
    <w:rsid w:val="002E0A18"/>
    <w:rsid w:val="002E0B90"/>
    <w:rsid w:val="002E105B"/>
    <w:rsid w:val="002E12D0"/>
    <w:rsid w:val="002E24DD"/>
    <w:rsid w:val="002E29A9"/>
    <w:rsid w:val="002E3D3C"/>
    <w:rsid w:val="002E5BC9"/>
    <w:rsid w:val="002E70B0"/>
    <w:rsid w:val="002E745A"/>
    <w:rsid w:val="002E75D7"/>
    <w:rsid w:val="002E7AF9"/>
    <w:rsid w:val="002F0036"/>
    <w:rsid w:val="002F063C"/>
    <w:rsid w:val="002F0B7E"/>
    <w:rsid w:val="002F162D"/>
    <w:rsid w:val="002F20D6"/>
    <w:rsid w:val="002F214E"/>
    <w:rsid w:val="002F29C5"/>
    <w:rsid w:val="002F2D38"/>
    <w:rsid w:val="002F3426"/>
    <w:rsid w:val="002F41E6"/>
    <w:rsid w:val="002F4264"/>
    <w:rsid w:val="002F4B8D"/>
    <w:rsid w:val="002F5019"/>
    <w:rsid w:val="002F566F"/>
    <w:rsid w:val="002F5D59"/>
    <w:rsid w:val="002F636C"/>
    <w:rsid w:val="002F6775"/>
    <w:rsid w:val="002F72DD"/>
    <w:rsid w:val="002F7621"/>
    <w:rsid w:val="002F7DD5"/>
    <w:rsid w:val="003000D6"/>
    <w:rsid w:val="00300B21"/>
    <w:rsid w:val="00300D21"/>
    <w:rsid w:val="00301211"/>
    <w:rsid w:val="003017E1"/>
    <w:rsid w:val="00301936"/>
    <w:rsid w:val="0030283F"/>
    <w:rsid w:val="00303030"/>
    <w:rsid w:val="00303784"/>
    <w:rsid w:val="00303D61"/>
    <w:rsid w:val="00304312"/>
    <w:rsid w:val="00305B4D"/>
    <w:rsid w:val="00305DD2"/>
    <w:rsid w:val="00305E96"/>
    <w:rsid w:val="003065E5"/>
    <w:rsid w:val="00307E18"/>
    <w:rsid w:val="00307F9E"/>
    <w:rsid w:val="003103F7"/>
    <w:rsid w:val="003107C1"/>
    <w:rsid w:val="00310CE1"/>
    <w:rsid w:val="003112F7"/>
    <w:rsid w:val="00311394"/>
    <w:rsid w:val="00312380"/>
    <w:rsid w:val="003126AB"/>
    <w:rsid w:val="003128DF"/>
    <w:rsid w:val="00312ACD"/>
    <w:rsid w:val="00313444"/>
    <w:rsid w:val="00313891"/>
    <w:rsid w:val="0031467B"/>
    <w:rsid w:val="00314FFE"/>
    <w:rsid w:val="0031572D"/>
    <w:rsid w:val="00316777"/>
    <w:rsid w:val="003206A4"/>
    <w:rsid w:val="0032099D"/>
    <w:rsid w:val="00320AFB"/>
    <w:rsid w:val="00321264"/>
    <w:rsid w:val="00322471"/>
    <w:rsid w:val="00322D3F"/>
    <w:rsid w:val="003232CD"/>
    <w:rsid w:val="00323304"/>
    <w:rsid w:val="003233CC"/>
    <w:rsid w:val="00324797"/>
    <w:rsid w:val="00324DF4"/>
    <w:rsid w:val="00324ECA"/>
    <w:rsid w:val="0032531C"/>
    <w:rsid w:val="00325FA1"/>
    <w:rsid w:val="00326B72"/>
    <w:rsid w:val="00327488"/>
    <w:rsid w:val="00327914"/>
    <w:rsid w:val="00327963"/>
    <w:rsid w:val="003305C8"/>
    <w:rsid w:val="00330752"/>
    <w:rsid w:val="0033102E"/>
    <w:rsid w:val="00331117"/>
    <w:rsid w:val="003317A0"/>
    <w:rsid w:val="00331E4C"/>
    <w:rsid w:val="00333C01"/>
    <w:rsid w:val="003342B7"/>
    <w:rsid w:val="0033482B"/>
    <w:rsid w:val="003355D9"/>
    <w:rsid w:val="00335734"/>
    <w:rsid w:val="00335F75"/>
    <w:rsid w:val="00336D0E"/>
    <w:rsid w:val="00336FA8"/>
    <w:rsid w:val="00340121"/>
    <w:rsid w:val="003427F0"/>
    <w:rsid w:val="003428E6"/>
    <w:rsid w:val="00343F37"/>
    <w:rsid w:val="0034528D"/>
    <w:rsid w:val="00345ADE"/>
    <w:rsid w:val="00345B35"/>
    <w:rsid w:val="00346D9F"/>
    <w:rsid w:val="00346DE2"/>
    <w:rsid w:val="00346EA2"/>
    <w:rsid w:val="00347892"/>
    <w:rsid w:val="00347D2C"/>
    <w:rsid w:val="00347DFE"/>
    <w:rsid w:val="00350DF4"/>
    <w:rsid w:val="00350EA5"/>
    <w:rsid w:val="00351166"/>
    <w:rsid w:val="003512A9"/>
    <w:rsid w:val="003516C0"/>
    <w:rsid w:val="00351A59"/>
    <w:rsid w:val="00352607"/>
    <w:rsid w:val="00353453"/>
    <w:rsid w:val="00353A9B"/>
    <w:rsid w:val="00353F73"/>
    <w:rsid w:val="0035534A"/>
    <w:rsid w:val="003566A9"/>
    <w:rsid w:val="00356A5D"/>
    <w:rsid w:val="00356D16"/>
    <w:rsid w:val="00356E93"/>
    <w:rsid w:val="003574E5"/>
    <w:rsid w:val="00360424"/>
    <w:rsid w:val="00361073"/>
    <w:rsid w:val="00361832"/>
    <w:rsid w:val="003633DF"/>
    <w:rsid w:val="0036384D"/>
    <w:rsid w:val="003638DA"/>
    <w:rsid w:val="00363F4A"/>
    <w:rsid w:val="0036420D"/>
    <w:rsid w:val="00364D21"/>
    <w:rsid w:val="00365508"/>
    <w:rsid w:val="00365831"/>
    <w:rsid w:val="00365903"/>
    <w:rsid w:val="00366695"/>
    <w:rsid w:val="003700AE"/>
    <w:rsid w:val="003701DF"/>
    <w:rsid w:val="00370354"/>
    <w:rsid w:val="003726FE"/>
    <w:rsid w:val="003729CA"/>
    <w:rsid w:val="00372AA8"/>
    <w:rsid w:val="00373D32"/>
    <w:rsid w:val="00373E25"/>
    <w:rsid w:val="003746E4"/>
    <w:rsid w:val="003747C0"/>
    <w:rsid w:val="003748B8"/>
    <w:rsid w:val="00374911"/>
    <w:rsid w:val="003760A6"/>
    <w:rsid w:val="0037678B"/>
    <w:rsid w:val="00380C8D"/>
    <w:rsid w:val="00380D17"/>
    <w:rsid w:val="00381C87"/>
    <w:rsid w:val="00381D6C"/>
    <w:rsid w:val="00381E94"/>
    <w:rsid w:val="00381F7B"/>
    <w:rsid w:val="003823A9"/>
    <w:rsid w:val="003828EE"/>
    <w:rsid w:val="00382DFE"/>
    <w:rsid w:val="00382F4C"/>
    <w:rsid w:val="003835BB"/>
    <w:rsid w:val="003836D3"/>
    <w:rsid w:val="0038404F"/>
    <w:rsid w:val="003848E4"/>
    <w:rsid w:val="00386113"/>
    <w:rsid w:val="0038643D"/>
    <w:rsid w:val="00386B7C"/>
    <w:rsid w:val="00387622"/>
    <w:rsid w:val="00387714"/>
    <w:rsid w:val="00387A1B"/>
    <w:rsid w:val="00390604"/>
    <w:rsid w:val="00391C20"/>
    <w:rsid w:val="00391F06"/>
    <w:rsid w:val="003926DB"/>
    <w:rsid w:val="00392C20"/>
    <w:rsid w:val="00393056"/>
    <w:rsid w:val="00393763"/>
    <w:rsid w:val="00393ADD"/>
    <w:rsid w:val="0039433A"/>
    <w:rsid w:val="003948C2"/>
    <w:rsid w:val="00394D7A"/>
    <w:rsid w:val="00394EEA"/>
    <w:rsid w:val="00396515"/>
    <w:rsid w:val="00396B7F"/>
    <w:rsid w:val="00397298"/>
    <w:rsid w:val="00397D6A"/>
    <w:rsid w:val="003A035F"/>
    <w:rsid w:val="003A0B68"/>
    <w:rsid w:val="003A0D2B"/>
    <w:rsid w:val="003A15D2"/>
    <w:rsid w:val="003A27A0"/>
    <w:rsid w:val="003A2F01"/>
    <w:rsid w:val="003A30CA"/>
    <w:rsid w:val="003A38A5"/>
    <w:rsid w:val="003A3C9A"/>
    <w:rsid w:val="003A3F8F"/>
    <w:rsid w:val="003A4DC0"/>
    <w:rsid w:val="003A523D"/>
    <w:rsid w:val="003A5373"/>
    <w:rsid w:val="003A6882"/>
    <w:rsid w:val="003A789E"/>
    <w:rsid w:val="003A7FC1"/>
    <w:rsid w:val="003B03C9"/>
    <w:rsid w:val="003B0BEA"/>
    <w:rsid w:val="003B0E66"/>
    <w:rsid w:val="003B18DD"/>
    <w:rsid w:val="003B20D1"/>
    <w:rsid w:val="003B23F5"/>
    <w:rsid w:val="003B2591"/>
    <w:rsid w:val="003B3A7D"/>
    <w:rsid w:val="003B52D1"/>
    <w:rsid w:val="003B579B"/>
    <w:rsid w:val="003B5C4E"/>
    <w:rsid w:val="003B5E3F"/>
    <w:rsid w:val="003B6681"/>
    <w:rsid w:val="003B7002"/>
    <w:rsid w:val="003B7937"/>
    <w:rsid w:val="003C0068"/>
    <w:rsid w:val="003C00C3"/>
    <w:rsid w:val="003C1DC4"/>
    <w:rsid w:val="003C1EE2"/>
    <w:rsid w:val="003C1FBE"/>
    <w:rsid w:val="003C2579"/>
    <w:rsid w:val="003C304C"/>
    <w:rsid w:val="003C37CA"/>
    <w:rsid w:val="003C3A75"/>
    <w:rsid w:val="003C3B36"/>
    <w:rsid w:val="003C6485"/>
    <w:rsid w:val="003C765F"/>
    <w:rsid w:val="003D21B3"/>
    <w:rsid w:val="003D27A2"/>
    <w:rsid w:val="003D332A"/>
    <w:rsid w:val="003D3668"/>
    <w:rsid w:val="003D3BCE"/>
    <w:rsid w:val="003D43CA"/>
    <w:rsid w:val="003D46F3"/>
    <w:rsid w:val="003D4D0F"/>
    <w:rsid w:val="003D54D9"/>
    <w:rsid w:val="003D5AC7"/>
    <w:rsid w:val="003D5BF6"/>
    <w:rsid w:val="003D7C6A"/>
    <w:rsid w:val="003E0418"/>
    <w:rsid w:val="003E0771"/>
    <w:rsid w:val="003E0BC1"/>
    <w:rsid w:val="003E1B3D"/>
    <w:rsid w:val="003E2235"/>
    <w:rsid w:val="003E286F"/>
    <w:rsid w:val="003E2C11"/>
    <w:rsid w:val="003E3E8C"/>
    <w:rsid w:val="003E45C5"/>
    <w:rsid w:val="003E4AF8"/>
    <w:rsid w:val="003E4B6A"/>
    <w:rsid w:val="003E4EBB"/>
    <w:rsid w:val="003E79AD"/>
    <w:rsid w:val="003E7F78"/>
    <w:rsid w:val="003F01C7"/>
    <w:rsid w:val="003F0F27"/>
    <w:rsid w:val="003F26BB"/>
    <w:rsid w:val="003F2864"/>
    <w:rsid w:val="003F292F"/>
    <w:rsid w:val="003F2D23"/>
    <w:rsid w:val="003F3994"/>
    <w:rsid w:val="003F403A"/>
    <w:rsid w:val="003F478B"/>
    <w:rsid w:val="003F4C47"/>
    <w:rsid w:val="003F58F2"/>
    <w:rsid w:val="003F6298"/>
    <w:rsid w:val="003F66C6"/>
    <w:rsid w:val="003F68EB"/>
    <w:rsid w:val="003F6A20"/>
    <w:rsid w:val="0040016F"/>
    <w:rsid w:val="0040144A"/>
    <w:rsid w:val="00401F1E"/>
    <w:rsid w:val="004025C8"/>
    <w:rsid w:val="00402F9A"/>
    <w:rsid w:val="004033F1"/>
    <w:rsid w:val="0040371A"/>
    <w:rsid w:val="00403738"/>
    <w:rsid w:val="00403C21"/>
    <w:rsid w:val="00404268"/>
    <w:rsid w:val="00404589"/>
    <w:rsid w:val="00404D43"/>
    <w:rsid w:val="00405221"/>
    <w:rsid w:val="004056F0"/>
    <w:rsid w:val="00405AFE"/>
    <w:rsid w:val="00405CF0"/>
    <w:rsid w:val="0040631F"/>
    <w:rsid w:val="00406503"/>
    <w:rsid w:val="004070CE"/>
    <w:rsid w:val="00407630"/>
    <w:rsid w:val="0041141F"/>
    <w:rsid w:val="0041164D"/>
    <w:rsid w:val="004123EE"/>
    <w:rsid w:val="0041260C"/>
    <w:rsid w:val="0041271C"/>
    <w:rsid w:val="00412A63"/>
    <w:rsid w:val="00413512"/>
    <w:rsid w:val="0041429B"/>
    <w:rsid w:val="004149AB"/>
    <w:rsid w:val="004157E3"/>
    <w:rsid w:val="00416B30"/>
    <w:rsid w:val="004171A1"/>
    <w:rsid w:val="004171BC"/>
    <w:rsid w:val="00417329"/>
    <w:rsid w:val="00420C68"/>
    <w:rsid w:val="00420D6D"/>
    <w:rsid w:val="00421386"/>
    <w:rsid w:val="00421708"/>
    <w:rsid w:val="00421A0C"/>
    <w:rsid w:val="00421B15"/>
    <w:rsid w:val="00421B37"/>
    <w:rsid w:val="0042300F"/>
    <w:rsid w:val="00424267"/>
    <w:rsid w:val="00424E21"/>
    <w:rsid w:val="00425310"/>
    <w:rsid w:val="00425A34"/>
    <w:rsid w:val="004271D0"/>
    <w:rsid w:val="004273DE"/>
    <w:rsid w:val="0042750E"/>
    <w:rsid w:val="0042764B"/>
    <w:rsid w:val="0042777C"/>
    <w:rsid w:val="004277A1"/>
    <w:rsid w:val="00427844"/>
    <w:rsid w:val="00430E8E"/>
    <w:rsid w:val="00431328"/>
    <w:rsid w:val="00431488"/>
    <w:rsid w:val="00431C20"/>
    <w:rsid w:val="0043276F"/>
    <w:rsid w:val="0043282E"/>
    <w:rsid w:val="00432FE7"/>
    <w:rsid w:val="0043339B"/>
    <w:rsid w:val="0043354C"/>
    <w:rsid w:val="00433856"/>
    <w:rsid w:val="00433A95"/>
    <w:rsid w:val="00434553"/>
    <w:rsid w:val="00435E3C"/>
    <w:rsid w:val="00437135"/>
    <w:rsid w:val="004372BE"/>
    <w:rsid w:val="004405C2"/>
    <w:rsid w:val="004405D5"/>
    <w:rsid w:val="004406C4"/>
    <w:rsid w:val="004410BF"/>
    <w:rsid w:val="00442E32"/>
    <w:rsid w:val="00443A8F"/>
    <w:rsid w:val="00444409"/>
    <w:rsid w:val="004449C6"/>
    <w:rsid w:val="00444B00"/>
    <w:rsid w:val="00444F7E"/>
    <w:rsid w:val="004451FB"/>
    <w:rsid w:val="00445435"/>
    <w:rsid w:val="00445816"/>
    <w:rsid w:val="00446F47"/>
    <w:rsid w:val="00447F2D"/>
    <w:rsid w:val="0045081A"/>
    <w:rsid w:val="004509A1"/>
    <w:rsid w:val="00450AE9"/>
    <w:rsid w:val="00451A91"/>
    <w:rsid w:val="00452AEC"/>
    <w:rsid w:val="0045376A"/>
    <w:rsid w:val="00453956"/>
    <w:rsid w:val="00453E9E"/>
    <w:rsid w:val="00453F7E"/>
    <w:rsid w:val="0045430A"/>
    <w:rsid w:val="00454CE4"/>
    <w:rsid w:val="00454FE6"/>
    <w:rsid w:val="004554AF"/>
    <w:rsid w:val="00455BAA"/>
    <w:rsid w:val="00455F53"/>
    <w:rsid w:val="00456099"/>
    <w:rsid w:val="00456C25"/>
    <w:rsid w:val="004570E7"/>
    <w:rsid w:val="004572FC"/>
    <w:rsid w:val="0045793C"/>
    <w:rsid w:val="00457A4F"/>
    <w:rsid w:val="0046248E"/>
    <w:rsid w:val="0046283F"/>
    <w:rsid w:val="004631BB"/>
    <w:rsid w:val="00463431"/>
    <w:rsid w:val="00463851"/>
    <w:rsid w:val="00464318"/>
    <w:rsid w:val="00464741"/>
    <w:rsid w:val="00464E99"/>
    <w:rsid w:val="00464F3E"/>
    <w:rsid w:val="004660A1"/>
    <w:rsid w:val="00466322"/>
    <w:rsid w:val="00466479"/>
    <w:rsid w:val="0046648F"/>
    <w:rsid w:val="0046755D"/>
    <w:rsid w:val="00467FBD"/>
    <w:rsid w:val="00470189"/>
    <w:rsid w:val="00470213"/>
    <w:rsid w:val="0047133C"/>
    <w:rsid w:val="00473361"/>
    <w:rsid w:val="00473D7C"/>
    <w:rsid w:val="00474339"/>
    <w:rsid w:val="00474630"/>
    <w:rsid w:val="004749DA"/>
    <w:rsid w:val="00474BF5"/>
    <w:rsid w:val="00474F1A"/>
    <w:rsid w:val="00475035"/>
    <w:rsid w:val="00475A4A"/>
    <w:rsid w:val="00476C8D"/>
    <w:rsid w:val="00476EBA"/>
    <w:rsid w:val="0047754F"/>
    <w:rsid w:val="00477597"/>
    <w:rsid w:val="004776CC"/>
    <w:rsid w:val="0047775C"/>
    <w:rsid w:val="00477C1E"/>
    <w:rsid w:val="00480094"/>
    <w:rsid w:val="004811F3"/>
    <w:rsid w:val="00481555"/>
    <w:rsid w:val="00482115"/>
    <w:rsid w:val="004822AE"/>
    <w:rsid w:val="004827BE"/>
    <w:rsid w:val="00482A89"/>
    <w:rsid w:val="00482ADF"/>
    <w:rsid w:val="00482DDD"/>
    <w:rsid w:val="0048354C"/>
    <w:rsid w:val="00483927"/>
    <w:rsid w:val="004841E6"/>
    <w:rsid w:val="0048431E"/>
    <w:rsid w:val="004846C6"/>
    <w:rsid w:val="00485CC8"/>
    <w:rsid w:val="00486416"/>
    <w:rsid w:val="00487023"/>
    <w:rsid w:val="0048716B"/>
    <w:rsid w:val="004879E1"/>
    <w:rsid w:val="0049044E"/>
    <w:rsid w:val="00490480"/>
    <w:rsid w:val="004905D4"/>
    <w:rsid w:val="004914BB"/>
    <w:rsid w:val="004915ED"/>
    <w:rsid w:val="00492033"/>
    <w:rsid w:val="004935D6"/>
    <w:rsid w:val="00493F89"/>
    <w:rsid w:val="00494E11"/>
    <w:rsid w:val="004962C0"/>
    <w:rsid w:val="00496FAC"/>
    <w:rsid w:val="00497F7E"/>
    <w:rsid w:val="004A10BB"/>
    <w:rsid w:val="004A266F"/>
    <w:rsid w:val="004A283E"/>
    <w:rsid w:val="004A2D6C"/>
    <w:rsid w:val="004A2FA6"/>
    <w:rsid w:val="004A36EC"/>
    <w:rsid w:val="004A3736"/>
    <w:rsid w:val="004A3B23"/>
    <w:rsid w:val="004A45DB"/>
    <w:rsid w:val="004A4BF3"/>
    <w:rsid w:val="004A4DEB"/>
    <w:rsid w:val="004A6C77"/>
    <w:rsid w:val="004A6E9E"/>
    <w:rsid w:val="004A7DDD"/>
    <w:rsid w:val="004B0F96"/>
    <w:rsid w:val="004B12C1"/>
    <w:rsid w:val="004B168D"/>
    <w:rsid w:val="004B1B2A"/>
    <w:rsid w:val="004B1C94"/>
    <w:rsid w:val="004B2743"/>
    <w:rsid w:val="004B329F"/>
    <w:rsid w:val="004B3A37"/>
    <w:rsid w:val="004B46B0"/>
    <w:rsid w:val="004B47C3"/>
    <w:rsid w:val="004B496A"/>
    <w:rsid w:val="004B4C42"/>
    <w:rsid w:val="004B5D70"/>
    <w:rsid w:val="004B68DA"/>
    <w:rsid w:val="004B692B"/>
    <w:rsid w:val="004B6C97"/>
    <w:rsid w:val="004B723F"/>
    <w:rsid w:val="004B7C87"/>
    <w:rsid w:val="004B7D1C"/>
    <w:rsid w:val="004C052F"/>
    <w:rsid w:val="004C089C"/>
    <w:rsid w:val="004C1ADC"/>
    <w:rsid w:val="004C1B63"/>
    <w:rsid w:val="004C1EE4"/>
    <w:rsid w:val="004C2BC9"/>
    <w:rsid w:val="004C2F36"/>
    <w:rsid w:val="004C342A"/>
    <w:rsid w:val="004C3717"/>
    <w:rsid w:val="004C3C26"/>
    <w:rsid w:val="004C4F4E"/>
    <w:rsid w:val="004C55C5"/>
    <w:rsid w:val="004C568E"/>
    <w:rsid w:val="004C6502"/>
    <w:rsid w:val="004C6A4B"/>
    <w:rsid w:val="004C6BEF"/>
    <w:rsid w:val="004C749F"/>
    <w:rsid w:val="004C783D"/>
    <w:rsid w:val="004D1B1D"/>
    <w:rsid w:val="004D1C56"/>
    <w:rsid w:val="004D2B3C"/>
    <w:rsid w:val="004D331D"/>
    <w:rsid w:val="004D388A"/>
    <w:rsid w:val="004D3AFF"/>
    <w:rsid w:val="004D3C82"/>
    <w:rsid w:val="004D5484"/>
    <w:rsid w:val="004D5981"/>
    <w:rsid w:val="004D59D2"/>
    <w:rsid w:val="004D604E"/>
    <w:rsid w:val="004D60F5"/>
    <w:rsid w:val="004D6362"/>
    <w:rsid w:val="004D6E28"/>
    <w:rsid w:val="004D755F"/>
    <w:rsid w:val="004D75AC"/>
    <w:rsid w:val="004E329E"/>
    <w:rsid w:val="004E36B1"/>
    <w:rsid w:val="004E3A0C"/>
    <w:rsid w:val="004E4791"/>
    <w:rsid w:val="004E5112"/>
    <w:rsid w:val="004E566C"/>
    <w:rsid w:val="004E5A65"/>
    <w:rsid w:val="004E5F7C"/>
    <w:rsid w:val="004E61B9"/>
    <w:rsid w:val="004E74D3"/>
    <w:rsid w:val="004E7C9C"/>
    <w:rsid w:val="004F0302"/>
    <w:rsid w:val="004F0630"/>
    <w:rsid w:val="004F0947"/>
    <w:rsid w:val="004F0B61"/>
    <w:rsid w:val="004F0F31"/>
    <w:rsid w:val="004F2126"/>
    <w:rsid w:val="004F238E"/>
    <w:rsid w:val="004F2B0A"/>
    <w:rsid w:val="004F3131"/>
    <w:rsid w:val="004F3551"/>
    <w:rsid w:val="004F4145"/>
    <w:rsid w:val="004F4A44"/>
    <w:rsid w:val="004F4FAF"/>
    <w:rsid w:val="004F5CB3"/>
    <w:rsid w:val="004F70BF"/>
    <w:rsid w:val="00500086"/>
    <w:rsid w:val="005012FC"/>
    <w:rsid w:val="00501525"/>
    <w:rsid w:val="00501783"/>
    <w:rsid w:val="005019B6"/>
    <w:rsid w:val="005024F1"/>
    <w:rsid w:val="0050366E"/>
    <w:rsid w:val="005040AA"/>
    <w:rsid w:val="005040CC"/>
    <w:rsid w:val="00504726"/>
    <w:rsid w:val="0050530D"/>
    <w:rsid w:val="0050565C"/>
    <w:rsid w:val="00505835"/>
    <w:rsid w:val="005064A4"/>
    <w:rsid w:val="00506FCB"/>
    <w:rsid w:val="005070FC"/>
    <w:rsid w:val="005076E5"/>
    <w:rsid w:val="00507F16"/>
    <w:rsid w:val="00511DE0"/>
    <w:rsid w:val="00512095"/>
    <w:rsid w:val="00512908"/>
    <w:rsid w:val="00512ED1"/>
    <w:rsid w:val="005135F9"/>
    <w:rsid w:val="00514E19"/>
    <w:rsid w:val="00515BCD"/>
    <w:rsid w:val="0051620B"/>
    <w:rsid w:val="00516915"/>
    <w:rsid w:val="00516EF1"/>
    <w:rsid w:val="005174E1"/>
    <w:rsid w:val="005179EF"/>
    <w:rsid w:val="00517C17"/>
    <w:rsid w:val="005208B6"/>
    <w:rsid w:val="00520F8C"/>
    <w:rsid w:val="00521055"/>
    <w:rsid w:val="005210BB"/>
    <w:rsid w:val="005213D7"/>
    <w:rsid w:val="005221AF"/>
    <w:rsid w:val="00522411"/>
    <w:rsid w:val="00522A26"/>
    <w:rsid w:val="00522C35"/>
    <w:rsid w:val="00523BB8"/>
    <w:rsid w:val="005246C5"/>
    <w:rsid w:val="00524B45"/>
    <w:rsid w:val="00524F5D"/>
    <w:rsid w:val="00525145"/>
    <w:rsid w:val="00525434"/>
    <w:rsid w:val="00525560"/>
    <w:rsid w:val="00525A57"/>
    <w:rsid w:val="00526022"/>
    <w:rsid w:val="00526CD2"/>
    <w:rsid w:val="00527642"/>
    <w:rsid w:val="0052764D"/>
    <w:rsid w:val="00527A11"/>
    <w:rsid w:val="0053002B"/>
    <w:rsid w:val="00530741"/>
    <w:rsid w:val="00531B0C"/>
    <w:rsid w:val="00532959"/>
    <w:rsid w:val="00532DC6"/>
    <w:rsid w:val="005336E1"/>
    <w:rsid w:val="00533824"/>
    <w:rsid w:val="00533896"/>
    <w:rsid w:val="00533A59"/>
    <w:rsid w:val="0053417A"/>
    <w:rsid w:val="00534752"/>
    <w:rsid w:val="005357CA"/>
    <w:rsid w:val="005367BD"/>
    <w:rsid w:val="00536BE6"/>
    <w:rsid w:val="00536E68"/>
    <w:rsid w:val="00536F2C"/>
    <w:rsid w:val="0053715E"/>
    <w:rsid w:val="00537885"/>
    <w:rsid w:val="005403FC"/>
    <w:rsid w:val="005405E4"/>
    <w:rsid w:val="00541D92"/>
    <w:rsid w:val="00541DE3"/>
    <w:rsid w:val="00541E12"/>
    <w:rsid w:val="0054324F"/>
    <w:rsid w:val="00543925"/>
    <w:rsid w:val="00543A45"/>
    <w:rsid w:val="00543ED0"/>
    <w:rsid w:val="00544AE3"/>
    <w:rsid w:val="00544C17"/>
    <w:rsid w:val="005458A2"/>
    <w:rsid w:val="005458E8"/>
    <w:rsid w:val="00545947"/>
    <w:rsid w:val="00545A13"/>
    <w:rsid w:val="00545A1E"/>
    <w:rsid w:val="00545C47"/>
    <w:rsid w:val="00546131"/>
    <w:rsid w:val="005462A5"/>
    <w:rsid w:val="0054637C"/>
    <w:rsid w:val="00546DFE"/>
    <w:rsid w:val="00547898"/>
    <w:rsid w:val="00547BA0"/>
    <w:rsid w:val="005521B3"/>
    <w:rsid w:val="00552958"/>
    <w:rsid w:val="0055345A"/>
    <w:rsid w:val="00554028"/>
    <w:rsid w:val="00554265"/>
    <w:rsid w:val="005542C9"/>
    <w:rsid w:val="005544EA"/>
    <w:rsid w:val="005545AA"/>
    <w:rsid w:val="00554C5C"/>
    <w:rsid w:val="00556EF1"/>
    <w:rsid w:val="00557420"/>
    <w:rsid w:val="005578F0"/>
    <w:rsid w:val="00560484"/>
    <w:rsid w:val="00560878"/>
    <w:rsid w:val="00560CB0"/>
    <w:rsid w:val="0056164E"/>
    <w:rsid w:val="00561C09"/>
    <w:rsid w:val="00562431"/>
    <w:rsid w:val="00563078"/>
    <w:rsid w:val="005633E6"/>
    <w:rsid w:val="00563C88"/>
    <w:rsid w:val="00563D1B"/>
    <w:rsid w:val="0056468F"/>
    <w:rsid w:val="00564B6B"/>
    <w:rsid w:val="0056554D"/>
    <w:rsid w:val="00565F90"/>
    <w:rsid w:val="005663CF"/>
    <w:rsid w:val="005670A8"/>
    <w:rsid w:val="005672B2"/>
    <w:rsid w:val="0056755C"/>
    <w:rsid w:val="00567E8E"/>
    <w:rsid w:val="005709FB"/>
    <w:rsid w:val="00570B9E"/>
    <w:rsid w:val="00570D52"/>
    <w:rsid w:val="0057184D"/>
    <w:rsid w:val="00571B0A"/>
    <w:rsid w:val="00571C54"/>
    <w:rsid w:val="00572838"/>
    <w:rsid w:val="005729F0"/>
    <w:rsid w:val="00572DEA"/>
    <w:rsid w:val="005734E9"/>
    <w:rsid w:val="00573E5D"/>
    <w:rsid w:val="00574618"/>
    <w:rsid w:val="00574942"/>
    <w:rsid w:val="0057770D"/>
    <w:rsid w:val="00577D38"/>
    <w:rsid w:val="00577EB1"/>
    <w:rsid w:val="00580A65"/>
    <w:rsid w:val="005810D2"/>
    <w:rsid w:val="005814EB"/>
    <w:rsid w:val="00581752"/>
    <w:rsid w:val="0058175D"/>
    <w:rsid w:val="00582C3A"/>
    <w:rsid w:val="0058316A"/>
    <w:rsid w:val="00583C59"/>
    <w:rsid w:val="00583EAA"/>
    <w:rsid w:val="00584343"/>
    <w:rsid w:val="00584BFF"/>
    <w:rsid w:val="00585247"/>
    <w:rsid w:val="005855FE"/>
    <w:rsid w:val="00585F53"/>
    <w:rsid w:val="005864C8"/>
    <w:rsid w:val="00586F11"/>
    <w:rsid w:val="005873AE"/>
    <w:rsid w:val="00587C76"/>
    <w:rsid w:val="005900C3"/>
    <w:rsid w:val="00590A24"/>
    <w:rsid w:val="005914FD"/>
    <w:rsid w:val="00591FC7"/>
    <w:rsid w:val="0059245E"/>
    <w:rsid w:val="00593E0C"/>
    <w:rsid w:val="00594FC2"/>
    <w:rsid w:val="00596D1B"/>
    <w:rsid w:val="00596F92"/>
    <w:rsid w:val="00597413"/>
    <w:rsid w:val="005974E3"/>
    <w:rsid w:val="005A0562"/>
    <w:rsid w:val="005A0C85"/>
    <w:rsid w:val="005A147C"/>
    <w:rsid w:val="005A15E3"/>
    <w:rsid w:val="005A1BB5"/>
    <w:rsid w:val="005A2057"/>
    <w:rsid w:val="005A2202"/>
    <w:rsid w:val="005A3771"/>
    <w:rsid w:val="005A4204"/>
    <w:rsid w:val="005A513C"/>
    <w:rsid w:val="005A554A"/>
    <w:rsid w:val="005A5E85"/>
    <w:rsid w:val="005A5FC6"/>
    <w:rsid w:val="005A65DE"/>
    <w:rsid w:val="005A694D"/>
    <w:rsid w:val="005A6F45"/>
    <w:rsid w:val="005A7653"/>
    <w:rsid w:val="005A78ED"/>
    <w:rsid w:val="005A7BF0"/>
    <w:rsid w:val="005B0669"/>
    <w:rsid w:val="005B0EC3"/>
    <w:rsid w:val="005B3B60"/>
    <w:rsid w:val="005B3D81"/>
    <w:rsid w:val="005B413B"/>
    <w:rsid w:val="005B460D"/>
    <w:rsid w:val="005B4847"/>
    <w:rsid w:val="005B4BED"/>
    <w:rsid w:val="005B5188"/>
    <w:rsid w:val="005B51F0"/>
    <w:rsid w:val="005B5308"/>
    <w:rsid w:val="005B5778"/>
    <w:rsid w:val="005B5A60"/>
    <w:rsid w:val="005B6CC7"/>
    <w:rsid w:val="005B6D1B"/>
    <w:rsid w:val="005B7409"/>
    <w:rsid w:val="005B7FB5"/>
    <w:rsid w:val="005C0353"/>
    <w:rsid w:val="005C041A"/>
    <w:rsid w:val="005C124E"/>
    <w:rsid w:val="005C1CC2"/>
    <w:rsid w:val="005C1D5D"/>
    <w:rsid w:val="005C27FB"/>
    <w:rsid w:val="005C2AF3"/>
    <w:rsid w:val="005C2C9B"/>
    <w:rsid w:val="005C377D"/>
    <w:rsid w:val="005C4011"/>
    <w:rsid w:val="005C52B4"/>
    <w:rsid w:val="005C615D"/>
    <w:rsid w:val="005C618D"/>
    <w:rsid w:val="005C7906"/>
    <w:rsid w:val="005C7E64"/>
    <w:rsid w:val="005C7F4D"/>
    <w:rsid w:val="005D006B"/>
    <w:rsid w:val="005D00E8"/>
    <w:rsid w:val="005D020D"/>
    <w:rsid w:val="005D05D5"/>
    <w:rsid w:val="005D0C3C"/>
    <w:rsid w:val="005D0D6D"/>
    <w:rsid w:val="005D14AE"/>
    <w:rsid w:val="005D1CDF"/>
    <w:rsid w:val="005D2A58"/>
    <w:rsid w:val="005D317A"/>
    <w:rsid w:val="005D393B"/>
    <w:rsid w:val="005D5131"/>
    <w:rsid w:val="005D6800"/>
    <w:rsid w:val="005D6D8E"/>
    <w:rsid w:val="005E1079"/>
    <w:rsid w:val="005E13D9"/>
    <w:rsid w:val="005E16BD"/>
    <w:rsid w:val="005E17E3"/>
    <w:rsid w:val="005E1B05"/>
    <w:rsid w:val="005E1C5C"/>
    <w:rsid w:val="005E1EFA"/>
    <w:rsid w:val="005E2A77"/>
    <w:rsid w:val="005E325C"/>
    <w:rsid w:val="005E3AA4"/>
    <w:rsid w:val="005E4A77"/>
    <w:rsid w:val="005E4C44"/>
    <w:rsid w:val="005E4D8D"/>
    <w:rsid w:val="005E5230"/>
    <w:rsid w:val="005E5B8F"/>
    <w:rsid w:val="005E5E5E"/>
    <w:rsid w:val="005E788B"/>
    <w:rsid w:val="005E7DE4"/>
    <w:rsid w:val="005F0DE8"/>
    <w:rsid w:val="005F1290"/>
    <w:rsid w:val="005F16BB"/>
    <w:rsid w:val="005F17BE"/>
    <w:rsid w:val="005F2529"/>
    <w:rsid w:val="005F2EB8"/>
    <w:rsid w:val="005F3715"/>
    <w:rsid w:val="005F383A"/>
    <w:rsid w:val="005F4632"/>
    <w:rsid w:val="005F5DF7"/>
    <w:rsid w:val="005F6213"/>
    <w:rsid w:val="005F6292"/>
    <w:rsid w:val="005F6379"/>
    <w:rsid w:val="005F6FD9"/>
    <w:rsid w:val="005F72A8"/>
    <w:rsid w:val="005F72C9"/>
    <w:rsid w:val="005F78A6"/>
    <w:rsid w:val="005F7B8E"/>
    <w:rsid w:val="005F7C60"/>
    <w:rsid w:val="0060029A"/>
    <w:rsid w:val="006012CC"/>
    <w:rsid w:val="00601680"/>
    <w:rsid w:val="00601A74"/>
    <w:rsid w:val="00602BFF"/>
    <w:rsid w:val="00602DEB"/>
    <w:rsid w:val="00602E21"/>
    <w:rsid w:val="006039A0"/>
    <w:rsid w:val="00603F3E"/>
    <w:rsid w:val="006040B6"/>
    <w:rsid w:val="006040E7"/>
    <w:rsid w:val="006042C1"/>
    <w:rsid w:val="006061E4"/>
    <w:rsid w:val="00606476"/>
    <w:rsid w:val="0060668A"/>
    <w:rsid w:val="0061004F"/>
    <w:rsid w:val="006101B7"/>
    <w:rsid w:val="0061092B"/>
    <w:rsid w:val="00610B12"/>
    <w:rsid w:val="0061147E"/>
    <w:rsid w:val="00611FB7"/>
    <w:rsid w:val="00612698"/>
    <w:rsid w:val="00612D52"/>
    <w:rsid w:val="00612EED"/>
    <w:rsid w:val="00612F02"/>
    <w:rsid w:val="0061316C"/>
    <w:rsid w:val="00613641"/>
    <w:rsid w:val="00613B62"/>
    <w:rsid w:val="006155D0"/>
    <w:rsid w:val="00615C3C"/>
    <w:rsid w:val="00615D3B"/>
    <w:rsid w:val="00615DFB"/>
    <w:rsid w:val="0061608C"/>
    <w:rsid w:val="00616E8E"/>
    <w:rsid w:val="0062078D"/>
    <w:rsid w:val="00621161"/>
    <w:rsid w:val="006216C0"/>
    <w:rsid w:val="00621996"/>
    <w:rsid w:val="00621A37"/>
    <w:rsid w:val="006220B3"/>
    <w:rsid w:val="00622728"/>
    <w:rsid w:val="00623401"/>
    <w:rsid w:val="006235D2"/>
    <w:rsid w:val="006249A1"/>
    <w:rsid w:val="00625AC5"/>
    <w:rsid w:val="006267FE"/>
    <w:rsid w:val="006268C2"/>
    <w:rsid w:val="00626B75"/>
    <w:rsid w:val="00626DCF"/>
    <w:rsid w:val="0062760B"/>
    <w:rsid w:val="006277AC"/>
    <w:rsid w:val="006304ED"/>
    <w:rsid w:val="00631332"/>
    <w:rsid w:val="00631494"/>
    <w:rsid w:val="006316CC"/>
    <w:rsid w:val="00632D2F"/>
    <w:rsid w:val="00633774"/>
    <w:rsid w:val="00633914"/>
    <w:rsid w:val="00633920"/>
    <w:rsid w:val="006351E9"/>
    <w:rsid w:val="00635395"/>
    <w:rsid w:val="0063544A"/>
    <w:rsid w:val="0063568A"/>
    <w:rsid w:val="00635883"/>
    <w:rsid w:val="00635B26"/>
    <w:rsid w:val="00636BA3"/>
    <w:rsid w:val="00636CE6"/>
    <w:rsid w:val="006376AD"/>
    <w:rsid w:val="006376FC"/>
    <w:rsid w:val="00640095"/>
    <w:rsid w:val="006407A8"/>
    <w:rsid w:val="00642535"/>
    <w:rsid w:val="00642737"/>
    <w:rsid w:val="00642C45"/>
    <w:rsid w:val="00642F56"/>
    <w:rsid w:val="00642FB6"/>
    <w:rsid w:val="00644E9A"/>
    <w:rsid w:val="00645415"/>
    <w:rsid w:val="00645904"/>
    <w:rsid w:val="00645C13"/>
    <w:rsid w:val="00645CDB"/>
    <w:rsid w:val="00645D27"/>
    <w:rsid w:val="00646AC3"/>
    <w:rsid w:val="00647690"/>
    <w:rsid w:val="00647F64"/>
    <w:rsid w:val="00650244"/>
    <w:rsid w:val="006506CA"/>
    <w:rsid w:val="00651006"/>
    <w:rsid w:val="00651385"/>
    <w:rsid w:val="0065168F"/>
    <w:rsid w:val="0065272B"/>
    <w:rsid w:val="006536CB"/>
    <w:rsid w:val="00653996"/>
    <w:rsid w:val="00654485"/>
    <w:rsid w:val="0065537B"/>
    <w:rsid w:val="00655B63"/>
    <w:rsid w:val="006565CC"/>
    <w:rsid w:val="006572DB"/>
    <w:rsid w:val="006573A8"/>
    <w:rsid w:val="006573E0"/>
    <w:rsid w:val="00657BC8"/>
    <w:rsid w:val="00657DA3"/>
    <w:rsid w:val="006606C9"/>
    <w:rsid w:val="00660F8E"/>
    <w:rsid w:val="00661133"/>
    <w:rsid w:val="00662544"/>
    <w:rsid w:val="00663751"/>
    <w:rsid w:val="006647C0"/>
    <w:rsid w:val="006655E4"/>
    <w:rsid w:val="006659DE"/>
    <w:rsid w:val="00667DD2"/>
    <w:rsid w:val="006708D0"/>
    <w:rsid w:val="00670A06"/>
    <w:rsid w:val="00670AB7"/>
    <w:rsid w:val="00670DFF"/>
    <w:rsid w:val="006715EF"/>
    <w:rsid w:val="00671CD6"/>
    <w:rsid w:val="00671FDC"/>
    <w:rsid w:val="00672124"/>
    <w:rsid w:val="00672E15"/>
    <w:rsid w:val="00673D37"/>
    <w:rsid w:val="00673DA2"/>
    <w:rsid w:val="00674084"/>
    <w:rsid w:val="006746ED"/>
    <w:rsid w:val="0067531D"/>
    <w:rsid w:val="006756F0"/>
    <w:rsid w:val="006757B9"/>
    <w:rsid w:val="00675B9D"/>
    <w:rsid w:val="006765BD"/>
    <w:rsid w:val="00676674"/>
    <w:rsid w:val="00676F3E"/>
    <w:rsid w:val="00677036"/>
    <w:rsid w:val="006773C0"/>
    <w:rsid w:val="00677CD0"/>
    <w:rsid w:val="00677F2D"/>
    <w:rsid w:val="00680B88"/>
    <w:rsid w:val="00680F75"/>
    <w:rsid w:val="0068165D"/>
    <w:rsid w:val="006817D4"/>
    <w:rsid w:val="00681E60"/>
    <w:rsid w:val="006823F3"/>
    <w:rsid w:val="006824A1"/>
    <w:rsid w:val="006828DF"/>
    <w:rsid w:val="00683666"/>
    <w:rsid w:val="00683C39"/>
    <w:rsid w:val="00684EDB"/>
    <w:rsid w:val="00686143"/>
    <w:rsid w:val="0068619E"/>
    <w:rsid w:val="0068652B"/>
    <w:rsid w:val="00686ADF"/>
    <w:rsid w:val="00687610"/>
    <w:rsid w:val="00687DF4"/>
    <w:rsid w:val="006907A4"/>
    <w:rsid w:val="0069126A"/>
    <w:rsid w:val="006914D9"/>
    <w:rsid w:val="00691E21"/>
    <w:rsid w:val="00692B14"/>
    <w:rsid w:val="00692D17"/>
    <w:rsid w:val="00692F69"/>
    <w:rsid w:val="00692F79"/>
    <w:rsid w:val="00693D97"/>
    <w:rsid w:val="00693EB0"/>
    <w:rsid w:val="00694461"/>
    <w:rsid w:val="0069529D"/>
    <w:rsid w:val="0069686E"/>
    <w:rsid w:val="00696A4E"/>
    <w:rsid w:val="0069704C"/>
    <w:rsid w:val="006979A7"/>
    <w:rsid w:val="00697FC6"/>
    <w:rsid w:val="006A09C4"/>
    <w:rsid w:val="006A0BCA"/>
    <w:rsid w:val="006A0FFB"/>
    <w:rsid w:val="006A1566"/>
    <w:rsid w:val="006A1617"/>
    <w:rsid w:val="006A177D"/>
    <w:rsid w:val="006A23C2"/>
    <w:rsid w:val="006A330D"/>
    <w:rsid w:val="006A34A2"/>
    <w:rsid w:val="006A3EC0"/>
    <w:rsid w:val="006A5A7C"/>
    <w:rsid w:val="006A5C70"/>
    <w:rsid w:val="006A5CAF"/>
    <w:rsid w:val="006A61F3"/>
    <w:rsid w:val="006A6273"/>
    <w:rsid w:val="006A66D8"/>
    <w:rsid w:val="006A6E8E"/>
    <w:rsid w:val="006A74CD"/>
    <w:rsid w:val="006A78E6"/>
    <w:rsid w:val="006B0385"/>
    <w:rsid w:val="006B0484"/>
    <w:rsid w:val="006B1EBC"/>
    <w:rsid w:val="006B24A5"/>
    <w:rsid w:val="006B35BA"/>
    <w:rsid w:val="006B36B0"/>
    <w:rsid w:val="006B3F30"/>
    <w:rsid w:val="006B4054"/>
    <w:rsid w:val="006B4522"/>
    <w:rsid w:val="006B49AD"/>
    <w:rsid w:val="006B4B88"/>
    <w:rsid w:val="006B5242"/>
    <w:rsid w:val="006B7D01"/>
    <w:rsid w:val="006C0897"/>
    <w:rsid w:val="006C09EA"/>
    <w:rsid w:val="006C0E71"/>
    <w:rsid w:val="006C0E85"/>
    <w:rsid w:val="006C1535"/>
    <w:rsid w:val="006C2574"/>
    <w:rsid w:val="006C2693"/>
    <w:rsid w:val="006C2B53"/>
    <w:rsid w:val="006C2C3B"/>
    <w:rsid w:val="006C3032"/>
    <w:rsid w:val="006C31AE"/>
    <w:rsid w:val="006C3EA8"/>
    <w:rsid w:val="006C4436"/>
    <w:rsid w:val="006C495D"/>
    <w:rsid w:val="006C5DC1"/>
    <w:rsid w:val="006C603E"/>
    <w:rsid w:val="006C6107"/>
    <w:rsid w:val="006C6999"/>
    <w:rsid w:val="006C6BD7"/>
    <w:rsid w:val="006C6E3B"/>
    <w:rsid w:val="006C7363"/>
    <w:rsid w:val="006C7763"/>
    <w:rsid w:val="006C7811"/>
    <w:rsid w:val="006C7D86"/>
    <w:rsid w:val="006C7E67"/>
    <w:rsid w:val="006C7FFC"/>
    <w:rsid w:val="006D0AB6"/>
    <w:rsid w:val="006D0AC6"/>
    <w:rsid w:val="006D0D2B"/>
    <w:rsid w:val="006D0ED2"/>
    <w:rsid w:val="006D1071"/>
    <w:rsid w:val="006D3596"/>
    <w:rsid w:val="006D4946"/>
    <w:rsid w:val="006D50DF"/>
    <w:rsid w:val="006D53D5"/>
    <w:rsid w:val="006D5828"/>
    <w:rsid w:val="006D5868"/>
    <w:rsid w:val="006D5A4C"/>
    <w:rsid w:val="006E021B"/>
    <w:rsid w:val="006E0462"/>
    <w:rsid w:val="006E091E"/>
    <w:rsid w:val="006E0C8D"/>
    <w:rsid w:val="006E13CA"/>
    <w:rsid w:val="006E156E"/>
    <w:rsid w:val="006E19FD"/>
    <w:rsid w:val="006E1E05"/>
    <w:rsid w:val="006E25DE"/>
    <w:rsid w:val="006E33F6"/>
    <w:rsid w:val="006E353C"/>
    <w:rsid w:val="006E3AFC"/>
    <w:rsid w:val="006E45B4"/>
    <w:rsid w:val="006E4680"/>
    <w:rsid w:val="006E4EDD"/>
    <w:rsid w:val="006E5091"/>
    <w:rsid w:val="006E5D34"/>
    <w:rsid w:val="006E7CB3"/>
    <w:rsid w:val="006F05B5"/>
    <w:rsid w:val="006F0C28"/>
    <w:rsid w:val="006F1571"/>
    <w:rsid w:val="006F1F77"/>
    <w:rsid w:val="006F22AF"/>
    <w:rsid w:val="006F2EE9"/>
    <w:rsid w:val="006F3022"/>
    <w:rsid w:val="006F31AC"/>
    <w:rsid w:val="006F3A25"/>
    <w:rsid w:val="006F3BE8"/>
    <w:rsid w:val="006F42C4"/>
    <w:rsid w:val="006F50A4"/>
    <w:rsid w:val="006F52EB"/>
    <w:rsid w:val="006F54BE"/>
    <w:rsid w:val="006F585B"/>
    <w:rsid w:val="006F5ACB"/>
    <w:rsid w:val="006F62A9"/>
    <w:rsid w:val="006F69F3"/>
    <w:rsid w:val="006F7062"/>
    <w:rsid w:val="006F7974"/>
    <w:rsid w:val="006F7FE6"/>
    <w:rsid w:val="00700C20"/>
    <w:rsid w:val="00700D92"/>
    <w:rsid w:val="00701BB9"/>
    <w:rsid w:val="00702521"/>
    <w:rsid w:val="00702AE1"/>
    <w:rsid w:val="0070330D"/>
    <w:rsid w:val="00703B76"/>
    <w:rsid w:val="007044A9"/>
    <w:rsid w:val="0070694A"/>
    <w:rsid w:val="00707032"/>
    <w:rsid w:val="007079C9"/>
    <w:rsid w:val="00707B54"/>
    <w:rsid w:val="00707E47"/>
    <w:rsid w:val="007110A1"/>
    <w:rsid w:val="00711633"/>
    <w:rsid w:val="00711EFE"/>
    <w:rsid w:val="0071200E"/>
    <w:rsid w:val="00712324"/>
    <w:rsid w:val="00712CBB"/>
    <w:rsid w:val="00712EC0"/>
    <w:rsid w:val="0071330D"/>
    <w:rsid w:val="00713423"/>
    <w:rsid w:val="007137E2"/>
    <w:rsid w:val="00713CBB"/>
    <w:rsid w:val="00714352"/>
    <w:rsid w:val="00714E37"/>
    <w:rsid w:val="00715836"/>
    <w:rsid w:val="00715DEA"/>
    <w:rsid w:val="00715E07"/>
    <w:rsid w:val="007161ED"/>
    <w:rsid w:val="007161F8"/>
    <w:rsid w:val="00717288"/>
    <w:rsid w:val="00717490"/>
    <w:rsid w:val="007177DA"/>
    <w:rsid w:val="00720320"/>
    <w:rsid w:val="00721095"/>
    <w:rsid w:val="007220AE"/>
    <w:rsid w:val="007221AA"/>
    <w:rsid w:val="007222F4"/>
    <w:rsid w:val="007224E9"/>
    <w:rsid w:val="0072271E"/>
    <w:rsid w:val="00722B47"/>
    <w:rsid w:val="00722CDE"/>
    <w:rsid w:val="00722D5A"/>
    <w:rsid w:val="007232E1"/>
    <w:rsid w:val="007240B8"/>
    <w:rsid w:val="007256C5"/>
    <w:rsid w:val="00725716"/>
    <w:rsid w:val="00725889"/>
    <w:rsid w:val="00725C42"/>
    <w:rsid w:val="0072625D"/>
    <w:rsid w:val="00726FB9"/>
    <w:rsid w:val="0072723A"/>
    <w:rsid w:val="0072731C"/>
    <w:rsid w:val="00730303"/>
    <w:rsid w:val="00730901"/>
    <w:rsid w:val="00730F55"/>
    <w:rsid w:val="0073283D"/>
    <w:rsid w:val="00732C08"/>
    <w:rsid w:val="007334F8"/>
    <w:rsid w:val="00734282"/>
    <w:rsid w:val="007343FA"/>
    <w:rsid w:val="00735ACC"/>
    <w:rsid w:val="00735AE4"/>
    <w:rsid w:val="00735B4E"/>
    <w:rsid w:val="00737753"/>
    <w:rsid w:val="0073791F"/>
    <w:rsid w:val="00737C3B"/>
    <w:rsid w:val="00737E6A"/>
    <w:rsid w:val="00740101"/>
    <w:rsid w:val="00740276"/>
    <w:rsid w:val="00740424"/>
    <w:rsid w:val="00740697"/>
    <w:rsid w:val="00740F01"/>
    <w:rsid w:val="00741797"/>
    <w:rsid w:val="00741AB5"/>
    <w:rsid w:val="00741E96"/>
    <w:rsid w:val="00742AD2"/>
    <w:rsid w:val="007435C4"/>
    <w:rsid w:val="00743700"/>
    <w:rsid w:val="00743C11"/>
    <w:rsid w:val="00744489"/>
    <w:rsid w:val="0074455A"/>
    <w:rsid w:val="00744866"/>
    <w:rsid w:val="00744E43"/>
    <w:rsid w:val="00745079"/>
    <w:rsid w:val="007458D1"/>
    <w:rsid w:val="007459B2"/>
    <w:rsid w:val="00746576"/>
    <w:rsid w:val="0074659B"/>
    <w:rsid w:val="007469E1"/>
    <w:rsid w:val="00746E27"/>
    <w:rsid w:val="007472B7"/>
    <w:rsid w:val="00747C34"/>
    <w:rsid w:val="00747D94"/>
    <w:rsid w:val="00750520"/>
    <w:rsid w:val="00750A22"/>
    <w:rsid w:val="00750DFF"/>
    <w:rsid w:val="00752406"/>
    <w:rsid w:val="007526A1"/>
    <w:rsid w:val="00752B52"/>
    <w:rsid w:val="00753ACC"/>
    <w:rsid w:val="00753CCF"/>
    <w:rsid w:val="0075648D"/>
    <w:rsid w:val="007567A5"/>
    <w:rsid w:val="00756998"/>
    <w:rsid w:val="007571FC"/>
    <w:rsid w:val="00757609"/>
    <w:rsid w:val="00757B9E"/>
    <w:rsid w:val="00757FF9"/>
    <w:rsid w:val="0076002E"/>
    <w:rsid w:val="007602B0"/>
    <w:rsid w:val="0076035A"/>
    <w:rsid w:val="00760B39"/>
    <w:rsid w:val="00761864"/>
    <w:rsid w:val="00761B7D"/>
    <w:rsid w:val="00761FB0"/>
    <w:rsid w:val="007629FB"/>
    <w:rsid w:val="00762F11"/>
    <w:rsid w:val="00763835"/>
    <w:rsid w:val="0076408E"/>
    <w:rsid w:val="00764253"/>
    <w:rsid w:val="007643FE"/>
    <w:rsid w:val="007644A5"/>
    <w:rsid w:val="00765EBC"/>
    <w:rsid w:val="00765F51"/>
    <w:rsid w:val="00765F86"/>
    <w:rsid w:val="00767751"/>
    <w:rsid w:val="0077072B"/>
    <w:rsid w:val="007712A2"/>
    <w:rsid w:val="0077182B"/>
    <w:rsid w:val="007719AE"/>
    <w:rsid w:val="0077201A"/>
    <w:rsid w:val="00772097"/>
    <w:rsid w:val="00772507"/>
    <w:rsid w:val="00772DFF"/>
    <w:rsid w:val="00772FA8"/>
    <w:rsid w:val="00773018"/>
    <w:rsid w:val="007737D7"/>
    <w:rsid w:val="00773884"/>
    <w:rsid w:val="00773D39"/>
    <w:rsid w:val="0077419F"/>
    <w:rsid w:val="0077451D"/>
    <w:rsid w:val="00774888"/>
    <w:rsid w:val="00775654"/>
    <w:rsid w:val="00775753"/>
    <w:rsid w:val="00775EE7"/>
    <w:rsid w:val="0077611C"/>
    <w:rsid w:val="007763D9"/>
    <w:rsid w:val="00776684"/>
    <w:rsid w:val="00777051"/>
    <w:rsid w:val="00777B31"/>
    <w:rsid w:val="00777B60"/>
    <w:rsid w:val="0078013C"/>
    <w:rsid w:val="00780836"/>
    <w:rsid w:val="00782107"/>
    <w:rsid w:val="00783564"/>
    <w:rsid w:val="007838A1"/>
    <w:rsid w:val="00783B26"/>
    <w:rsid w:val="00783FE2"/>
    <w:rsid w:val="0078468A"/>
    <w:rsid w:val="00784904"/>
    <w:rsid w:val="00784C3A"/>
    <w:rsid w:val="0078562C"/>
    <w:rsid w:val="00786391"/>
    <w:rsid w:val="00786D05"/>
    <w:rsid w:val="00787738"/>
    <w:rsid w:val="00787798"/>
    <w:rsid w:val="00787A5E"/>
    <w:rsid w:val="00787F28"/>
    <w:rsid w:val="00790E21"/>
    <w:rsid w:val="00790EE4"/>
    <w:rsid w:val="00793849"/>
    <w:rsid w:val="00794803"/>
    <w:rsid w:val="00794BD3"/>
    <w:rsid w:val="00794D74"/>
    <w:rsid w:val="007954EA"/>
    <w:rsid w:val="007959E8"/>
    <w:rsid w:val="00795D0C"/>
    <w:rsid w:val="007967E9"/>
    <w:rsid w:val="00797459"/>
    <w:rsid w:val="00797C68"/>
    <w:rsid w:val="00797F49"/>
    <w:rsid w:val="007A00E5"/>
    <w:rsid w:val="007A0C6A"/>
    <w:rsid w:val="007A0C94"/>
    <w:rsid w:val="007A0CBF"/>
    <w:rsid w:val="007A13D3"/>
    <w:rsid w:val="007A16A7"/>
    <w:rsid w:val="007A1A95"/>
    <w:rsid w:val="007A2D9C"/>
    <w:rsid w:val="007A2F42"/>
    <w:rsid w:val="007A33FA"/>
    <w:rsid w:val="007A34A4"/>
    <w:rsid w:val="007A39F4"/>
    <w:rsid w:val="007A3B86"/>
    <w:rsid w:val="007A425A"/>
    <w:rsid w:val="007A4692"/>
    <w:rsid w:val="007A4B16"/>
    <w:rsid w:val="007A56C2"/>
    <w:rsid w:val="007A5A6D"/>
    <w:rsid w:val="007A5C14"/>
    <w:rsid w:val="007A6191"/>
    <w:rsid w:val="007A6F20"/>
    <w:rsid w:val="007A6FCC"/>
    <w:rsid w:val="007B1A2C"/>
    <w:rsid w:val="007B1E97"/>
    <w:rsid w:val="007B1F57"/>
    <w:rsid w:val="007B2861"/>
    <w:rsid w:val="007B32E7"/>
    <w:rsid w:val="007B3328"/>
    <w:rsid w:val="007B3B39"/>
    <w:rsid w:val="007B3F83"/>
    <w:rsid w:val="007B4182"/>
    <w:rsid w:val="007B437F"/>
    <w:rsid w:val="007B4ED5"/>
    <w:rsid w:val="007B6344"/>
    <w:rsid w:val="007B64E9"/>
    <w:rsid w:val="007B655B"/>
    <w:rsid w:val="007B66E7"/>
    <w:rsid w:val="007B6E73"/>
    <w:rsid w:val="007C0090"/>
    <w:rsid w:val="007C0709"/>
    <w:rsid w:val="007C0E2E"/>
    <w:rsid w:val="007C21F9"/>
    <w:rsid w:val="007C2AFB"/>
    <w:rsid w:val="007C328E"/>
    <w:rsid w:val="007C39DA"/>
    <w:rsid w:val="007C5B23"/>
    <w:rsid w:val="007C5D0A"/>
    <w:rsid w:val="007C602B"/>
    <w:rsid w:val="007C6281"/>
    <w:rsid w:val="007C7171"/>
    <w:rsid w:val="007C739E"/>
    <w:rsid w:val="007C777B"/>
    <w:rsid w:val="007C7B65"/>
    <w:rsid w:val="007C7F21"/>
    <w:rsid w:val="007C7FF7"/>
    <w:rsid w:val="007D05D0"/>
    <w:rsid w:val="007D0B77"/>
    <w:rsid w:val="007D0C6E"/>
    <w:rsid w:val="007D0E99"/>
    <w:rsid w:val="007D24E3"/>
    <w:rsid w:val="007D2EA7"/>
    <w:rsid w:val="007D2FB3"/>
    <w:rsid w:val="007D31D8"/>
    <w:rsid w:val="007D3263"/>
    <w:rsid w:val="007D3466"/>
    <w:rsid w:val="007D3963"/>
    <w:rsid w:val="007D3D87"/>
    <w:rsid w:val="007D5DBB"/>
    <w:rsid w:val="007D6EFE"/>
    <w:rsid w:val="007D7CB3"/>
    <w:rsid w:val="007D7F98"/>
    <w:rsid w:val="007E0A74"/>
    <w:rsid w:val="007E0AC3"/>
    <w:rsid w:val="007E0B87"/>
    <w:rsid w:val="007E1F0F"/>
    <w:rsid w:val="007E200F"/>
    <w:rsid w:val="007E2B59"/>
    <w:rsid w:val="007E45AA"/>
    <w:rsid w:val="007E570A"/>
    <w:rsid w:val="007E691E"/>
    <w:rsid w:val="007F1BA0"/>
    <w:rsid w:val="007F21A0"/>
    <w:rsid w:val="007F30C3"/>
    <w:rsid w:val="007F373B"/>
    <w:rsid w:val="007F4772"/>
    <w:rsid w:val="007F55BD"/>
    <w:rsid w:val="007F67C2"/>
    <w:rsid w:val="007F6AAF"/>
    <w:rsid w:val="00800089"/>
    <w:rsid w:val="00800461"/>
    <w:rsid w:val="008004F5"/>
    <w:rsid w:val="00800837"/>
    <w:rsid w:val="00800F76"/>
    <w:rsid w:val="0080346F"/>
    <w:rsid w:val="00803700"/>
    <w:rsid w:val="00804290"/>
    <w:rsid w:val="0080455A"/>
    <w:rsid w:val="00804C45"/>
    <w:rsid w:val="00806236"/>
    <w:rsid w:val="00806455"/>
    <w:rsid w:val="008065AF"/>
    <w:rsid w:val="00806DE3"/>
    <w:rsid w:val="00806E76"/>
    <w:rsid w:val="00806F91"/>
    <w:rsid w:val="008101E7"/>
    <w:rsid w:val="0081098B"/>
    <w:rsid w:val="00810E78"/>
    <w:rsid w:val="00812F00"/>
    <w:rsid w:val="00812F47"/>
    <w:rsid w:val="008133FB"/>
    <w:rsid w:val="008136AA"/>
    <w:rsid w:val="00813884"/>
    <w:rsid w:val="00813CF8"/>
    <w:rsid w:val="00814B2E"/>
    <w:rsid w:val="0081516C"/>
    <w:rsid w:val="008155BB"/>
    <w:rsid w:val="008155BD"/>
    <w:rsid w:val="00815C4D"/>
    <w:rsid w:val="0081645D"/>
    <w:rsid w:val="008164BD"/>
    <w:rsid w:val="008175A3"/>
    <w:rsid w:val="0082080B"/>
    <w:rsid w:val="008208F0"/>
    <w:rsid w:val="0082197C"/>
    <w:rsid w:val="00821A3A"/>
    <w:rsid w:val="00821C6E"/>
    <w:rsid w:val="00821D3A"/>
    <w:rsid w:val="008221E6"/>
    <w:rsid w:val="00822AA6"/>
    <w:rsid w:val="00824042"/>
    <w:rsid w:val="00824472"/>
    <w:rsid w:val="0082485C"/>
    <w:rsid w:val="00824952"/>
    <w:rsid w:val="00824C20"/>
    <w:rsid w:val="00825456"/>
    <w:rsid w:val="008267B2"/>
    <w:rsid w:val="008302D6"/>
    <w:rsid w:val="00832E54"/>
    <w:rsid w:val="00832F39"/>
    <w:rsid w:val="008330FA"/>
    <w:rsid w:val="0083423B"/>
    <w:rsid w:val="00834458"/>
    <w:rsid w:val="00834CAC"/>
    <w:rsid w:val="00834DD4"/>
    <w:rsid w:val="00835B59"/>
    <w:rsid w:val="00835B96"/>
    <w:rsid w:val="00835D7E"/>
    <w:rsid w:val="008360D7"/>
    <w:rsid w:val="00836CDD"/>
    <w:rsid w:val="00836D57"/>
    <w:rsid w:val="00836EEE"/>
    <w:rsid w:val="00836FBC"/>
    <w:rsid w:val="008373F3"/>
    <w:rsid w:val="008409E9"/>
    <w:rsid w:val="00840D12"/>
    <w:rsid w:val="00842FFD"/>
    <w:rsid w:val="008431C6"/>
    <w:rsid w:val="008448CB"/>
    <w:rsid w:val="008449B3"/>
    <w:rsid w:val="00845834"/>
    <w:rsid w:val="00846CEA"/>
    <w:rsid w:val="00846E0D"/>
    <w:rsid w:val="00846E7A"/>
    <w:rsid w:val="00846FAE"/>
    <w:rsid w:val="0084729C"/>
    <w:rsid w:val="0084755C"/>
    <w:rsid w:val="00847761"/>
    <w:rsid w:val="00847BD0"/>
    <w:rsid w:val="00847E4B"/>
    <w:rsid w:val="008508CC"/>
    <w:rsid w:val="008523C7"/>
    <w:rsid w:val="0085253E"/>
    <w:rsid w:val="00852B76"/>
    <w:rsid w:val="00853498"/>
    <w:rsid w:val="008535D9"/>
    <w:rsid w:val="008538A4"/>
    <w:rsid w:val="00853F0E"/>
    <w:rsid w:val="00854154"/>
    <w:rsid w:val="00854BA8"/>
    <w:rsid w:val="008551AD"/>
    <w:rsid w:val="00855A34"/>
    <w:rsid w:val="008561B2"/>
    <w:rsid w:val="00857D57"/>
    <w:rsid w:val="00860395"/>
    <w:rsid w:val="00860F01"/>
    <w:rsid w:val="00861AC0"/>
    <w:rsid w:val="00861E93"/>
    <w:rsid w:val="0086249A"/>
    <w:rsid w:val="0086272F"/>
    <w:rsid w:val="0086292B"/>
    <w:rsid w:val="00862C8E"/>
    <w:rsid w:val="008635EB"/>
    <w:rsid w:val="0086360E"/>
    <w:rsid w:val="008637F8"/>
    <w:rsid w:val="0086382E"/>
    <w:rsid w:val="00864E64"/>
    <w:rsid w:val="00864FA7"/>
    <w:rsid w:val="008652C2"/>
    <w:rsid w:val="0086551A"/>
    <w:rsid w:val="00865581"/>
    <w:rsid w:val="00865984"/>
    <w:rsid w:val="00865EA4"/>
    <w:rsid w:val="008660DC"/>
    <w:rsid w:val="008669B6"/>
    <w:rsid w:val="008672F3"/>
    <w:rsid w:val="0086758B"/>
    <w:rsid w:val="00867658"/>
    <w:rsid w:val="00871C44"/>
    <w:rsid w:val="00871DE0"/>
    <w:rsid w:val="008721C0"/>
    <w:rsid w:val="00872E07"/>
    <w:rsid w:val="00872FC7"/>
    <w:rsid w:val="00873B08"/>
    <w:rsid w:val="00873ED9"/>
    <w:rsid w:val="00874DAF"/>
    <w:rsid w:val="00875060"/>
    <w:rsid w:val="00875421"/>
    <w:rsid w:val="0087555B"/>
    <w:rsid w:val="00876874"/>
    <w:rsid w:val="008769EC"/>
    <w:rsid w:val="00876B43"/>
    <w:rsid w:val="00877490"/>
    <w:rsid w:val="0088095D"/>
    <w:rsid w:val="00880BE6"/>
    <w:rsid w:val="00881205"/>
    <w:rsid w:val="00882222"/>
    <w:rsid w:val="008823E8"/>
    <w:rsid w:val="00882AD9"/>
    <w:rsid w:val="00883CD8"/>
    <w:rsid w:val="008844F6"/>
    <w:rsid w:val="008847C1"/>
    <w:rsid w:val="008850F0"/>
    <w:rsid w:val="0088641B"/>
    <w:rsid w:val="00886498"/>
    <w:rsid w:val="0088651F"/>
    <w:rsid w:val="00887CC8"/>
    <w:rsid w:val="0089005F"/>
    <w:rsid w:val="008909FC"/>
    <w:rsid w:val="00890AB3"/>
    <w:rsid w:val="00890C9F"/>
    <w:rsid w:val="008929B2"/>
    <w:rsid w:val="00892C7C"/>
    <w:rsid w:val="00892CF0"/>
    <w:rsid w:val="008930B1"/>
    <w:rsid w:val="008936CB"/>
    <w:rsid w:val="00893DE3"/>
    <w:rsid w:val="00894C06"/>
    <w:rsid w:val="008953AA"/>
    <w:rsid w:val="0089624A"/>
    <w:rsid w:val="00896DEB"/>
    <w:rsid w:val="00897766"/>
    <w:rsid w:val="00897C90"/>
    <w:rsid w:val="008A0322"/>
    <w:rsid w:val="008A15DE"/>
    <w:rsid w:val="008A1A29"/>
    <w:rsid w:val="008A21F8"/>
    <w:rsid w:val="008A32A3"/>
    <w:rsid w:val="008A3B56"/>
    <w:rsid w:val="008A40D5"/>
    <w:rsid w:val="008A51B7"/>
    <w:rsid w:val="008A5259"/>
    <w:rsid w:val="008A55BE"/>
    <w:rsid w:val="008A5B40"/>
    <w:rsid w:val="008A5BC2"/>
    <w:rsid w:val="008A5FAB"/>
    <w:rsid w:val="008A636F"/>
    <w:rsid w:val="008A6994"/>
    <w:rsid w:val="008A74C9"/>
    <w:rsid w:val="008B0676"/>
    <w:rsid w:val="008B0DE8"/>
    <w:rsid w:val="008B0DFF"/>
    <w:rsid w:val="008B1164"/>
    <w:rsid w:val="008B11F3"/>
    <w:rsid w:val="008B126D"/>
    <w:rsid w:val="008B1843"/>
    <w:rsid w:val="008B1A94"/>
    <w:rsid w:val="008B34AD"/>
    <w:rsid w:val="008B37FC"/>
    <w:rsid w:val="008B53FE"/>
    <w:rsid w:val="008B5C4A"/>
    <w:rsid w:val="008B5F9B"/>
    <w:rsid w:val="008B6908"/>
    <w:rsid w:val="008B732F"/>
    <w:rsid w:val="008B7EE2"/>
    <w:rsid w:val="008C01E9"/>
    <w:rsid w:val="008C0516"/>
    <w:rsid w:val="008C21BA"/>
    <w:rsid w:val="008C310B"/>
    <w:rsid w:val="008C339E"/>
    <w:rsid w:val="008C3FB1"/>
    <w:rsid w:val="008C523F"/>
    <w:rsid w:val="008C6765"/>
    <w:rsid w:val="008C6BFB"/>
    <w:rsid w:val="008C796C"/>
    <w:rsid w:val="008C7A1A"/>
    <w:rsid w:val="008D0FEF"/>
    <w:rsid w:val="008D1E2B"/>
    <w:rsid w:val="008D2401"/>
    <w:rsid w:val="008D2962"/>
    <w:rsid w:val="008D2E12"/>
    <w:rsid w:val="008D32FA"/>
    <w:rsid w:val="008D3A50"/>
    <w:rsid w:val="008D4533"/>
    <w:rsid w:val="008D4A9D"/>
    <w:rsid w:val="008D4AD6"/>
    <w:rsid w:val="008D6598"/>
    <w:rsid w:val="008D6A13"/>
    <w:rsid w:val="008D7104"/>
    <w:rsid w:val="008D7B3F"/>
    <w:rsid w:val="008E05DC"/>
    <w:rsid w:val="008E06E8"/>
    <w:rsid w:val="008E1AE3"/>
    <w:rsid w:val="008E2380"/>
    <w:rsid w:val="008E2499"/>
    <w:rsid w:val="008E27A2"/>
    <w:rsid w:val="008E2AF0"/>
    <w:rsid w:val="008E31FF"/>
    <w:rsid w:val="008E3AAC"/>
    <w:rsid w:val="008E4C04"/>
    <w:rsid w:val="008E4E83"/>
    <w:rsid w:val="008E50E3"/>
    <w:rsid w:val="008E5919"/>
    <w:rsid w:val="008E5BC0"/>
    <w:rsid w:val="008E5CD1"/>
    <w:rsid w:val="008E5E80"/>
    <w:rsid w:val="008E7318"/>
    <w:rsid w:val="008E732A"/>
    <w:rsid w:val="008E7845"/>
    <w:rsid w:val="008E78ED"/>
    <w:rsid w:val="008E7D41"/>
    <w:rsid w:val="008F0C2D"/>
    <w:rsid w:val="008F1602"/>
    <w:rsid w:val="008F1627"/>
    <w:rsid w:val="008F19D8"/>
    <w:rsid w:val="008F1A48"/>
    <w:rsid w:val="008F27F6"/>
    <w:rsid w:val="008F2D7F"/>
    <w:rsid w:val="008F3323"/>
    <w:rsid w:val="008F33C1"/>
    <w:rsid w:val="008F367C"/>
    <w:rsid w:val="008F4134"/>
    <w:rsid w:val="008F4386"/>
    <w:rsid w:val="008F4592"/>
    <w:rsid w:val="008F4D8E"/>
    <w:rsid w:val="008F4FFB"/>
    <w:rsid w:val="008F54A1"/>
    <w:rsid w:val="008F5CFE"/>
    <w:rsid w:val="008F7FA8"/>
    <w:rsid w:val="00900510"/>
    <w:rsid w:val="00900901"/>
    <w:rsid w:val="00900AFD"/>
    <w:rsid w:val="00900E20"/>
    <w:rsid w:val="00900EC2"/>
    <w:rsid w:val="00901564"/>
    <w:rsid w:val="0090246E"/>
    <w:rsid w:val="00902BE3"/>
    <w:rsid w:val="009042AC"/>
    <w:rsid w:val="00904300"/>
    <w:rsid w:val="00904B0B"/>
    <w:rsid w:val="0090564F"/>
    <w:rsid w:val="00907986"/>
    <w:rsid w:val="00907DF2"/>
    <w:rsid w:val="00910218"/>
    <w:rsid w:val="00910775"/>
    <w:rsid w:val="009111E2"/>
    <w:rsid w:val="00911280"/>
    <w:rsid w:val="00911AE1"/>
    <w:rsid w:val="00911B20"/>
    <w:rsid w:val="00911CA4"/>
    <w:rsid w:val="00912039"/>
    <w:rsid w:val="009125BB"/>
    <w:rsid w:val="00912730"/>
    <w:rsid w:val="0091304C"/>
    <w:rsid w:val="00913249"/>
    <w:rsid w:val="009135CA"/>
    <w:rsid w:val="0091369B"/>
    <w:rsid w:val="00913D1E"/>
    <w:rsid w:val="00913DB7"/>
    <w:rsid w:val="00914622"/>
    <w:rsid w:val="0091474C"/>
    <w:rsid w:val="00914B36"/>
    <w:rsid w:val="00914EBC"/>
    <w:rsid w:val="0091537E"/>
    <w:rsid w:val="00915F83"/>
    <w:rsid w:val="0091606C"/>
    <w:rsid w:val="0091619A"/>
    <w:rsid w:val="00916414"/>
    <w:rsid w:val="009164EB"/>
    <w:rsid w:val="00916AA6"/>
    <w:rsid w:val="00916D94"/>
    <w:rsid w:val="00916F4A"/>
    <w:rsid w:val="009173CB"/>
    <w:rsid w:val="00917B92"/>
    <w:rsid w:val="009200F3"/>
    <w:rsid w:val="00920FA7"/>
    <w:rsid w:val="0092158C"/>
    <w:rsid w:val="00921F57"/>
    <w:rsid w:val="00922297"/>
    <w:rsid w:val="00922C01"/>
    <w:rsid w:val="00922C0D"/>
    <w:rsid w:val="0092357A"/>
    <w:rsid w:val="00923AD0"/>
    <w:rsid w:val="00924A82"/>
    <w:rsid w:val="00924BAC"/>
    <w:rsid w:val="00925359"/>
    <w:rsid w:val="0092573D"/>
    <w:rsid w:val="0092609E"/>
    <w:rsid w:val="009269E0"/>
    <w:rsid w:val="00927537"/>
    <w:rsid w:val="00927988"/>
    <w:rsid w:val="00927E73"/>
    <w:rsid w:val="0093056A"/>
    <w:rsid w:val="00930FB7"/>
    <w:rsid w:val="009318D9"/>
    <w:rsid w:val="009323BA"/>
    <w:rsid w:val="00932BD9"/>
    <w:rsid w:val="00932D0D"/>
    <w:rsid w:val="009332C5"/>
    <w:rsid w:val="009340C8"/>
    <w:rsid w:val="0093499E"/>
    <w:rsid w:val="00935B33"/>
    <w:rsid w:val="00935DA4"/>
    <w:rsid w:val="00935E5A"/>
    <w:rsid w:val="00936517"/>
    <w:rsid w:val="00936B33"/>
    <w:rsid w:val="00936D92"/>
    <w:rsid w:val="00936EA5"/>
    <w:rsid w:val="00937B93"/>
    <w:rsid w:val="00937E81"/>
    <w:rsid w:val="00942132"/>
    <w:rsid w:val="009421F2"/>
    <w:rsid w:val="009438D8"/>
    <w:rsid w:val="009439AF"/>
    <w:rsid w:val="00943F7E"/>
    <w:rsid w:val="009445BD"/>
    <w:rsid w:val="0094467D"/>
    <w:rsid w:val="00944F31"/>
    <w:rsid w:val="009458F0"/>
    <w:rsid w:val="00945BE4"/>
    <w:rsid w:val="009461F5"/>
    <w:rsid w:val="00946435"/>
    <w:rsid w:val="00946CB3"/>
    <w:rsid w:val="0094746A"/>
    <w:rsid w:val="009477E0"/>
    <w:rsid w:val="00950660"/>
    <w:rsid w:val="00950C3B"/>
    <w:rsid w:val="00951810"/>
    <w:rsid w:val="00952702"/>
    <w:rsid w:val="00952A5A"/>
    <w:rsid w:val="00953A1A"/>
    <w:rsid w:val="00953E9C"/>
    <w:rsid w:val="00953F91"/>
    <w:rsid w:val="009566ED"/>
    <w:rsid w:val="00956E79"/>
    <w:rsid w:val="00957038"/>
    <w:rsid w:val="00957306"/>
    <w:rsid w:val="00957850"/>
    <w:rsid w:val="009607D3"/>
    <w:rsid w:val="00960BDD"/>
    <w:rsid w:val="009610AD"/>
    <w:rsid w:val="009613FC"/>
    <w:rsid w:val="00962967"/>
    <w:rsid w:val="00963248"/>
    <w:rsid w:val="00963618"/>
    <w:rsid w:val="00963672"/>
    <w:rsid w:val="00965603"/>
    <w:rsid w:val="00965720"/>
    <w:rsid w:val="00965A08"/>
    <w:rsid w:val="00965CAE"/>
    <w:rsid w:val="009661F0"/>
    <w:rsid w:val="00966847"/>
    <w:rsid w:val="009672DB"/>
    <w:rsid w:val="00967725"/>
    <w:rsid w:val="009702AF"/>
    <w:rsid w:val="0097035A"/>
    <w:rsid w:val="009704BD"/>
    <w:rsid w:val="0097064F"/>
    <w:rsid w:val="00970CC3"/>
    <w:rsid w:val="00970EF9"/>
    <w:rsid w:val="00971140"/>
    <w:rsid w:val="00971428"/>
    <w:rsid w:val="00971AB0"/>
    <w:rsid w:val="00971BEE"/>
    <w:rsid w:val="00971F3E"/>
    <w:rsid w:val="00973F74"/>
    <w:rsid w:val="0097413C"/>
    <w:rsid w:val="009742F6"/>
    <w:rsid w:val="00974801"/>
    <w:rsid w:val="00974F2B"/>
    <w:rsid w:val="00974FDC"/>
    <w:rsid w:val="0097516F"/>
    <w:rsid w:val="0097539D"/>
    <w:rsid w:val="00975AE5"/>
    <w:rsid w:val="00975C14"/>
    <w:rsid w:val="00976062"/>
    <w:rsid w:val="0097625E"/>
    <w:rsid w:val="009779BD"/>
    <w:rsid w:val="00977B53"/>
    <w:rsid w:val="00980488"/>
    <w:rsid w:val="009804C5"/>
    <w:rsid w:val="00980563"/>
    <w:rsid w:val="009817EF"/>
    <w:rsid w:val="00981FE9"/>
    <w:rsid w:val="00982D1A"/>
    <w:rsid w:val="00983E59"/>
    <w:rsid w:val="00983F2F"/>
    <w:rsid w:val="00984371"/>
    <w:rsid w:val="00984948"/>
    <w:rsid w:val="00985032"/>
    <w:rsid w:val="009859F7"/>
    <w:rsid w:val="009862B0"/>
    <w:rsid w:val="009871C8"/>
    <w:rsid w:val="009876D9"/>
    <w:rsid w:val="00987AD9"/>
    <w:rsid w:val="00987E1F"/>
    <w:rsid w:val="00990624"/>
    <w:rsid w:val="00990918"/>
    <w:rsid w:val="00991820"/>
    <w:rsid w:val="009918D4"/>
    <w:rsid w:val="0099209E"/>
    <w:rsid w:val="00992828"/>
    <w:rsid w:val="00993132"/>
    <w:rsid w:val="00993B13"/>
    <w:rsid w:val="00993C64"/>
    <w:rsid w:val="009946F6"/>
    <w:rsid w:val="009947D3"/>
    <w:rsid w:val="009949A2"/>
    <w:rsid w:val="00994B52"/>
    <w:rsid w:val="00994DA7"/>
    <w:rsid w:val="00994E03"/>
    <w:rsid w:val="00995E94"/>
    <w:rsid w:val="00996BCB"/>
    <w:rsid w:val="00997107"/>
    <w:rsid w:val="00997B46"/>
    <w:rsid w:val="00997C1F"/>
    <w:rsid w:val="00997D7F"/>
    <w:rsid w:val="009A0198"/>
    <w:rsid w:val="009A09F3"/>
    <w:rsid w:val="009A1574"/>
    <w:rsid w:val="009A1753"/>
    <w:rsid w:val="009A23ED"/>
    <w:rsid w:val="009A30B6"/>
    <w:rsid w:val="009A3BEF"/>
    <w:rsid w:val="009A502B"/>
    <w:rsid w:val="009A545A"/>
    <w:rsid w:val="009A5E2E"/>
    <w:rsid w:val="009A63F2"/>
    <w:rsid w:val="009A66E9"/>
    <w:rsid w:val="009A6732"/>
    <w:rsid w:val="009A6924"/>
    <w:rsid w:val="009A71BD"/>
    <w:rsid w:val="009A73E0"/>
    <w:rsid w:val="009B01E7"/>
    <w:rsid w:val="009B0632"/>
    <w:rsid w:val="009B08C4"/>
    <w:rsid w:val="009B092D"/>
    <w:rsid w:val="009B136A"/>
    <w:rsid w:val="009B1CB5"/>
    <w:rsid w:val="009B310C"/>
    <w:rsid w:val="009B3775"/>
    <w:rsid w:val="009B3E24"/>
    <w:rsid w:val="009B48AB"/>
    <w:rsid w:val="009B5404"/>
    <w:rsid w:val="009B5DF6"/>
    <w:rsid w:val="009B6BCF"/>
    <w:rsid w:val="009B722B"/>
    <w:rsid w:val="009C030B"/>
    <w:rsid w:val="009C041B"/>
    <w:rsid w:val="009C07B8"/>
    <w:rsid w:val="009C1A3D"/>
    <w:rsid w:val="009C30E8"/>
    <w:rsid w:val="009C36A1"/>
    <w:rsid w:val="009C3946"/>
    <w:rsid w:val="009C3A6E"/>
    <w:rsid w:val="009C3AE9"/>
    <w:rsid w:val="009C3DE5"/>
    <w:rsid w:val="009C3EC8"/>
    <w:rsid w:val="009C3F0F"/>
    <w:rsid w:val="009C3FC4"/>
    <w:rsid w:val="009C4042"/>
    <w:rsid w:val="009C4498"/>
    <w:rsid w:val="009C6857"/>
    <w:rsid w:val="009C6CC0"/>
    <w:rsid w:val="009C6E43"/>
    <w:rsid w:val="009C7B4E"/>
    <w:rsid w:val="009D0160"/>
    <w:rsid w:val="009D0896"/>
    <w:rsid w:val="009D109D"/>
    <w:rsid w:val="009D204D"/>
    <w:rsid w:val="009D28A9"/>
    <w:rsid w:val="009D2921"/>
    <w:rsid w:val="009D3220"/>
    <w:rsid w:val="009D3581"/>
    <w:rsid w:val="009D463D"/>
    <w:rsid w:val="009D4CEA"/>
    <w:rsid w:val="009D52F7"/>
    <w:rsid w:val="009D610F"/>
    <w:rsid w:val="009D6173"/>
    <w:rsid w:val="009D630E"/>
    <w:rsid w:val="009D6856"/>
    <w:rsid w:val="009D6863"/>
    <w:rsid w:val="009D6FF0"/>
    <w:rsid w:val="009D74E5"/>
    <w:rsid w:val="009E1093"/>
    <w:rsid w:val="009E129B"/>
    <w:rsid w:val="009E1505"/>
    <w:rsid w:val="009E1941"/>
    <w:rsid w:val="009E245B"/>
    <w:rsid w:val="009E39BA"/>
    <w:rsid w:val="009E3DC8"/>
    <w:rsid w:val="009E4409"/>
    <w:rsid w:val="009E44A8"/>
    <w:rsid w:val="009E451C"/>
    <w:rsid w:val="009E4D94"/>
    <w:rsid w:val="009E5107"/>
    <w:rsid w:val="009E56F5"/>
    <w:rsid w:val="009E5FCF"/>
    <w:rsid w:val="009E6252"/>
    <w:rsid w:val="009E626A"/>
    <w:rsid w:val="009E7072"/>
    <w:rsid w:val="009E733F"/>
    <w:rsid w:val="009E7BB3"/>
    <w:rsid w:val="009E7E6D"/>
    <w:rsid w:val="009E7EFC"/>
    <w:rsid w:val="009F0177"/>
    <w:rsid w:val="009F12A4"/>
    <w:rsid w:val="009F1989"/>
    <w:rsid w:val="009F2185"/>
    <w:rsid w:val="009F2255"/>
    <w:rsid w:val="009F25FB"/>
    <w:rsid w:val="009F293D"/>
    <w:rsid w:val="009F2B63"/>
    <w:rsid w:val="009F34A4"/>
    <w:rsid w:val="009F34A5"/>
    <w:rsid w:val="009F3525"/>
    <w:rsid w:val="009F3DBC"/>
    <w:rsid w:val="009F4335"/>
    <w:rsid w:val="009F4DDA"/>
    <w:rsid w:val="009F58DB"/>
    <w:rsid w:val="009F63EF"/>
    <w:rsid w:val="009F6A98"/>
    <w:rsid w:val="009F6F8A"/>
    <w:rsid w:val="009F75DF"/>
    <w:rsid w:val="009F7F22"/>
    <w:rsid w:val="00A00232"/>
    <w:rsid w:val="00A016FD"/>
    <w:rsid w:val="00A01B81"/>
    <w:rsid w:val="00A02F99"/>
    <w:rsid w:val="00A0331F"/>
    <w:rsid w:val="00A037DE"/>
    <w:rsid w:val="00A04118"/>
    <w:rsid w:val="00A046FC"/>
    <w:rsid w:val="00A05489"/>
    <w:rsid w:val="00A0549F"/>
    <w:rsid w:val="00A06B9B"/>
    <w:rsid w:val="00A06CCF"/>
    <w:rsid w:val="00A115A6"/>
    <w:rsid w:val="00A117C5"/>
    <w:rsid w:val="00A1212C"/>
    <w:rsid w:val="00A1282D"/>
    <w:rsid w:val="00A13C05"/>
    <w:rsid w:val="00A13CEB"/>
    <w:rsid w:val="00A147ED"/>
    <w:rsid w:val="00A14C83"/>
    <w:rsid w:val="00A14E71"/>
    <w:rsid w:val="00A14ECF"/>
    <w:rsid w:val="00A15093"/>
    <w:rsid w:val="00A15936"/>
    <w:rsid w:val="00A16478"/>
    <w:rsid w:val="00A16666"/>
    <w:rsid w:val="00A16727"/>
    <w:rsid w:val="00A16C5B"/>
    <w:rsid w:val="00A16D35"/>
    <w:rsid w:val="00A16F8C"/>
    <w:rsid w:val="00A170EB"/>
    <w:rsid w:val="00A17474"/>
    <w:rsid w:val="00A179B5"/>
    <w:rsid w:val="00A17CF7"/>
    <w:rsid w:val="00A20D81"/>
    <w:rsid w:val="00A217F4"/>
    <w:rsid w:val="00A21AB3"/>
    <w:rsid w:val="00A222E7"/>
    <w:rsid w:val="00A22515"/>
    <w:rsid w:val="00A22EDE"/>
    <w:rsid w:val="00A2344E"/>
    <w:rsid w:val="00A23613"/>
    <w:rsid w:val="00A23CBF"/>
    <w:rsid w:val="00A23F8B"/>
    <w:rsid w:val="00A24787"/>
    <w:rsid w:val="00A265A9"/>
    <w:rsid w:val="00A26EA7"/>
    <w:rsid w:val="00A27630"/>
    <w:rsid w:val="00A2764A"/>
    <w:rsid w:val="00A30BA4"/>
    <w:rsid w:val="00A31011"/>
    <w:rsid w:val="00A318A1"/>
    <w:rsid w:val="00A3241F"/>
    <w:rsid w:val="00A33120"/>
    <w:rsid w:val="00A33B33"/>
    <w:rsid w:val="00A33F6E"/>
    <w:rsid w:val="00A341E5"/>
    <w:rsid w:val="00A345C0"/>
    <w:rsid w:val="00A3480B"/>
    <w:rsid w:val="00A34AD5"/>
    <w:rsid w:val="00A3528B"/>
    <w:rsid w:val="00A365B4"/>
    <w:rsid w:val="00A36C7A"/>
    <w:rsid w:val="00A37264"/>
    <w:rsid w:val="00A37842"/>
    <w:rsid w:val="00A37BB4"/>
    <w:rsid w:val="00A40A81"/>
    <w:rsid w:val="00A40E90"/>
    <w:rsid w:val="00A41AD2"/>
    <w:rsid w:val="00A423BB"/>
    <w:rsid w:val="00A42541"/>
    <w:rsid w:val="00A42693"/>
    <w:rsid w:val="00A43319"/>
    <w:rsid w:val="00A448CD"/>
    <w:rsid w:val="00A45281"/>
    <w:rsid w:val="00A46508"/>
    <w:rsid w:val="00A4767C"/>
    <w:rsid w:val="00A47AEB"/>
    <w:rsid w:val="00A47C02"/>
    <w:rsid w:val="00A501A5"/>
    <w:rsid w:val="00A50349"/>
    <w:rsid w:val="00A51773"/>
    <w:rsid w:val="00A518ED"/>
    <w:rsid w:val="00A52A26"/>
    <w:rsid w:val="00A52A47"/>
    <w:rsid w:val="00A53752"/>
    <w:rsid w:val="00A53B59"/>
    <w:rsid w:val="00A54727"/>
    <w:rsid w:val="00A54E40"/>
    <w:rsid w:val="00A55707"/>
    <w:rsid w:val="00A559D5"/>
    <w:rsid w:val="00A55F45"/>
    <w:rsid w:val="00A56E7C"/>
    <w:rsid w:val="00A570C9"/>
    <w:rsid w:val="00A570DA"/>
    <w:rsid w:val="00A60450"/>
    <w:rsid w:val="00A604CD"/>
    <w:rsid w:val="00A618E7"/>
    <w:rsid w:val="00A61C14"/>
    <w:rsid w:val="00A61C4B"/>
    <w:rsid w:val="00A64BC6"/>
    <w:rsid w:val="00A64DDF"/>
    <w:rsid w:val="00A65580"/>
    <w:rsid w:val="00A65FC7"/>
    <w:rsid w:val="00A662DD"/>
    <w:rsid w:val="00A66874"/>
    <w:rsid w:val="00A673E4"/>
    <w:rsid w:val="00A67BC1"/>
    <w:rsid w:val="00A67BCC"/>
    <w:rsid w:val="00A702C6"/>
    <w:rsid w:val="00A7080B"/>
    <w:rsid w:val="00A7155B"/>
    <w:rsid w:val="00A71689"/>
    <w:rsid w:val="00A716FD"/>
    <w:rsid w:val="00A71BB0"/>
    <w:rsid w:val="00A71D4B"/>
    <w:rsid w:val="00A72923"/>
    <w:rsid w:val="00A73C7E"/>
    <w:rsid w:val="00A73CB9"/>
    <w:rsid w:val="00A74049"/>
    <w:rsid w:val="00A743B5"/>
    <w:rsid w:val="00A754D3"/>
    <w:rsid w:val="00A7638F"/>
    <w:rsid w:val="00A802B0"/>
    <w:rsid w:val="00A80780"/>
    <w:rsid w:val="00A81A54"/>
    <w:rsid w:val="00A823CD"/>
    <w:rsid w:val="00A82661"/>
    <w:rsid w:val="00A82F42"/>
    <w:rsid w:val="00A8351F"/>
    <w:rsid w:val="00A83EEB"/>
    <w:rsid w:val="00A840A6"/>
    <w:rsid w:val="00A84E48"/>
    <w:rsid w:val="00A85CCA"/>
    <w:rsid w:val="00A85FD3"/>
    <w:rsid w:val="00A86322"/>
    <w:rsid w:val="00A867BB"/>
    <w:rsid w:val="00A86A9D"/>
    <w:rsid w:val="00A86F6B"/>
    <w:rsid w:val="00A915D2"/>
    <w:rsid w:val="00A91C27"/>
    <w:rsid w:val="00A927B1"/>
    <w:rsid w:val="00A9575F"/>
    <w:rsid w:val="00A962C1"/>
    <w:rsid w:val="00A968B3"/>
    <w:rsid w:val="00A9692C"/>
    <w:rsid w:val="00AA0F13"/>
    <w:rsid w:val="00AA1769"/>
    <w:rsid w:val="00AA20A2"/>
    <w:rsid w:val="00AA2F21"/>
    <w:rsid w:val="00AA335D"/>
    <w:rsid w:val="00AA442A"/>
    <w:rsid w:val="00AA4719"/>
    <w:rsid w:val="00AA4B47"/>
    <w:rsid w:val="00AA7426"/>
    <w:rsid w:val="00AA7C27"/>
    <w:rsid w:val="00AB1BF7"/>
    <w:rsid w:val="00AB2229"/>
    <w:rsid w:val="00AB2472"/>
    <w:rsid w:val="00AB3101"/>
    <w:rsid w:val="00AB318F"/>
    <w:rsid w:val="00AB393E"/>
    <w:rsid w:val="00AB3CF6"/>
    <w:rsid w:val="00AB43B7"/>
    <w:rsid w:val="00AB4747"/>
    <w:rsid w:val="00AB51A7"/>
    <w:rsid w:val="00AB5F46"/>
    <w:rsid w:val="00AB6086"/>
    <w:rsid w:val="00AB6403"/>
    <w:rsid w:val="00AB680E"/>
    <w:rsid w:val="00AB6F12"/>
    <w:rsid w:val="00AB7E32"/>
    <w:rsid w:val="00AC085B"/>
    <w:rsid w:val="00AC0A52"/>
    <w:rsid w:val="00AC0C7B"/>
    <w:rsid w:val="00AC27CF"/>
    <w:rsid w:val="00AC4268"/>
    <w:rsid w:val="00AC459E"/>
    <w:rsid w:val="00AC4EF0"/>
    <w:rsid w:val="00AC599C"/>
    <w:rsid w:val="00AC711B"/>
    <w:rsid w:val="00AC7162"/>
    <w:rsid w:val="00AC71F2"/>
    <w:rsid w:val="00AC73D9"/>
    <w:rsid w:val="00AC7401"/>
    <w:rsid w:val="00AC78EC"/>
    <w:rsid w:val="00AC7E71"/>
    <w:rsid w:val="00AD027E"/>
    <w:rsid w:val="00AD08D4"/>
    <w:rsid w:val="00AD0D10"/>
    <w:rsid w:val="00AD0D28"/>
    <w:rsid w:val="00AD145A"/>
    <w:rsid w:val="00AD1759"/>
    <w:rsid w:val="00AD261D"/>
    <w:rsid w:val="00AD2AFB"/>
    <w:rsid w:val="00AD2C95"/>
    <w:rsid w:val="00AD3139"/>
    <w:rsid w:val="00AD33E2"/>
    <w:rsid w:val="00AD40BF"/>
    <w:rsid w:val="00AD4522"/>
    <w:rsid w:val="00AD4898"/>
    <w:rsid w:val="00AD499E"/>
    <w:rsid w:val="00AD4B8B"/>
    <w:rsid w:val="00AD4D13"/>
    <w:rsid w:val="00AD5EC6"/>
    <w:rsid w:val="00AD65BF"/>
    <w:rsid w:val="00AD7027"/>
    <w:rsid w:val="00AD71C6"/>
    <w:rsid w:val="00AD72FC"/>
    <w:rsid w:val="00AD7437"/>
    <w:rsid w:val="00AD7DD5"/>
    <w:rsid w:val="00AE0692"/>
    <w:rsid w:val="00AE1C33"/>
    <w:rsid w:val="00AE3008"/>
    <w:rsid w:val="00AE3692"/>
    <w:rsid w:val="00AE3C45"/>
    <w:rsid w:val="00AE3E9F"/>
    <w:rsid w:val="00AE4914"/>
    <w:rsid w:val="00AE5363"/>
    <w:rsid w:val="00AE5CC3"/>
    <w:rsid w:val="00AE5D03"/>
    <w:rsid w:val="00AE618A"/>
    <w:rsid w:val="00AE6B9F"/>
    <w:rsid w:val="00AE6F93"/>
    <w:rsid w:val="00AE71DF"/>
    <w:rsid w:val="00AE7641"/>
    <w:rsid w:val="00AF0422"/>
    <w:rsid w:val="00AF11B4"/>
    <w:rsid w:val="00AF124C"/>
    <w:rsid w:val="00AF1B47"/>
    <w:rsid w:val="00AF23CC"/>
    <w:rsid w:val="00AF2B6D"/>
    <w:rsid w:val="00AF2C2A"/>
    <w:rsid w:val="00AF2E82"/>
    <w:rsid w:val="00AF3001"/>
    <w:rsid w:val="00AF30AD"/>
    <w:rsid w:val="00AF30EF"/>
    <w:rsid w:val="00AF3F16"/>
    <w:rsid w:val="00AF4C2C"/>
    <w:rsid w:val="00AF6201"/>
    <w:rsid w:val="00AF64AE"/>
    <w:rsid w:val="00AF6645"/>
    <w:rsid w:val="00AF671A"/>
    <w:rsid w:val="00AF712A"/>
    <w:rsid w:val="00AF7828"/>
    <w:rsid w:val="00AF7894"/>
    <w:rsid w:val="00B029E5"/>
    <w:rsid w:val="00B0342D"/>
    <w:rsid w:val="00B03B83"/>
    <w:rsid w:val="00B03D6C"/>
    <w:rsid w:val="00B03E9B"/>
    <w:rsid w:val="00B03F31"/>
    <w:rsid w:val="00B0488B"/>
    <w:rsid w:val="00B049C7"/>
    <w:rsid w:val="00B04F80"/>
    <w:rsid w:val="00B050E8"/>
    <w:rsid w:val="00B0550B"/>
    <w:rsid w:val="00B056F5"/>
    <w:rsid w:val="00B05935"/>
    <w:rsid w:val="00B06112"/>
    <w:rsid w:val="00B06293"/>
    <w:rsid w:val="00B06306"/>
    <w:rsid w:val="00B0637E"/>
    <w:rsid w:val="00B0701E"/>
    <w:rsid w:val="00B07222"/>
    <w:rsid w:val="00B072BC"/>
    <w:rsid w:val="00B07CBF"/>
    <w:rsid w:val="00B10BE5"/>
    <w:rsid w:val="00B10F37"/>
    <w:rsid w:val="00B1144C"/>
    <w:rsid w:val="00B11E76"/>
    <w:rsid w:val="00B122F2"/>
    <w:rsid w:val="00B127DE"/>
    <w:rsid w:val="00B128F6"/>
    <w:rsid w:val="00B134EF"/>
    <w:rsid w:val="00B14347"/>
    <w:rsid w:val="00B14A27"/>
    <w:rsid w:val="00B14B90"/>
    <w:rsid w:val="00B14FB9"/>
    <w:rsid w:val="00B15305"/>
    <w:rsid w:val="00B1546B"/>
    <w:rsid w:val="00B1645F"/>
    <w:rsid w:val="00B1688D"/>
    <w:rsid w:val="00B170ED"/>
    <w:rsid w:val="00B1734C"/>
    <w:rsid w:val="00B177D2"/>
    <w:rsid w:val="00B17D36"/>
    <w:rsid w:val="00B2066C"/>
    <w:rsid w:val="00B20939"/>
    <w:rsid w:val="00B20D12"/>
    <w:rsid w:val="00B20EC3"/>
    <w:rsid w:val="00B226AE"/>
    <w:rsid w:val="00B233B5"/>
    <w:rsid w:val="00B23589"/>
    <w:rsid w:val="00B23B35"/>
    <w:rsid w:val="00B2473D"/>
    <w:rsid w:val="00B2498A"/>
    <w:rsid w:val="00B250AA"/>
    <w:rsid w:val="00B25225"/>
    <w:rsid w:val="00B26411"/>
    <w:rsid w:val="00B26E4D"/>
    <w:rsid w:val="00B27054"/>
    <w:rsid w:val="00B274C0"/>
    <w:rsid w:val="00B2780D"/>
    <w:rsid w:val="00B278D7"/>
    <w:rsid w:val="00B30E7F"/>
    <w:rsid w:val="00B323B2"/>
    <w:rsid w:val="00B326EB"/>
    <w:rsid w:val="00B32D92"/>
    <w:rsid w:val="00B32FD5"/>
    <w:rsid w:val="00B33648"/>
    <w:rsid w:val="00B33DDF"/>
    <w:rsid w:val="00B342BC"/>
    <w:rsid w:val="00B34495"/>
    <w:rsid w:val="00B3451D"/>
    <w:rsid w:val="00B34AAB"/>
    <w:rsid w:val="00B34CB6"/>
    <w:rsid w:val="00B34CCE"/>
    <w:rsid w:val="00B35120"/>
    <w:rsid w:val="00B3601D"/>
    <w:rsid w:val="00B36994"/>
    <w:rsid w:val="00B36E1E"/>
    <w:rsid w:val="00B36E7C"/>
    <w:rsid w:val="00B3714A"/>
    <w:rsid w:val="00B37340"/>
    <w:rsid w:val="00B37373"/>
    <w:rsid w:val="00B37B44"/>
    <w:rsid w:val="00B40B0A"/>
    <w:rsid w:val="00B41B6C"/>
    <w:rsid w:val="00B41FA3"/>
    <w:rsid w:val="00B42C14"/>
    <w:rsid w:val="00B43260"/>
    <w:rsid w:val="00B442FE"/>
    <w:rsid w:val="00B44648"/>
    <w:rsid w:val="00B44662"/>
    <w:rsid w:val="00B44E12"/>
    <w:rsid w:val="00B452E9"/>
    <w:rsid w:val="00B4714B"/>
    <w:rsid w:val="00B47871"/>
    <w:rsid w:val="00B47D4B"/>
    <w:rsid w:val="00B50574"/>
    <w:rsid w:val="00B50FC7"/>
    <w:rsid w:val="00B50FCB"/>
    <w:rsid w:val="00B51A14"/>
    <w:rsid w:val="00B51C19"/>
    <w:rsid w:val="00B52A1A"/>
    <w:rsid w:val="00B5352C"/>
    <w:rsid w:val="00B53BA3"/>
    <w:rsid w:val="00B5406E"/>
    <w:rsid w:val="00B5498D"/>
    <w:rsid w:val="00B55077"/>
    <w:rsid w:val="00B55691"/>
    <w:rsid w:val="00B564DF"/>
    <w:rsid w:val="00B567AB"/>
    <w:rsid w:val="00B56E4E"/>
    <w:rsid w:val="00B57796"/>
    <w:rsid w:val="00B577E3"/>
    <w:rsid w:val="00B57BD1"/>
    <w:rsid w:val="00B57D87"/>
    <w:rsid w:val="00B60504"/>
    <w:rsid w:val="00B61485"/>
    <w:rsid w:val="00B616F3"/>
    <w:rsid w:val="00B61CF0"/>
    <w:rsid w:val="00B61F9A"/>
    <w:rsid w:val="00B62095"/>
    <w:rsid w:val="00B62248"/>
    <w:rsid w:val="00B62B01"/>
    <w:rsid w:val="00B62CCA"/>
    <w:rsid w:val="00B6339B"/>
    <w:rsid w:val="00B6418A"/>
    <w:rsid w:val="00B6452C"/>
    <w:rsid w:val="00B649FE"/>
    <w:rsid w:val="00B65E7C"/>
    <w:rsid w:val="00B65F12"/>
    <w:rsid w:val="00B6644C"/>
    <w:rsid w:val="00B66C75"/>
    <w:rsid w:val="00B66D88"/>
    <w:rsid w:val="00B67476"/>
    <w:rsid w:val="00B67DC7"/>
    <w:rsid w:val="00B70719"/>
    <w:rsid w:val="00B70A0A"/>
    <w:rsid w:val="00B70A87"/>
    <w:rsid w:val="00B70EF6"/>
    <w:rsid w:val="00B71269"/>
    <w:rsid w:val="00B716C5"/>
    <w:rsid w:val="00B71859"/>
    <w:rsid w:val="00B71912"/>
    <w:rsid w:val="00B71EA4"/>
    <w:rsid w:val="00B71F53"/>
    <w:rsid w:val="00B72E62"/>
    <w:rsid w:val="00B7404C"/>
    <w:rsid w:val="00B74D0F"/>
    <w:rsid w:val="00B75814"/>
    <w:rsid w:val="00B76C81"/>
    <w:rsid w:val="00B76E30"/>
    <w:rsid w:val="00B76FE9"/>
    <w:rsid w:val="00B772D3"/>
    <w:rsid w:val="00B7781A"/>
    <w:rsid w:val="00B80D62"/>
    <w:rsid w:val="00B8133D"/>
    <w:rsid w:val="00B81E4F"/>
    <w:rsid w:val="00B82193"/>
    <w:rsid w:val="00B822FA"/>
    <w:rsid w:val="00B82B35"/>
    <w:rsid w:val="00B8347D"/>
    <w:rsid w:val="00B835CA"/>
    <w:rsid w:val="00B84066"/>
    <w:rsid w:val="00B84185"/>
    <w:rsid w:val="00B84618"/>
    <w:rsid w:val="00B848C7"/>
    <w:rsid w:val="00B85CE4"/>
    <w:rsid w:val="00B86035"/>
    <w:rsid w:val="00B86771"/>
    <w:rsid w:val="00B87179"/>
    <w:rsid w:val="00B8771F"/>
    <w:rsid w:val="00B90050"/>
    <w:rsid w:val="00B90BE5"/>
    <w:rsid w:val="00B91163"/>
    <w:rsid w:val="00B91189"/>
    <w:rsid w:val="00B91328"/>
    <w:rsid w:val="00B9191B"/>
    <w:rsid w:val="00B94159"/>
    <w:rsid w:val="00B944A7"/>
    <w:rsid w:val="00B944BA"/>
    <w:rsid w:val="00B94CEC"/>
    <w:rsid w:val="00B94D0E"/>
    <w:rsid w:val="00B94E0A"/>
    <w:rsid w:val="00B95C3F"/>
    <w:rsid w:val="00B966F0"/>
    <w:rsid w:val="00B96713"/>
    <w:rsid w:val="00B96E00"/>
    <w:rsid w:val="00B97442"/>
    <w:rsid w:val="00BA00A7"/>
    <w:rsid w:val="00BA02D9"/>
    <w:rsid w:val="00BA0BAF"/>
    <w:rsid w:val="00BA15F2"/>
    <w:rsid w:val="00BA162C"/>
    <w:rsid w:val="00BA1FBE"/>
    <w:rsid w:val="00BA23A6"/>
    <w:rsid w:val="00BA3305"/>
    <w:rsid w:val="00BA3C46"/>
    <w:rsid w:val="00BA3D4C"/>
    <w:rsid w:val="00BA3EA5"/>
    <w:rsid w:val="00BA41A8"/>
    <w:rsid w:val="00BA42C7"/>
    <w:rsid w:val="00BA52FA"/>
    <w:rsid w:val="00BA6A58"/>
    <w:rsid w:val="00BA6F45"/>
    <w:rsid w:val="00BA6F92"/>
    <w:rsid w:val="00BA73FC"/>
    <w:rsid w:val="00BA7C39"/>
    <w:rsid w:val="00BB049C"/>
    <w:rsid w:val="00BB55EB"/>
    <w:rsid w:val="00BB67E2"/>
    <w:rsid w:val="00BC058F"/>
    <w:rsid w:val="00BC0630"/>
    <w:rsid w:val="00BC07C5"/>
    <w:rsid w:val="00BC08A9"/>
    <w:rsid w:val="00BC1EEB"/>
    <w:rsid w:val="00BC2188"/>
    <w:rsid w:val="00BC28DF"/>
    <w:rsid w:val="00BC297A"/>
    <w:rsid w:val="00BC2F7B"/>
    <w:rsid w:val="00BC33AA"/>
    <w:rsid w:val="00BC3C65"/>
    <w:rsid w:val="00BC4903"/>
    <w:rsid w:val="00BC4B28"/>
    <w:rsid w:val="00BC4B3E"/>
    <w:rsid w:val="00BC4E25"/>
    <w:rsid w:val="00BC51C1"/>
    <w:rsid w:val="00BC52D1"/>
    <w:rsid w:val="00BC56EE"/>
    <w:rsid w:val="00BC57EA"/>
    <w:rsid w:val="00BC62CF"/>
    <w:rsid w:val="00BC6C00"/>
    <w:rsid w:val="00BC76FD"/>
    <w:rsid w:val="00BC7F68"/>
    <w:rsid w:val="00BD0CB2"/>
    <w:rsid w:val="00BD12FC"/>
    <w:rsid w:val="00BD140E"/>
    <w:rsid w:val="00BD1A6C"/>
    <w:rsid w:val="00BD1DCD"/>
    <w:rsid w:val="00BD2157"/>
    <w:rsid w:val="00BD346E"/>
    <w:rsid w:val="00BD36FD"/>
    <w:rsid w:val="00BD471B"/>
    <w:rsid w:val="00BD4AB3"/>
    <w:rsid w:val="00BD50C8"/>
    <w:rsid w:val="00BD556A"/>
    <w:rsid w:val="00BD5E11"/>
    <w:rsid w:val="00BD61D2"/>
    <w:rsid w:val="00BD641F"/>
    <w:rsid w:val="00BD6A71"/>
    <w:rsid w:val="00BD6C98"/>
    <w:rsid w:val="00BD6D2F"/>
    <w:rsid w:val="00BE0EDE"/>
    <w:rsid w:val="00BE15D2"/>
    <w:rsid w:val="00BE19E5"/>
    <w:rsid w:val="00BE1FB0"/>
    <w:rsid w:val="00BE2A91"/>
    <w:rsid w:val="00BE2C5A"/>
    <w:rsid w:val="00BE2F8A"/>
    <w:rsid w:val="00BE3059"/>
    <w:rsid w:val="00BE38B0"/>
    <w:rsid w:val="00BE40C5"/>
    <w:rsid w:val="00BE4922"/>
    <w:rsid w:val="00BE5493"/>
    <w:rsid w:val="00BE55F2"/>
    <w:rsid w:val="00BE6086"/>
    <w:rsid w:val="00BE6498"/>
    <w:rsid w:val="00BF06EB"/>
    <w:rsid w:val="00BF0CCC"/>
    <w:rsid w:val="00BF1314"/>
    <w:rsid w:val="00BF1761"/>
    <w:rsid w:val="00BF183E"/>
    <w:rsid w:val="00BF1ADE"/>
    <w:rsid w:val="00BF1E2E"/>
    <w:rsid w:val="00BF2A17"/>
    <w:rsid w:val="00BF2F48"/>
    <w:rsid w:val="00BF323C"/>
    <w:rsid w:val="00BF3BD2"/>
    <w:rsid w:val="00BF3DBF"/>
    <w:rsid w:val="00BF481F"/>
    <w:rsid w:val="00BF4915"/>
    <w:rsid w:val="00BF4EE1"/>
    <w:rsid w:val="00BF594F"/>
    <w:rsid w:val="00BF59DE"/>
    <w:rsid w:val="00BF6999"/>
    <w:rsid w:val="00BF6A00"/>
    <w:rsid w:val="00BF792A"/>
    <w:rsid w:val="00C00102"/>
    <w:rsid w:val="00C00F03"/>
    <w:rsid w:val="00C013CB"/>
    <w:rsid w:val="00C014EE"/>
    <w:rsid w:val="00C01687"/>
    <w:rsid w:val="00C0337B"/>
    <w:rsid w:val="00C035E1"/>
    <w:rsid w:val="00C038B7"/>
    <w:rsid w:val="00C03AE9"/>
    <w:rsid w:val="00C045D5"/>
    <w:rsid w:val="00C05F4C"/>
    <w:rsid w:val="00C064D0"/>
    <w:rsid w:val="00C070F5"/>
    <w:rsid w:val="00C07925"/>
    <w:rsid w:val="00C104B6"/>
    <w:rsid w:val="00C104C2"/>
    <w:rsid w:val="00C1290B"/>
    <w:rsid w:val="00C12C43"/>
    <w:rsid w:val="00C13D3E"/>
    <w:rsid w:val="00C14199"/>
    <w:rsid w:val="00C1432E"/>
    <w:rsid w:val="00C1498F"/>
    <w:rsid w:val="00C14F89"/>
    <w:rsid w:val="00C15237"/>
    <w:rsid w:val="00C15843"/>
    <w:rsid w:val="00C1594B"/>
    <w:rsid w:val="00C16157"/>
    <w:rsid w:val="00C167D9"/>
    <w:rsid w:val="00C170A4"/>
    <w:rsid w:val="00C1715E"/>
    <w:rsid w:val="00C176C1"/>
    <w:rsid w:val="00C176E5"/>
    <w:rsid w:val="00C17AE4"/>
    <w:rsid w:val="00C17C83"/>
    <w:rsid w:val="00C205C1"/>
    <w:rsid w:val="00C20EF7"/>
    <w:rsid w:val="00C2122B"/>
    <w:rsid w:val="00C216BD"/>
    <w:rsid w:val="00C21B38"/>
    <w:rsid w:val="00C21DB3"/>
    <w:rsid w:val="00C21FBA"/>
    <w:rsid w:val="00C22692"/>
    <w:rsid w:val="00C227DB"/>
    <w:rsid w:val="00C22A6E"/>
    <w:rsid w:val="00C22DBC"/>
    <w:rsid w:val="00C233DF"/>
    <w:rsid w:val="00C2342C"/>
    <w:rsid w:val="00C23ACB"/>
    <w:rsid w:val="00C23DCA"/>
    <w:rsid w:val="00C25296"/>
    <w:rsid w:val="00C25646"/>
    <w:rsid w:val="00C274DA"/>
    <w:rsid w:val="00C2797F"/>
    <w:rsid w:val="00C27CBC"/>
    <w:rsid w:val="00C3046D"/>
    <w:rsid w:val="00C30823"/>
    <w:rsid w:val="00C308CD"/>
    <w:rsid w:val="00C30F6B"/>
    <w:rsid w:val="00C31239"/>
    <w:rsid w:val="00C3134E"/>
    <w:rsid w:val="00C314F7"/>
    <w:rsid w:val="00C329EB"/>
    <w:rsid w:val="00C32E3F"/>
    <w:rsid w:val="00C32ED5"/>
    <w:rsid w:val="00C332AD"/>
    <w:rsid w:val="00C33CD7"/>
    <w:rsid w:val="00C33F8D"/>
    <w:rsid w:val="00C3437F"/>
    <w:rsid w:val="00C36F6C"/>
    <w:rsid w:val="00C404D6"/>
    <w:rsid w:val="00C41B34"/>
    <w:rsid w:val="00C41B59"/>
    <w:rsid w:val="00C4213B"/>
    <w:rsid w:val="00C4260D"/>
    <w:rsid w:val="00C42801"/>
    <w:rsid w:val="00C42F4E"/>
    <w:rsid w:val="00C4424A"/>
    <w:rsid w:val="00C447D3"/>
    <w:rsid w:val="00C44853"/>
    <w:rsid w:val="00C4590D"/>
    <w:rsid w:val="00C464CC"/>
    <w:rsid w:val="00C46E4C"/>
    <w:rsid w:val="00C47055"/>
    <w:rsid w:val="00C4761A"/>
    <w:rsid w:val="00C4772F"/>
    <w:rsid w:val="00C4799A"/>
    <w:rsid w:val="00C47B9C"/>
    <w:rsid w:val="00C52157"/>
    <w:rsid w:val="00C52332"/>
    <w:rsid w:val="00C531EF"/>
    <w:rsid w:val="00C53742"/>
    <w:rsid w:val="00C53AB1"/>
    <w:rsid w:val="00C53B82"/>
    <w:rsid w:val="00C540A8"/>
    <w:rsid w:val="00C552C1"/>
    <w:rsid w:val="00C55A7D"/>
    <w:rsid w:val="00C55C86"/>
    <w:rsid w:val="00C55CA9"/>
    <w:rsid w:val="00C55DBA"/>
    <w:rsid w:val="00C56041"/>
    <w:rsid w:val="00C5642F"/>
    <w:rsid w:val="00C56C09"/>
    <w:rsid w:val="00C56E47"/>
    <w:rsid w:val="00C56F5D"/>
    <w:rsid w:val="00C570F6"/>
    <w:rsid w:val="00C5757C"/>
    <w:rsid w:val="00C57827"/>
    <w:rsid w:val="00C57A24"/>
    <w:rsid w:val="00C60A26"/>
    <w:rsid w:val="00C62D27"/>
    <w:rsid w:val="00C6356B"/>
    <w:rsid w:val="00C63A96"/>
    <w:rsid w:val="00C6568D"/>
    <w:rsid w:val="00C66AD4"/>
    <w:rsid w:val="00C6750B"/>
    <w:rsid w:val="00C67512"/>
    <w:rsid w:val="00C67960"/>
    <w:rsid w:val="00C704D4"/>
    <w:rsid w:val="00C709F5"/>
    <w:rsid w:val="00C70AFD"/>
    <w:rsid w:val="00C71B8B"/>
    <w:rsid w:val="00C73836"/>
    <w:rsid w:val="00C739C2"/>
    <w:rsid w:val="00C73A8D"/>
    <w:rsid w:val="00C742E8"/>
    <w:rsid w:val="00C7446F"/>
    <w:rsid w:val="00C7530F"/>
    <w:rsid w:val="00C7549D"/>
    <w:rsid w:val="00C75CCD"/>
    <w:rsid w:val="00C76244"/>
    <w:rsid w:val="00C7688C"/>
    <w:rsid w:val="00C77112"/>
    <w:rsid w:val="00C77D44"/>
    <w:rsid w:val="00C80593"/>
    <w:rsid w:val="00C80AEE"/>
    <w:rsid w:val="00C811A4"/>
    <w:rsid w:val="00C812DE"/>
    <w:rsid w:val="00C81BDF"/>
    <w:rsid w:val="00C81EBB"/>
    <w:rsid w:val="00C82581"/>
    <w:rsid w:val="00C82718"/>
    <w:rsid w:val="00C846C0"/>
    <w:rsid w:val="00C84AC7"/>
    <w:rsid w:val="00C850DC"/>
    <w:rsid w:val="00C85536"/>
    <w:rsid w:val="00C85ADD"/>
    <w:rsid w:val="00C85C10"/>
    <w:rsid w:val="00C8640D"/>
    <w:rsid w:val="00C86505"/>
    <w:rsid w:val="00C870AE"/>
    <w:rsid w:val="00C87967"/>
    <w:rsid w:val="00C90453"/>
    <w:rsid w:val="00C90BE0"/>
    <w:rsid w:val="00C90EFD"/>
    <w:rsid w:val="00C91930"/>
    <w:rsid w:val="00C91CB0"/>
    <w:rsid w:val="00C91D50"/>
    <w:rsid w:val="00C91ED9"/>
    <w:rsid w:val="00C91FF2"/>
    <w:rsid w:val="00C924E4"/>
    <w:rsid w:val="00C92959"/>
    <w:rsid w:val="00C940E8"/>
    <w:rsid w:val="00C94894"/>
    <w:rsid w:val="00C97A5C"/>
    <w:rsid w:val="00CA04F5"/>
    <w:rsid w:val="00CA0BC6"/>
    <w:rsid w:val="00CA10CD"/>
    <w:rsid w:val="00CA1674"/>
    <w:rsid w:val="00CA1CC1"/>
    <w:rsid w:val="00CA1FBB"/>
    <w:rsid w:val="00CA2EF8"/>
    <w:rsid w:val="00CA3FD9"/>
    <w:rsid w:val="00CA47F7"/>
    <w:rsid w:val="00CA5196"/>
    <w:rsid w:val="00CA57A9"/>
    <w:rsid w:val="00CA589E"/>
    <w:rsid w:val="00CA5F15"/>
    <w:rsid w:val="00CA6B98"/>
    <w:rsid w:val="00CA6C8B"/>
    <w:rsid w:val="00CA7497"/>
    <w:rsid w:val="00CA78E1"/>
    <w:rsid w:val="00CA7DAA"/>
    <w:rsid w:val="00CB093A"/>
    <w:rsid w:val="00CB1213"/>
    <w:rsid w:val="00CB13DC"/>
    <w:rsid w:val="00CB1A61"/>
    <w:rsid w:val="00CB1EB2"/>
    <w:rsid w:val="00CB1FC7"/>
    <w:rsid w:val="00CB24BD"/>
    <w:rsid w:val="00CB2585"/>
    <w:rsid w:val="00CB31D4"/>
    <w:rsid w:val="00CB3F84"/>
    <w:rsid w:val="00CB3FB6"/>
    <w:rsid w:val="00CB419A"/>
    <w:rsid w:val="00CB7EAC"/>
    <w:rsid w:val="00CC111E"/>
    <w:rsid w:val="00CC1121"/>
    <w:rsid w:val="00CC230C"/>
    <w:rsid w:val="00CC25AA"/>
    <w:rsid w:val="00CC2A5E"/>
    <w:rsid w:val="00CC2E01"/>
    <w:rsid w:val="00CC4327"/>
    <w:rsid w:val="00CC46D1"/>
    <w:rsid w:val="00CC4D93"/>
    <w:rsid w:val="00CC5036"/>
    <w:rsid w:val="00CC5C24"/>
    <w:rsid w:val="00CC5E1D"/>
    <w:rsid w:val="00CC617F"/>
    <w:rsid w:val="00CC6B66"/>
    <w:rsid w:val="00CC6D7B"/>
    <w:rsid w:val="00CC6F8C"/>
    <w:rsid w:val="00CC7947"/>
    <w:rsid w:val="00CC7DCE"/>
    <w:rsid w:val="00CD0262"/>
    <w:rsid w:val="00CD04C5"/>
    <w:rsid w:val="00CD1889"/>
    <w:rsid w:val="00CD1CE2"/>
    <w:rsid w:val="00CD1DA7"/>
    <w:rsid w:val="00CD2A83"/>
    <w:rsid w:val="00CD2BD7"/>
    <w:rsid w:val="00CD3016"/>
    <w:rsid w:val="00CD3020"/>
    <w:rsid w:val="00CD3813"/>
    <w:rsid w:val="00CD4191"/>
    <w:rsid w:val="00CD438C"/>
    <w:rsid w:val="00CD4ABB"/>
    <w:rsid w:val="00CD51B2"/>
    <w:rsid w:val="00CD5E86"/>
    <w:rsid w:val="00CD5EB8"/>
    <w:rsid w:val="00CD6E0C"/>
    <w:rsid w:val="00CD6F72"/>
    <w:rsid w:val="00CD77C2"/>
    <w:rsid w:val="00CE01CF"/>
    <w:rsid w:val="00CE076E"/>
    <w:rsid w:val="00CE0AEB"/>
    <w:rsid w:val="00CE0D01"/>
    <w:rsid w:val="00CE14EC"/>
    <w:rsid w:val="00CE1B5C"/>
    <w:rsid w:val="00CE1E54"/>
    <w:rsid w:val="00CE1E5B"/>
    <w:rsid w:val="00CE1F69"/>
    <w:rsid w:val="00CE2FD5"/>
    <w:rsid w:val="00CE3775"/>
    <w:rsid w:val="00CE4601"/>
    <w:rsid w:val="00CE48A4"/>
    <w:rsid w:val="00CE4B9A"/>
    <w:rsid w:val="00CE4DFE"/>
    <w:rsid w:val="00CE6901"/>
    <w:rsid w:val="00CE692C"/>
    <w:rsid w:val="00CE6A67"/>
    <w:rsid w:val="00CE6B98"/>
    <w:rsid w:val="00CE70DE"/>
    <w:rsid w:val="00CE771D"/>
    <w:rsid w:val="00CE7C5E"/>
    <w:rsid w:val="00CF04FB"/>
    <w:rsid w:val="00CF08D8"/>
    <w:rsid w:val="00CF0CBA"/>
    <w:rsid w:val="00CF182E"/>
    <w:rsid w:val="00CF19E7"/>
    <w:rsid w:val="00CF1D8B"/>
    <w:rsid w:val="00CF2616"/>
    <w:rsid w:val="00CF2784"/>
    <w:rsid w:val="00CF3147"/>
    <w:rsid w:val="00CF3972"/>
    <w:rsid w:val="00CF3D71"/>
    <w:rsid w:val="00CF3F3E"/>
    <w:rsid w:val="00CF4695"/>
    <w:rsid w:val="00CF4C82"/>
    <w:rsid w:val="00CF5216"/>
    <w:rsid w:val="00CF5B5C"/>
    <w:rsid w:val="00CF5E5D"/>
    <w:rsid w:val="00CF60AF"/>
    <w:rsid w:val="00CF6396"/>
    <w:rsid w:val="00CF6E41"/>
    <w:rsid w:val="00CF7145"/>
    <w:rsid w:val="00CF71E4"/>
    <w:rsid w:val="00CF7218"/>
    <w:rsid w:val="00CF7769"/>
    <w:rsid w:val="00CF7B1B"/>
    <w:rsid w:val="00D0024A"/>
    <w:rsid w:val="00D003BA"/>
    <w:rsid w:val="00D0066D"/>
    <w:rsid w:val="00D009BE"/>
    <w:rsid w:val="00D01B76"/>
    <w:rsid w:val="00D024BD"/>
    <w:rsid w:val="00D02ACC"/>
    <w:rsid w:val="00D02FFB"/>
    <w:rsid w:val="00D0312B"/>
    <w:rsid w:val="00D03290"/>
    <w:rsid w:val="00D03480"/>
    <w:rsid w:val="00D03877"/>
    <w:rsid w:val="00D03FF3"/>
    <w:rsid w:val="00D0560A"/>
    <w:rsid w:val="00D063E9"/>
    <w:rsid w:val="00D06420"/>
    <w:rsid w:val="00D07D66"/>
    <w:rsid w:val="00D10780"/>
    <w:rsid w:val="00D10972"/>
    <w:rsid w:val="00D10C51"/>
    <w:rsid w:val="00D1181C"/>
    <w:rsid w:val="00D12920"/>
    <w:rsid w:val="00D13872"/>
    <w:rsid w:val="00D1424E"/>
    <w:rsid w:val="00D1444B"/>
    <w:rsid w:val="00D14A73"/>
    <w:rsid w:val="00D15234"/>
    <w:rsid w:val="00D1524F"/>
    <w:rsid w:val="00D15698"/>
    <w:rsid w:val="00D169B1"/>
    <w:rsid w:val="00D17A6C"/>
    <w:rsid w:val="00D2082B"/>
    <w:rsid w:val="00D20AF6"/>
    <w:rsid w:val="00D20CEC"/>
    <w:rsid w:val="00D20E83"/>
    <w:rsid w:val="00D21318"/>
    <w:rsid w:val="00D22CD9"/>
    <w:rsid w:val="00D23AC6"/>
    <w:rsid w:val="00D23E74"/>
    <w:rsid w:val="00D24CD4"/>
    <w:rsid w:val="00D25AB8"/>
    <w:rsid w:val="00D25D51"/>
    <w:rsid w:val="00D2618A"/>
    <w:rsid w:val="00D26EEB"/>
    <w:rsid w:val="00D26F8D"/>
    <w:rsid w:val="00D2748B"/>
    <w:rsid w:val="00D274C3"/>
    <w:rsid w:val="00D274EC"/>
    <w:rsid w:val="00D3031E"/>
    <w:rsid w:val="00D30859"/>
    <w:rsid w:val="00D30A51"/>
    <w:rsid w:val="00D30B11"/>
    <w:rsid w:val="00D30D65"/>
    <w:rsid w:val="00D31AF8"/>
    <w:rsid w:val="00D31EF5"/>
    <w:rsid w:val="00D32B0B"/>
    <w:rsid w:val="00D33E93"/>
    <w:rsid w:val="00D348AD"/>
    <w:rsid w:val="00D34E8C"/>
    <w:rsid w:val="00D35B2F"/>
    <w:rsid w:val="00D35B77"/>
    <w:rsid w:val="00D37350"/>
    <w:rsid w:val="00D37449"/>
    <w:rsid w:val="00D37D08"/>
    <w:rsid w:val="00D41488"/>
    <w:rsid w:val="00D41BD8"/>
    <w:rsid w:val="00D43C85"/>
    <w:rsid w:val="00D4460A"/>
    <w:rsid w:val="00D44624"/>
    <w:rsid w:val="00D450AB"/>
    <w:rsid w:val="00D45105"/>
    <w:rsid w:val="00D4513F"/>
    <w:rsid w:val="00D45B1E"/>
    <w:rsid w:val="00D45FA7"/>
    <w:rsid w:val="00D4623A"/>
    <w:rsid w:val="00D46D61"/>
    <w:rsid w:val="00D46F5A"/>
    <w:rsid w:val="00D475F6"/>
    <w:rsid w:val="00D47F53"/>
    <w:rsid w:val="00D506B9"/>
    <w:rsid w:val="00D50FAA"/>
    <w:rsid w:val="00D51A92"/>
    <w:rsid w:val="00D5232D"/>
    <w:rsid w:val="00D524AE"/>
    <w:rsid w:val="00D524CC"/>
    <w:rsid w:val="00D52730"/>
    <w:rsid w:val="00D538CB"/>
    <w:rsid w:val="00D53C6E"/>
    <w:rsid w:val="00D53F98"/>
    <w:rsid w:val="00D5477C"/>
    <w:rsid w:val="00D54A15"/>
    <w:rsid w:val="00D54C2A"/>
    <w:rsid w:val="00D54D99"/>
    <w:rsid w:val="00D554D8"/>
    <w:rsid w:val="00D55799"/>
    <w:rsid w:val="00D559A9"/>
    <w:rsid w:val="00D563F9"/>
    <w:rsid w:val="00D56695"/>
    <w:rsid w:val="00D56C99"/>
    <w:rsid w:val="00D5720B"/>
    <w:rsid w:val="00D57A1F"/>
    <w:rsid w:val="00D57A72"/>
    <w:rsid w:val="00D60347"/>
    <w:rsid w:val="00D60A6D"/>
    <w:rsid w:val="00D60BD5"/>
    <w:rsid w:val="00D62907"/>
    <w:rsid w:val="00D6351D"/>
    <w:rsid w:val="00D6396C"/>
    <w:rsid w:val="00D6408D"/>
    <w:rsid w:val="00D64729"/>
    <w:rsid w:val="00D64F06"/>
    <w:rsid w:val="00D64FB6"/>
    <w:rsid w:val="00D651DC"/>
    <w:rsid w:val="00D6530F"/>
    <w:rsid w:val="00D658E3"/>
    <w:rsid w:val="00D65B26"/>
    <w:rsid w:val="00D6620C"/>
    <w:rsid w:val="00D70C7C"/>
    <w:rsid w:val="00D71D94"/>
    <w:rsid w:val="00D71FCE"/>
    <w:rsid w:val="00D726C3"/>
    <w:rsid w:val="00D7315D"/>
    <w:rsid w:val="00D7496D"/>
    <w:rsid w:val="00D74D3E"/>
    <w:rsid w:val="00D7510D"/>
    <w:rsid w:val="00D75B17"/>
    <w:rsid w:val="00D75D8B"/>
    <w:rsid w:val="00D75E41"/>
    <w:rsid w:val="00D75ECF"/>
    <w:rsid w:val="00D75EF1"/>
    <w:rsid w:val="00D76BA2"/>
    <w:rsid w:val="00D80053"/>
    <w:rsid w:val="00D8139A"/>
    <w:rsid w:val="00D817C6"/>
    <w:rsid w:val="00D81DF6"/>
    <w:rsid w:val="00D82826"/>
    <w:rsid w:val="00D82B02"/>
    <w:rsid w:val="00D83368"/>
    <w:rsid w:val="00D83C31"/>
    <w:rsid w:val="00D8460D"/>
    <w:rsid w:val="00D84E15"/>
    <w:rsid w:val="00D858F3"/>
    <w:rsid w:val="00D85911"/>
    <w:rsid w:val="00D85A58"/>
    <w:rsid w:val="00D86592"/>
    <w:rsid w:val="00D865FA"/>
    <w:rsid w:val="00D868C0"/>
    <w:rsid w:val="00D8696F"/>
    <w:rsid w:val="00D86FDA"/>
    <w:rsid w:val="00D87859"/>
    <w:rsid w:val="00D8790A"/>
    <w:rsid w:val="00D905A0"/>
    <w:rsid w:val="00D91640"/>
    <w:rsid w:val="00D916AA"/>
    <w:rsid w:val="00D916F5"/>
    <w:rsid w:val="00D91776"/>
    <w:rsid w:val="00D91848"/>
    <w:rsid w:val="00D919EB"/>
    <w:rsid w:val="00D92021"/>
    <w:rsid w:val="00D923B4"/>
    <w:rsid w:val="00D9264A"/>
    <w:rsid w:val="00D92826"/>
    <w:rsid w:val="00D92BB1"/>
    <w:rsid w:val="00D93291"/>
    <w:rsid w:val="00D93710"/>
    <w:rsid w:val="00D93CB8"/>
    <w:rsid w:val="00D94854"/>
    <w:rsid w:val="00D949D4"/>
    <w:rsid w:val="00D951B6"/>
    <w:rsid w:val="00D95812"/>
    <w:rsid w:val="00D95A4E"/>
    <w:rsid w:val="00D95A5F"/>
    <w:rsid w:val="00D95D35"/>
    <w:rsid w:val="00D96A7E"/>
    <w:rsid w:val="00D96D13"/>
    <w:rsid w:val="00DA05FE"/>
    <w:rsid w:val="00DA1F23"/>
    <w:rsid w:val="00DA2842"/>
    <w:rsid w:val="00DA2CC4"/>
    <w:rsid w:val="00DA319F"/>
    <w:rsid w:val="00DA3B45"/>
    <w:rsid w:val="00DA45CB"/>
    <w:rsid w:val="00DA51A0"/>
    <w:rsid w:val="00DA59DF"/>
    <w:rsid w:val="00DA683C"/>
    <w:rsid w:val="00DA7E2C"/>
    <w:rsid w:val="00DB08CB"/>
    <w:rsid w:val="00DB0A66"/>
    <w:rsid w:val="00DB11AD"/>
    <w:rsid w:val="00DB190A"/>
    <w:rsid w:val="00DB1BD4"/>
    <w:rsid w:val="00DB2931"/>
    <w:rsid w:val="00DB2D3D"/>
    <w:rsid w:val="00DB31FC"/>
    <w:rsid w:val="00DB370E"/>
    <w:rsid w:val="00DB3DB8"/>
    <w:rsid w:val="00DB47CD"/>
    <w:rsid w:val="00DB4BAF"/>
    <w:rsid w:val="00DB5028"/>
    <w:rsid w:val="00DB594F"/>
    <w:rsid w:val="00DB5980"/>
    <w:rsid w:val="00DB5A6F"/>
    <w:rsid w:val="00DB5C21"/>
    <w:rsid w:val="00DB61FD"/>
    <w:rsid w:val="00DB722B"/>
    <w:rsid w:val="00DB7839"/>
    <w:rsid w:val="00DB7E82"/>
    <w:rsid w:val="00DC005E"/>
    <w:rsid w:val="00DC0CB1"/>
    <w:rsid w:val="00DC1133"/>
    <w:rsid w:val="00DC1B40"/>
    <w:rsid w:val="00DC2FB5"/>
    <w:rsid w:val="00DC301F"/>
    <w:rsid w:val="00DC35AB"/>
    <w:rsid w:val="00DC3606"/>
    <w:rsid w:val="00DC370F"/>
    <w:rsid w:val="00DC372F"/>
    <w:rsid w:val="00DC39CA"/>
    <w:rsid w:val="00DC3FF9"/>
    <w:rsid w:val="00DC569E"/>
    <w:rsid w:val="00DC689B"/>
    <w:rsid w:val="00DC6BD2"/>
    <w:rsid w:val="00DC6C62"/>
    <w:rsid w:val="00DC7121"/>
    <w:rsid w:val="00DD07EF"/>
    <w:rsid w:val="00DD0966"/>
    <w:rsid w:val="00DD0F38"/>
    <w:rsid w:val="00DD1735"/>
    <w:rsid w:val="00DD1B4F"/>
    <w:rsid w:val="00DD22A7"/>
    <w:rsid w:val="00DD294A"/>
    <w:rsid w:val="00DD3319"/>
    <w:rsid w:val="00DD3934"/>
    <w:rsid w:val="00DD3AA6"/>
    <w:rsid w:val="00DD4F29"/>
    <w:rsid w:val="00DD500C"/>
    <w:rsid w:val="00DD560B"/>
    <w:rsid w:val="00DD57CB"/>
    <w:rsid w:val="00DD5E10"/>
    <w:rsid w:val="00DD6553"/>
    <w:rsid w:val="00DD67F9"/>
    <w:rsid w:val="00DD6FF3"/>
    <w:rsid w:val="00DD7476"/>
    <w:rsid w:val="00DD7690"/>
    <w:rsid w:val="00DE0A61"/>
    <w:rsid w:val="00DE0C2A"/>
    <w:rsid w:val="00DE157B"/>
    <w:rsid w:val="00DE1BA5"/>
    <w:rsid w:val="00DE2045"/>
    <w:rsid w:val="00DE226E"/>
    <w:rsid w:val="00DE2D17"/>
    <w:rsid w:val="00DE307D"/>
    <w:rsid w:val="00DE34C4"/>
    <w:rsid w:val="00DE3BDC"/>
    <w:rsid w:val="00DE4556"/>
    <w:rsid w:val="00DE4EDA"/>
    <w:rsid w:val="00DE52D1"/>
    <w:rsid w:val="00DE5737"/>
    <w:rsid w:val="00DE66EE"/>
    <w:rsid w:val="00DE7ABD"/>
    <w:rsid w:val="00DE7D58"/>
    <w:rsid w:val="00DE7E3F"/>
    <w:rsid w:val="00DF00E7"/>
    <w:rsid w:val="00DF1109"/>
    <w:rsid w:val="00DF16C1"/>
    <w:rsid w:val="00DF1E92"/>
    <w:rsid w:val="00DF2537"/>
    <w:rsid w:val="00DF2F21"/>
    <w:rsid w:val="00DF34A9"/>
    <w:rsid w:val="00DF3685"/>
    <w:rsid w:val="00DF3E33"/>
    <w:rsid w:val="00DF549A"/>
    <w:rsid w:val="00DF5A2F"/>
    <w:rsid w:val="00DF5B77"/>
    <w:rsid w:val="00DF5E05"/>
    <w:rsid w:val="00DF6131"/>
    <w:rsid w:val="00DF6D37"/>
    <w:rsid w:val="00DF6F05"/>
    <w:rsid w:val="00DF7252"/>
    <w:rsid w:val="00DF7573"/>
    <w:rsid w:val="00E02DA1"/>
    <w:rsid w:val="00E030C8"/>
    <w:rsid w:val="00E032C5"/>
    <w:rsid w:val="00E03B7C"/>
    <w:rsid w:val="00E03E4B"/>
    <w:rsid w:val="00E044AE"/>
    <w:rsid w:val="00E04932"/>
    <w:rsid w:val="00E04A12"/>
    <w:rsid w:val="00E04F26"/>
    <w:rsid w:val="00E0661B"/>
    <w:rsid w:val="00E0697E"/>
    <w:rsid w:val="00E06BB6"/>
    <w:rsid w:val="00E06E9E"/>
    <w:rsid w:val="00E06FD8"/>
    <w:rsid w:val="00E10493"/>
    <w:rsid w:val="00E10A2E"/>
    <w:rsid w:val="00E10C3C"/>
    <w:rsid w:val="00E11719"/>
    <w:rsid w:val="00E11B16"/>
    <w:rsid w:val="00E11FBC"/>
    <w:rsid w:val="00E13F8B"/>
    <w:rsid w:val="00E1452A"/>
    <w:rsid w:val="00E14A64"/>
    <w:rsid w:val="00E14BE6"/>
    <w:rsid w:val="00E14D3E"/>
    <w:rsid w:val="00E1512D"/>
    <w:rsid w:val="00E17222"/>
    <w:rsid w:val="00E17227"/>
    <w:rsid w:val="00E175DE"/>
    <w:rsid w:val="00E17BA1"/>
    <w:rsid w:val="00E17BDF"/>
    <w:rsid w:val="00E17BEE"/>
    <w:rsid w:val="00E17F55"/>
    <w:rsid w:val="00E20187"/>
    <w:rsid w:val="00E201A9"/>
    <w:rsid w:val="00E20261"/>
    <w:rsid w:val="00E2026B"/>
    <w:rsid w:val="00E203D4"/>
    <w:rsid w:val="00E20A3D"/>
    <w:rsid w:val="00E20B57"/>
    <w:rsid w:val="00E20F39"/>
    <w:rsid w:val="00E21267"/>
    <w:rsid w:val="00E21575"/>
    <w:rsid w:val="00E21858"/>
    <w:rsid w:val="00E21951"/>
    <w:rsid w:val="00E22A8E"/>
    <w:rsid w:val="00E22CE9"/>
    <w:rsid w:val="00E22F66"/>
    <w:rsid w:val="00E23114"/>
    <w:rsid w:val="00E23117"/>
    <w:rsid w:val="00E23498"/>
    <w:rsid w:val="00E24950"/>
    <w:rsid w:val="00E25230"/>
    <w:rsid w:val="00E25FAB"/>
    <w:rsid w:val="00E26A07"/>
    <w:rsid w:val="00E26C4E"/>
    <w:rsid w:val="00E27113"/>
    <w:rsid w:val="00E27280"/>
    <w:rsid w:val="00E279E2"/>
    <w:rsid w:val="00E27EA7"/>
    <w:rsid w:val="00E30B6A"/>
    <w:rsid w:val="00E30BA3"/>
    <w:rsid w:val="00E32FD3"/>
    <w:rsid w:val="00E3338C"/>
    <w:rsid w:val="00E33867"/>
    <w:rsid w:val="00E33A33"/>
    <w:rsid w:val="00E33BA3"/>
    <w:rsid w:val="00E34169"/>
    <w:rsid w:val="00E345FF"/>
    <w:rsid w:val="00E34883"/>
    <w:rsid w:val="00E349BF"/>
    <w:rsid w:val="00E34FB2"/>
    <w:rsid w:val="00E35773"/>
    <w:rsid w:val="00E35AB5"/>
    <w:rsid w:val="00E35BAA"/>
    <w:rsid w:val="00E35EB2"/>
    <w:rsid w:val="00E36955"/>
    <w:rsid w:val="00E37565"/>
    <w:rsid w:val="00E40E49"/>
    <w:rsid w:val="00E40F53"/>
    <w:rsid w:val="00E41E35"/>
    <w:rsid w:val="00E420F3"/>
    <w:rsid w:val="00E424E1"/>
    <w:rsid w:val="00E433F0"/>
    <w:rsid w:val="00E43AE2"/>
    <w:rsid w:val="00E43F69"/>
    <w:rsid w:val="00E43F86"/>
    <w:rsid w:val="00E443E3"/>
    <w:rsid w:val="00E445C7"/>
    <w:rsid w:val="00E44B68"/>
    <w:rsid w:val="00E450BE"/>
    <w:rsid w:val="00E459CE"/>
    <w:rsid w:val="00E46488"/>
    <w:rsid w:val="00E467F9"/>
    <w:rsid w:val="00E4685F"/>
    <w:rsid w:val="00E470D0"/>
    <w:rsid w:val="00E50474"/>
    <w:rsid w:val="00E504CA"/>
    <w:rsid w:val="00E50786"/>
    <w:rsid w:val="00E5083F"/>
    <w:rsid w:val="00E50FDC"/>
    <w:rsid w:val="00E514F5"/>
    <w:rsid w:val="00E51D2F"/>
    <w:rsid w:val="00E51D9A"/>
    <w:rsid w:val="00E52E78"/>
    <w:rsid w:val="00E52F5E"/>
    <w:rsid w:val="00E5327B"/>
    <w:rsid w:val="00E5355A"/>
    <w:rsid w:val="00E53D8D"/>
    <w:rsid w:val="00E54A82"/>
    <w:rsid w:val="00E5504C"/>
    <w:rsid w:val="00E55220"/>
    <w:rsid w:val="00E55294"/>
    <w:rsid w:val="00E55369"/>
    <w:rsid w:val="00E554CE"/>
    <w:rsid w:val="00E55CAC"/>
    <w:rsid w:val="00E5665B"/>
    <w:rsid w:val="00E567FC"/>
    <w:rsid w:val="00E60809"/>
    <w:rsid w:val="00E6097E"/>
    <w:rsid w:val="00E61395"/>
    <w:rsid w:val="00E61482"/>
    <w:rsid w:val="00E61614"/>
    <w:rsid w:val="00E616FC"/>
    <w:rsid w:val="00E61A2A"/>
    <w:rsid w:val="00E61AB7"/>
    <w:rsid w:val="00E6263A"/>
    <w:rsid w:val="00E629F5"/>
    <w:rsid w:val="00E62A0F"/>
    <w:rsid w:val="00E62C60"/>
    <w:rsid w:val="00E62F6A"/>
    <w:rsid w:val="00E651AC"/>
    <w:rsid w:val="00E653BE"/>
    <w:rsid w:val="00E65588"/>
    <w:rsid w:val="00E65B08"/>
    <w:rsid w:val="00E65E59"/>
    <w:rsid w:val="00E65F99"/>
    <w:rsid w:val="00E66211"/>
    <w:rsid w:val="00E66274"/>
    <w:rsid w:val="00E66339"/>
    <w:rsid w:val="00E677BD"/>
    <w:rsid w:val="00E67942"/>
    <w:rsid w:val="00E70243"/>
    <w:rsid w:val="00E70C45"/>
    <w:rsid w:val="00E70E16"/>
    <w:rsid w:val="00E719A0"/>
    <w:rsid w:val="00E71E42"/>
    <w:rsid w:val="00E72D2E"/>
    <w:rsid w:val="00E72D60"/>
    <w:rsid w:val="00E73417"/>
    <w:rsid w:val="00E73B11"/>
    <w:rsid w:val="00E74382"/>
    <w:rsid w:val="00E74E33"/>
    <w:rsid w:val="00E75D6F"/>
    <w:rsid w:val="00E771EB"/>
    <w:rsid w:val="00E80815"/>
    <w:rsid w:val="00E80908"/>
    <w:rsid w:val="00E81965"/>
    <w:rsid w:val="00E81971"/>
    <w:rsid w:val="00E822AF"/>
    <w:rsid w:val="00E8265E"/>
    <w:rsid w:val="00E82961"/>
    <w:rsid w:val="00E82BDE"/>
    <w:rsid w:val="00E82E19"/>
    <w:rsid w:val="00E83275"/>
    <w:rsid w:val="00E83779"/>
    <w:rsid w:val="00E83C8E"/>
    <w:rsid w:val="00E84341"/>
    <w:rsid w:val="00E8435C"/>
    <w:rsid w:val="00E84EE2"/>
    <w:rsid w:val="00E86524"/>
    <w:rsid w:val="00E869C9"/>
    <w:rsid w:val="00E86C5B"/>
    <w:rsid w:val="00E87D54"/>
    <w:rsid w:val="00E900FF"/>
    <w:rsid w:val="00E90C25"/>
    <w:rsid w:val="00E913FD"/>
    <w:rsid w:val="00E91864"/>
    <w:rsid w:val="00E9342B"/>
    <w:rsid w:val="00E94042"/>
    <w:rsid w:val="00E94E5B"/>
    <w:rsid w:val="00E95A49"/>
    <w:rsid w:val="00E96696"/>
    <w:rsid w:val="00E971B1"/>
    <w:rsid w:val="00E973C4"/>
    <w:rsid w:val="00E97AD6"/>
    <w:rsid w:val="00EA0639"/>
    <w:rsid w:val="00EA092E"/>
    <w:rsid w:val="00EA0B39"/>
    <w:rsid w:val="00EA0F73"/>
    <w:rsid w:val="00EA11ED"/>
    <w:rsid w:val="00EA13BC"/>
    <w:rsid w:val="00EA13FE"/>
    <w:rsid w:val="00EA2053"/>
    <w:rsid w:val="00EA270E"/>
    <w:rsid w:val="00EA2CFB"/>
    <w:rsid w:val="00EA2E89"/>
    <w:rsid w:val="00EA3361"/>
    <w:rsid w:val="00EA42B8"/>
    <w:rsid w:val="00EA5ACD"/>
    <w:rsid w:val="00EA71F9"/>
    <w:rsid w:val="00EA7F6B"/>
    <w:rsid w:val="00EB0862"/>
    <w:rsid w:val="00EB0FCC"/>
    <w:rsid w:val="00EB147C"/>
    <w:rsid w:val="00EB1517"/>
    <w:rsid w:val="00EB1ED0"/>
    <w:rsid w:val="00EB31AC"/>
    <w:rsid w:val="00EB3A91"/>
    <w:rsid w:val="00EB4825"/>
    <w:rsid w:val="00EB4BA1"/>
    <w:rsid w:val="00EB4D52"/>
    <w:rsid w:val="00EB532A"/>
    <w:rsid w:val="00EB5C38"/>
    <w:rsid w:val="00EB6B0C"/>
    <w:rsid w:val="00EB7450"/>
    <w:rsid w:val="00EB78F8"/>
    <w:rsid w:val="00EC0939"/>
    <w:rsid w:val="00EC0A3A"/>
    <w:rsid w:val="00EC0BCD"/>
    <w:rsid w:val="00EC1C2B"/>
    <w:rsid w:val="00EC20D3"/>
    <w:rsid w:val="00EC24C0"/>
    <w:rsid w:val="00EC25D2"/>
    <w:rsid w:val="00EC2E74"/>
    <w:rsid w:val="00EC331F"/>
    <w:rsid w:val="00EC337A"/>
    <w:rsid w:val="00EC40D2"/>
    <w:rsid w:val="00EC4ED6"/>
    <w:rsid w:val="00EC5DAB"/>
    <w:rsid w:val="00EC5E3B"/>
    <w:rsid w:val="00EC66DE"/>
    <w:rsid w:val="00EC764E"/>
    <w:rsid w:val="00EC7687"/>
    <w:rsid w:val="00EC790C"/>
    <w:rsid w:val="00EC7A1D"/>
    <w:rsid w:val="00EC7BB9"/>
    <w:rsid w:val="00ED0881"/>
    <w:rsid w:val="00ED093C"/>
    <w:rsid w:val="00ED09DA"/>
    <w:rsid w:val="00ED1F41"/>
    <w:rsid w:val="00ED22D1"/>
    <w:rsid w:val="00ED22E0"/>
    <w:rsid w:val="00ED2C4E"/>
    <w:rsid w:val="00ED2FE1"/>
    <w:rsid w:val="00ED3235"/>
    <w:rsid w:val="00ED33CA"/>
    <w:rsid w:val="00ED435B"/>
    <w:rsid w:val="00ED4CD0"/>
    <w:rsid w:val="00ED53D3"/>
    <w:rsid w:val="00ED57E9"/>
    <w:rsid w:val="00ED5D0E"/>
    <w:rsid w:val="00ED604E"/>
    <w:rsid w:val="00ED60DE"/>
    <w:rsid w:val="00ED66A6"/>
    <w:rsid w:val="00ED678A"/>
    <w:rsid w:val="00ED699F"/>
    <w:rsid w:val="00ED6C8C"/>
    <w:rsid w:val="00ED7208"/>
    <w:rsid w:val="00ED75AD"/>
    <w:rsid w:val="00ED7693"/>
    <w:rsid w:val="00EE1D74"/>
    <w:rsid w:val="00EE1E34"/>
    <w:rsid w:val="00EE318E"/>
    <w:rsid w:val="00EE3BF3"/>
    <w:rsid w:val="00EE4495"/>
    <w:rsid w:val="00EE463E"/>
    <w:rsid w:val="00EE531A"/>
    <w:rsid w:val="00EE57F0"/>
    <w:rsid w:val="00EE5DD9"/>
    <w:rsid w:val="00EE6C33"/>
    <w:rsid w:val="00EE6D3F"/>
    <w:rsid w:val="00EE71D9"/>
    <w:rsid w:val="00EF0120"/>
    <w:rsid w:val="00EF083A"/>
    <w:rsid w:val="00EF1203"/>
    <w:rsid w:val="00EF24ED"/>
    <w:rsid w:val="00EF2535"/>
    <w:rsid w:val="00EF27A6"/>
    <w:rsid w:val="00EF2DA4"/>
    <w:rsid w:val="00EF35D2"/>
    <w:rsid w:val="00EF367C"/>
    <w:rsid w:val="00EF3ABD"/>
    <w:rsid w:val="00EF4092"/>
    <w:rsid w:val="00EF41D5"/>
    <w:rsid w:val="00EF4F23"/>
    <w:rsid w:val="00EF69B6"/>
    <w:rsid w:val="00EF759F"/>
    <w:rsid w:val="00EF7EAB"/>
    <w:rsid w:val="00F0037D"/>
    <w:rsid w:val="00F005F5"/>
    <w:rsid w:val="00F0097B"/>
    <w:rsid w:val="00F009A6"/>
    <w:rsid w:val="00F01218"/>
    <w:rsid w:val="00F01385"/>
    <w:rsid w:val="00F01A79"/>
    <w:rsid w:val="00F02298"/>
    <w:rsid w:val="00F0280A"/>
    <w:rsid w:val="00F0297F"/>
    <w:rsid w:val="00F02BA5"/>
    <w:rsid w:val="00F036D6"/>
    <w:rsid w:val="00F03DFA"/>
    <w:rsid w:val="00F04F65"/>
    <w:rsid w:val="00F050B5"/>
    <w:rsid w:val="00F05C7F"/>
    <w:rsid w:val="00F10953"/>
    <w:rsid w:val="00F110F1"/>
    <w:rsid w:val="00F1169F"/>
    <w:rsid w:val="00F117F8"/>
    <w:rsid w:val="00F12016"/>
    <w:rsid w:val="00F12892"/>
    <w:rsid w:val="00F12EBF"/>
    <w:rsid w:val="00F13516"/>
    <w:rsid w:val="00F13791"/>
    <w:rsid w:val="00F1410D"/>
    <w:rsid w:val="00F14375"/>
    <w:rsid w:val="00F146DC"/>
    <w:rsid w:val="00F152C2"/>
    <w:rsid w:val="00F1592F"/>
    <w:rsid w:val="00F15B85"/>
    <w:rsid w:val="00F17ADD"/>
    <w:rsid w:val="00F20354"/>
    <w:rsid w:val="00F20CAB"/>
    <w:rsid w:val="00F21210"/>
    <w:rsid w:val="00F21709"/>
    <w:rsid w:val="00F21F77"/>
    <w:rsid w:val="00F2283A"/>
    <w:rsid w:val="00F22B29"/>
    <w:rsid w:val="00F2318B"/>
    <w:rsid w:val="00F23AC1"/>
    <w:rsid w:val="00F23DC6"/>
    <w:rsid w:val="00F24875"/>
    <w:rsid w:val="00F24AC4"/>
    <w:rsid w:val="00F24D0D"/>
    <w:rsid w:val="00F24EB4"/>
    <w:rsid w:val="00F250FF"/>
    <w:rsid w:val="00F2539F"/>
    <w:rsid w:val="00F25A5D"/>
    <w:rsid w:val="00F26156"/>
    <w:rsid w:val="00F26452"/>
    <w:rsid w:val="00F26895"/>
    <w:rsid w:val="00F26B04"/>
    <w:rsid w:val="00F275D5"/>
    <w:rsid w:val="00F27C66"/>
    <w:rsid w:val="00F3051E"/>
    <w:rsid w:val="00F30701"/>
    <w:rsid w:val="00F30738"/>
    <w:rsid w:val="00F334BE"/>
    <w:rsid w:val="00F343FB"/>
    <w:rsid w:val="00F35157"/>
    <w:rsid w:val="00F351F9"/>
    <w:rsid w:val="00F35A08"/>
    <w:rsid w:val="00F36B85"/>
    <w:rsid w:val="00F40066"/>
    <w:rsid w:val="00F40448"/>
    <w:rsid w:val="00F40786"/>
    <w:rsid w:val="00F40C55"/>
    <w:rsid w:val="00F411C5"/>
    <w:rsid w:val="00F412EA"/>
    <w:rsid w:val="00F41CAB"/>
    <w:rsid w:val="00F4220A"/>
    <w:rsid w:val="00F42300"/>
    <w:rsid w:val="00F436D6"/>
    <w:rsid w:val="00F43755"/>
    <w:rsid w:val="00F4404E"/>
    <w:rsid w:val="00F44C35"/>
    <w:rsid w:val="00F44C8B"/>
    <w:rsid w:val="00F44D20"/>
    <w:rsid w:val="00F44D67"/>
    <w:rsid w:val="00F44DAE"/>
    <w:rsid w:val="00F44DD2"/>
    <w:rsid w:val="00F45192"/>
    <w:rsid w:val="00F4553A"/>
    <w:rsid w:val="00F4596B"/>
    <w:rsid w:val="00F45B1B"/>
    <w:rsid w:val="00F46032"/>
    <w:rsid w:val="00F46B48"/>
    <w:rsid w:val="00F46C60"/>
    <w:rsid w:val="00F46F73"/>
    <w:rsid w:val="00F5123D"/>
    <w:rsid w:val="00F5154B"/>
    <w:rsid w:val="00F51D32"/>
    <w:rsid w:val="00F523D0"/>
    <w:rsid w:val="00F52BEA"/>
    <w:rsid w:val="00F534C5"/>
    <w:rsid w:val="00F5365B"/>
    <w:rsid w:val="00F54016"/>
    <w:rsid w:val="00F545C2"/>
    <w:rsid w:val="00F54761"/>
    <w:rsid w:val="00F54E89"/>
    <w:rsid w:val="00F55161"/>
    <w:rsid w:val="00F551F5"/>
    <w:rsid w:val="00F554ED"/>
    <w:rsid w:val="00F555DB"/>
    <w:rsid w:val="00F55A73"/>
    <w:rsid w:val="00F55D35"/>
    <w:rsid w:val="00F560C9"/>
    <w:rsid w:val="00F57656"/>
    <w:rsid w:val="00F60B94"/>
    <w:rsid w:val="00F62742"/>
    <w:rsid w:val="00F62D2A"/>
    <w:rsid w:val="00F63B56"/>
    <w:rsid w:val="00F63DD4"/>
    <w:rsid w:val="00F65784"/>
    <w:rsid w:val="00F65E62"/>
    <w:rsid w:val="00F661EC"/>
    <w:rsid w:val="00F672F4"/>
    <w:rsid w:val="00F6743F"/>
    <w:rsid w:val="00F67A80"/>
    <w:rsid w:val="00F67E3F"/>
    <w:rsid w:val="00F702D7"/>
    <w:rsid w:val="00F70654"/>
    <w:rsid w:val="00F714D1"/>
    <w:rsid w:val="00F71876"/>
    <w:rsid w:val="00F718E5"/>
    <w:rsid w:val="00F71F8E"/>
    <w:rsid w:val="00F7334B"/>
    <w:rsid w:val="00F742F7"/>
    <w:rsid w:val="00F750C9"/>
    <w:rsid w:val="00F76FB5"/>
    <w:rsid w:val="00F77462"/>
    <w:rsid w:val="00F7789D"/>
    <w:rsid w:val="00F80A3A"/>
    <w:rsid w:val="00F80FCE"/>
    <w:rsid w:val="00F81CED"/>
    <w:rsid w:val="00F81D9E"/>
    <w:rsid w:val="00F821C2"/>
    <w:rsid w:val="00F82C80"/>
    <w:rsid w:val="00F83570"/>
    <w:rsid w:val="00F836D5"/>
    <w:rsid w:val="00F83C83"/>
    <w:rsid w:val="00F848EE"/>
    <w:rsid w:val="00F8497E"/>
    <w:rsid w:val="00F85651"/>
    <w:rsid w:val="00F85818"/>
    <w:rsid w:val="00F858AC"/>
    <w:rsid w:val="00F85C6A"/>
    <w:rsid w:val="00F863D3"/>
    <w:rsid w:val="00F8708D"/>
    <w:rsid w:val="00F87954"/>
    <w:rsid w:val="00F8795B"/>
    <w:rsid w:val="00F90192"/>
    <w:rsid w:val="00F90354"/>
    <w:rsid w:val="00F90C0D"/>
    <w:rsid w:val="00F910B2"/>
    <w:rsid w:val="00F9147D"/>
    <w:rsid w:val="00F914FE"/>
    <w:rsid w:val="00F91A49"/>
    <w:rsid w:val="00F9284F"/>
    <w:rsid w:val="00F92990"/>
    <w:rsid w:val="00F931FF"/>
    <w:rsid w:val="00F933D9"/>
    <w:rsid w:val="00F93993"/>
    <w:rsid w:val="00F94961"/>
    <w:rsid w:val="00F95867"/>
    <w:rsid w:val="00F95E91"/>
    <w:rsid w:val="00F96AC2"/>
    <w:rsid w:val="00F97173"/>
    <w:rsid w:val="00FA01B4"/>
    <w:rsid w:val="00FA1B04"/>
    <w:rsid w:val="00FA2030"/>
    <w:rsid w:val="00FA288C"/>
    <w:rsid w:val="00FA2C61"/>
    <w:rsid w:val="00FA3E1C"/>
    <w:rsid w:val="00FA421D"/>
    <w:rsid w:val="00FA45AE"/>
    <w:rsid w:val="00FA46B3"/>
    <w:rsid w:val="00FA52EA"/>
    <w:rsid w:val="00FA59A9"/>
    <w:rsid w:val="00FA6E88"/>
    <w:rsid w:val="00FA73CD"/>
    <w:rsid w:val="00FA75BA"/>
    <w:rsid w:val="00FB046E"/>
    <w:rsid w:val="00FB0BCE"/>
    <w:rsid w:val="00FB2173"/>
    <w:rsid w:val="00FB2218"/>
    <w:rsid w:val="00FB2490"/>
    <w:rsid w:val="00FB2A55"/>
    <w:rsid w:val="00FB4A00"/>
    <w:rsid w:val="00FB585C"/>
    <w:rsid w:val="00FB5A8C"/>
    <w:rsid w:val="00FB6082"/>
    <w:rsid w:val="00FB652F"/>
    <w:rsid w:val="00FB7482"/>
    <w:rsid w:val="00FB79D1"/>
    <w:rsid w:val="00FC00D0"/>
    <w:rsid w:val="00FC01A1"/>
    <w:rsid w:val="00FC0AAB"/>
    <w:rsid w:val="00FC0DCC"/>
    <w:rsid w:val="00FC1C20"/>
    <w:rsid w:val="00FC258F"/>
    <w:rsid w:val="00FC33AB"/>
    <w:rsid w:val="00FC33E8"/>
    <w:rsid w:val="00FC3B22"/>
    <w:rsid w:val="00FC3B5C"/>
    <w:rsid w:val="00FC3D12"/>
    <w:rsid w:val="00FC417C"/>
    <w:rsid w:val="00FC4429"/>
    <w:rsid w:val="00FC4887"/>
    <w:rsid w:val="00FC4D70"/>
    <w:rsid w:val="00FC50A3"/>
    <w:rsid w:val="00FC523D"/>
    <w:rsid w:val="00FC58CC"/>
    <w:rsid w:val="00FC5CA3"/>
    <w:rsid w:val="00FC64B8"/>
    <w:rsid w:val="00FC69F7"/>
    <w:rsid w:val="00FC6AD2"/>
    <w:rsid w:val="00FC6D33"/>
    <w:rsid w:val="00FC6DCE"/>
    <w:rsid w:val="00FC6DFD"/>
    <w:rsid w:val="00FC7F7B"/>
    <w:rsid w:val="00FD0229"/>
    <w:rsid w:val="00FD02CE"/>
    <w:rsid w:val="00FD09C1"/>
    <w:rsid w:val="00FD0B02"/>
    <w:rsid w:val="00FD0BD1"/>
    <w:rsid w:val="00FD12B0"/>
    <w:rsid w:val="00FD14C9"/>
    <w:rsid w:val="00FD158E"/>
    <w:rsid w:val="00FD166D"/>
    <w:rsid w:val="00FD1826"/>
    <w:rsid w:val="00FD2B3C"/>
    <w:rsid w:val="00FD2CB0"/>
    <w:rsid w:val="00FD3309"/>
    <w:rsid w:val="00FD3415"/>
    <w:rsid w:val="00FD3BFA"/>
    <w:rsid w:val="00FD3CCB"/>
    <w:rsid w:val="00FD3F26"/>
    <w:rsid w:val="00FD4738"/>
    <w:rsid w:val="00FD4862"/>
    <w:rsid w:val="00FD5289"/>
    <w:rsid w:val="00FD5398"/>
    <w:rsid w:val="00FD54E3"/>
    <w:rsid w:val="00FD5CEE"/>
    <w:rsid w:val="00FD62CF"/>
    <w:rsid w:val="00FD706A"/>
    <w:rsid w:val="00FD70C0"/>
    <w:rsid w:val="00FE077A"/>
    <w:rsid w:val="00FE1710"/>
    <w:rsid w:val="00FE1751"/>
    <w:rsid w:val="00FE17ED"/>
    <w:rsid w:val="00FE18E5"/>
    <w:rsid w:val="00FE1FD0"/>
    <w:rsid w:val="00FE2D74"/>
    <w:rsid w:val="00FE2FD8"/>
    <w:rsid w:val="00FE3C19"/>
    <w:rsid w:val="00FE3CB3"/>
    <w:rsid w:val="00FE40ED"/>
    <w:rsid w:val="00FE5F07"/>
    <w:rsid w:val="00FE5F47"/>
    <w:rsid w:val="00FE601D"/>
    <w:rsid w:val="00FE6264"/>
    <w:rsid w:val="00FE6B13"/>
    <w:rsid w:val="00FE7060"/>
    <w:rsid w:val="00FE7066"/>
    <w:rsid w:val="00FE7425"/>
    <w:rsid w:val="00FF02F6"/>
    <w:rsid w:val="00FF0A68"/>
    <w:rsid w:val="00FF0ADE"/>
    <w:rsid w:val="00FF0DDA"/>
    <w:rsid w:val="00FF0E4C"/>
    <w:rsid w:val="00FF1097"/>
    <w:rsid w:val="00FF1264"/>
    <w:rsid w:val="00FF1792"/>
    <w:rsid w:val="00FF1EC1"/>
    <w:rsid w:val="00FF3563"/>
    <w:rsid w:val="00FF3999"/>
    <w:rsid w:val="00FF3E48"/>
    <w:rsid w:val="00FF5F3B"/>
    <w:rsid w:val="00FF63E5"/>
    <w:rsid w:val="00FF6DA9"/>
    <w:rsid w:val="00FF71D7"/>
    <w:rsid w:val="0109017B"/>
    <w:rsid w:val="011C1DA6"/>
    <w:rsid w:val="012332B6"/>
    <w:rsid w:val="01234674"/>
    <w:rsid w:val="0125288F"/>
    <w:rsid w:val="012818CA"/>
    <w:rsid w:val="012D0540"/>
    <w:rsid w:val="012D1D5D"/>
    <w:rsid w:val="01492686"/>
    <w:rsid w:val="015865E3"/>
    <w:rsid w:val="015A54FD"/>
    <w:rsid w:val="017E50A8"/>
    <w:rsid w:val="01921E7F"/>
    <w:rsid w:val="019A2C6F"/>
    <w:rsid w:val="019D6250"/>
    <w:rsid w:val="01A14EC5"/>
    <w:rsid w:val="01A57404"/>
    <w:rsid w:val="01B0342D"/>
    <w:rsid w:val="01EF497E"/>
    <w:rsid w:val="021108CB"/>
    <w:rsid w:val="02170893"/>
    <w:rsid w:val="02185324"/>
    <w:rsid w:val="022235E4"/>
    <w:rsid w:val="023A4A08"/>
    <w:rsid w:val="0296761F"/>
    <w:rsid w:val="029B1C3C"/>
    <w:rsid w:val="02A22D97"/>
    <w:rsid w:val="02A8658F"/>
    <w:rsid w:val="02C019A5"/>
    <w:rsid w:val="02DB3664"/>
    <w:rsid w:val="02EE05FD"/>
    <w:rsid w:val="02F85CCE"/>
    <w:rsid w:val="02FD17C3"/>
    <w:rsid w:val="03000D62"/>
    <w:rsid w:val="03112871"/>
    <w:rsid w:val="031A7942"/>
    <w:rsid w:val="032C76D9"/>
    <w:rsid w:val="033823F2"/>
    <w:rsid w:val="033A0B9E"/>
    <w:rsid w:val="035621AD"/>
    <w:rsid w:val="03581A10"/>
    <w:rsid w:val="03683FAC"/>
    <w:rsid w:val="03965164"/>
    <w:rsid w:val="03DE40B3"/>
    <w:rsid w:val="0400546A"/>
    <w:rsid w:val="04124DA3"/>
    <w:rsid w:val="042F7EE9"/>
    <w:rsid w:val="043339D7"/>
    <w:rsid w:val="045825D0"/>
    <w:rsid w:val="045914F1"/>
    <w:rsid w:val="047D3ABA"/>
    <w:rsid w:val="047D76F6"/>
    <w:rsid w:val="048A2BF4"/>
    <w:rsid w:val="04C44EA2"/>
    <w:rsid w:val="04C74E9C"/>
    <w:rsid w:val="04FB3AAE"/>
    <w:rsid w:val="04FC4061"/>
    <w:rsid w:val="05077C18"/>
    <w:rsid w:val="051463BF"/>
    <w:rsid w:val="052207AF"/>
    <w:rsid w:val="052818B9"/>
    <w:rsid w:val="053F1D7E"/>
    <w:rsid w:val="05A90747"/>
    <w:rsid w:val="05AD08CB"/>
    <w:rsid w:val="05AF0330"/>
    <w:rsid w:val="05B83AFF"/>
    <w:rsid w:val="05D0798C"/>
    <w:rsid w:val="05D17C81"/>
    <w:rsid w:val="05F138CD"/>
    <w:rsid w:val="060276B8"/>
    <w:rsid w:val="062569A1"/>
    <w:rsid w:val="06373062"/>
    <w:rsid w:val="06522198"/>
    <w:rsid w:val="067053DA"/>
    <w:rsid w:val="06853D92"/>
    <w:rsid w:val="0698487D"/>
    <w:rsid w:val="069C6B1C"/>
    <w:rsid w:val="069F4243"/>
    <w:rsid w:val="06AD2912"/>
    <w:rsid w:val="06C902E5"/>
    <w:rsid w:val="06CD4C66"/>
    <w:rsid w:val="06DA7D48"/>
    <w:rsid w:val="06FD5E05"/>
    <w:rsid w:val="070F2971"/>
    <w:rsid w:val="071F1F7A"/>
    <w:rsid w:val="07227214"/>
    <w:rsid w:val="072509EC"/>
    <w:rsid w:val="072A192F"/>
    <w:rsid w:val="07390505"/>
    <w:rsid w:val="074A1076"/>
    <w:rsid w:val="07542CFE"/>
    <w:rsid w:val="075D1265"/>
    <w:rsid w:val="07634FBD"/>
    <w:rsid w:val="0765476F"/>
    <w:rsid w:val="077643E0"/>
    <w:rsid w:val="07817F17"/>
    <w:rsid w:val="07985A64"/>
    <w:rsid w:val="079A270F"/>
    <w:rsid w:val="07A455C9"/>
    <w:rsid w:val="07D129BA"/>
    <w:rsid w:val="08125BBA"/>
    <w:rsid w:val="081E6E89"/>
    <w:rsid w:val="082D6E9D"/>
    <w:rsid w:val="084041D5"/>
    <w:rsid w:val="086017AC"/>
    <w:rsid w:val="08790327"/>
    <w:rsid w:val="0897280A"/>
    <w:rsid w:val="08B0040B"/>
    <w:rsid w:val="08C757C5"/>
    <w:rsid w:val="08C973AC"/>
    <w:rsid w:val="08CA7805"/>
    <w:rsid w:val="08D34046"/>
    <w:rsid w:val="08DB7D8B"/>
    <w:rsid w:val="08DD1940"/>
    <w:rsid w:val="08E031A1"/>
    <w:rsid w:val="092C7DBE"/>
    <w:rsid w:val="09342B62"/>
    <w:rsid w:val="0945004B"/>
    <w:rsid w:val="09471ABD"/>
    <w:rsid w:val="09827986"/>
    <w:rsid w:val="09B947C4"/>
    <w:rsid w:val="09C23E3E"/>
    <w:rsid w:val="09DB245E"/>
    <w:rsid w:val="09E14BB3"/>
    <w:rsid w:val="09FD0078"/>
    <w:rsid w:val="0A16261B"/>
    <w:rsid w:val="0A31049B"/>
    <w:rsid w:val="0A360C9A"/>
    <w:rsid w:val="0A696825"/>
    <w:rsid w:val="0A707CB4"/>
    <w:rsid w:val="0A7221E4"/>
    <w:rsid w:val="0A9600C8"/>
    <w:rsid w:val="0A9C3022"/>
    <w:rsid w:val="0AA038CB"/>
    <w:rsid w:val="0AD01EB4"/>
    <w:rsid w:val="0ADC2694"/>
    <w:rsid w:val="0ADE1C75"/>
    <w:rsid w:val="0ADE4A40"/>
    <w:rsid w:val="0AFE4BCD"/>
    <w:rsid w:val="0B0011CA"/>
    <w:rsid w:val="0B043DD6"/>
    <w:rsid w:val="0B177F08"/>
    <w:rsid w:val="0B1D614D"/>
    <w:rsid w:val="0B281AB3"/>
    <w:rsid w:val="0B3777E3"/>
    <w:rsid w:val="0B49580D"/>
    <w:rsid w:val="0B4B6CFE"/>
    <w:rsid w:val="0B721195"/>
    <w:rsid w:val="0B7A6C38"/>
    <w:rsid w:val="0B8F5D2D"/>
    <w:rsid w:val="0B8F6D48"/>
    <w:rsid w:val="0BB00DA3"/>
    <w:rsid w:val="0BB759F3"/>
    <w:rsid w:val="0BC65DFE"/>
    <w:rsid w:val="0BE961C7"/>
    <w:rsid w:val="0BEB7077"/>
    <w:rsid w:val="0BF434EA"/>
    <w:rsid w:val="0C0C4BE0"/>
    <w:rsid w:val="0C191A5C"/>
    <w:rsid w:val="0C2F097B"/>
    <w:rsid w:val="0C337BF8"/>
    <w:rsid w:val="0C422443"/>
    <w:rsid w:val="0C5E164F"/>
    <w:rsid w:val="0C604673"/>
    <w:rsid w:val="0C722343"/>
    <w:rsid w:val="0C787021"/>
    <w:rsid w:val="0C7F2C25"/>
    <w:rsid w:val="0C8470E7"/>
    <w:rsid w:val="0C8B2B78"/>
    <w:rsid w:val="0C8F49C8"/>
    <w:rsid w:val="0C8F7819"/>
    <w:rsid w:val="0CC23F44"/>
    <w:rsid w:val="0CF3672B"/>
    <w:rsid w:val="0CF44195"/>
    <w:rsid w:val="0D557512"/>
    <w:rsid w:val="0D59001B"/>
    <w:rsid w:val="0D7E682A"/>
    <w:rsid w:val="0D822BE7"/>
    <w:rsid w:val="0D862EE7"/>
    <w:rsid w:val="0D8B0E28"/>
    <w:rsid w:val="0D8B4B06"/>
    <w:rsid w:val="0D8E22BA"/>
    <w:rsid w:val="0D9B0783"/>
    <w:rsid w:val="0DB66492"/>
    <w:rsid w:val="0DBC2507"/>
    <w:rsid w:val="0DBC67ED"/>
    <w:rsid w:val="0DEB0C7D"/>
    <w:rsid w:val="0DF4656F"/>
    <w:rsid w:val="0E1A607C"/>
    <w:rsid w:val="0E1D0E41"/>
    <w:rsid w:val="0E2576DF"/>
    <w:rsid w:val="0E353097"/>
    <w:rsid w:val="0E37286C"/>
    <w:rsid w:val="0E4F08EE"/>
    <w:rsid w:val="0E700CBD"/>
    <w:rsid w:val="0E825279"/>
    <w:rsid w:val="0E8D350D"/>
    <w:rsid w:val="0EAC6FA4"/>
    <w:rsid w:val="0EAD4950"/>
    <w:rsid w:val="0EC04B94"/>
    <w:rsid w:val="0ED55A70"/>
    <w:rsid w:val="0ED93451"/>
    <w:rsid w:val="0EDB3D56"/>
    <w:rsid w:val="0EEA190F"/>
    <w:rsid w:val="0EEE2D47"/>
    <w:rsid w:val="0EEF4909"/>
    <w:rsid w:val="0EFB27F7"/>
    <w:rsid w:val="0EFF29FF"/>
    <w:rsid w:val="0F02064B"/>
    <w:rsid w:val="0F155444"/>
    <w:rsid w:val="0F2F4835"/>
    <w:rsid w:val="0F3D5F06"/>
    <w:rsid w:val="0F481A73"/>
    <w:rsid w:val="0F5B5765"/>
    <w:rsid w:val="0F957649"/>
    <w:rsid w:val="0FA87FBD"/>
    <w:rsid w:val="0FD6141B"/>
    <w:rsid w:val="0FDE469D"/>
    <w:rsid w:val="0FEB34D5"/>
    <w:rsid w:val="0FF726AC"/>
    <w:rsid w:val="0FFF6603"/>
    <w:rsid w:val="10195452"/>
    <w:rsid w:val="105F0114"/>
    <w:rsid w:val="106D10DB"/>
    <w:rsid w:val="106D58CD"/>
    <w:rsid w:val="10792B36"/>
    <w:rsid w:val="10AB6F38"/>
    <w:rsid w:val="10CD219E"/>
    <w:rsid w:val="10DC7DE0"/>
    <w:rsid w:val="110172C6"/>
    <w:rsid w:val="11042215"/>
    <w:rsid w:val="1108175C"/>
    <w:rsid w:val="11101DCB"/>
    <w:rsid w:val="111D2EE3"/>
    <w:rsid w:val="11232F82"/>
    <w:rsid w:val="112B4AD2"/>
    <w:rsid w:val="112E7C4A"/>
    <w:rsid w:val="1136103A"/>
    <w:rsid w:val="114B7BDF"/>
    <w:rsid w:val="115A28F5"/>
    <w:rsid w:val="115A3208"/>
    <w:rsid w:val="116B6446"/>
    <w:rsid w:val="11843D58"/>
    <w:rsid w:val="11867CDB"/>
    <w:rsid w:val="11932D6F"/>
    <w:rsid w:val="11962660"/>
    <w:rsid w:val="11967E4F"/>
    <w:rsid w:val="119E066F"/>
    <w:rsid w:val="11A6006E"/>
    <w:rsid w:val="11BC70F9"/>
    <w:rsid w:val="11BE537F"/>
    <w:rsid w:val="11C22356"/>
    <w:rsid w:val="121C3C67"/>
    <w:rsid w:val="12226E30"/>
    <w:rsid w:val="12692B77"/>
    <w:rsid w:val="1274363D"/>
    <w:rsid w:val="12763C9D"/>
    <w:rsid w:val="128743E2"/>
    <w:rsid w:val="12981916"/>
    <w:rsid w:val="12A1797D"/>
    <w:rsid w:val="12A4773C"/>
    <w:rsid w:val="12BB1685"/>
    <w:rsid w:val="12C21A19"/>
    <w:rsid w:val="12C2586C"/>
    <w:rsid w:val="12CB401B"/>
    <w:rsid w:val="12D56A4F"/>
    <w:rsid w:val="12DB5654"/>
    <w:rsid w:val="12DE7AC3"/>
    <w:rsid w:val="12DF13C6"/>
    <w:rsid w:val="12E10047"/>
    <w:rsid w:val="12F32930"/>
    <w:rsid w:val="13406ABE"/>
    <w:rsid w:val="134D2FA8"/>
    <w:rsid w:val="13504987"/>
    <w:rsid w:val="13593810"/>
    <w:rsid w:val="13814EC0"/>
    <w:rsid w:val="13876D60"/>
    <w:rsid w:val="138A2B8C"/>
    <w:rsid w:val="13980727"/>
    <w:rsid w:val="13CF1094"/>
    <w:rsid w:val="13E1370E"/>
    <w:rsid w:val="14261A0B"/>
    <w:rsid w:val="144424EE"/>
    <w:rsid w:val="14547540"/>
    <w:rsid w:val="1458067C"/>
    <w:rsid w:val="14624DDC"/>
    <w:rsid w:val="146869BF"/>
    <w:rsid w:val="146B190A"/>
    <w:rsid w:val="14A52F5A"/>
    <w:rsid w:val="14D129E4"/>
    <w:rsid w:val="14D51AAB"/>
    <w:rsid w:val="14E62033"/>
    <w:rsid w:val="14ED3FEC"/>
    <w:rsid w:val="15011309"/>
    <w:rsid w:val="15147150"/>
    <w:rsid w:val="15757B23"/>
    <w:rsid w:val="15812B31"/>
    <w:rsid w:val="159756CB"/>
    <w:rsid w:val="15C82DF1"/>
    <w:rsid w:val="15D538E7"/>
    <w:rsid w:val="15F0021B"/>
    <w:rsid w:val="15F807C2"/>
    <w:rsid w:val="16144076"/>
    <w:rsid w:val="1621074F"/>
    <w:rsid w:val="16376DA8"/>
    <w:rsid w:val="165C69EB"/>
    <w:rsid w:val="16C43E35"/>
    <w:rsid w:val="16D77222"/>
    <w:rsid w:val="16E320A8"/>
    <w:rsid w:val="16F46E93"/>
    <w:rsid w:val="16FA491E"/>
    <w:rsid w:val="16FD21D3"/>
    <w:rsid w:val="171454ED"/>
    <w:rsid w:val="171C42D9"/>
    <w:rsid w:val="17260280"/>
    <w:rsid w:val="172B72F6"/>
    <w:rsid w:val="173932D8"/>
    <w:rsid w:val="17533708"/>
    <w:rsid w:val="175933C2"/>
    <w:rsid w:val="17790365"/>
    <w:rsid w:val="17870071"/>
    <w:rsid w:val="178B0A42"/>
    <w:rsid w:val="17940593"/>
    <w:rsid w:val="17B56640"/>
    <w:rsid w:val="17C43BB2"/>
    <w:rsid w:val="17C53C47"/>
    <w:rsid w:val="17C6747A"/>
    <w:rsid w:val="17D45B79"/>
    <w:rsid w:val="17E27CF3"/>
    <w:rsid w:val="17F937EB"/>
    <w:rsid w:val="18284A91"/>
    <w:rsid w:val="185B6CBA"/>
    <w:rsid w:val="185E4559"/>
    <w:rsid w:val="18697409"/>
    <w:rsid w:val="18710C93"/>
    <w:rsid w:val="187B43B5"/>
    <w:rsid w:val="18831FC4"/>
    <w:rsid w:val="18A042A1"/>
    <w:rsid w:val="18C25E3E"/>
    <w:rsid w:val="18FB7D12"/>
    <w:rsid w:val="19072347"/>
    <w:rsid w:val="19087C92"/>
    <w:rsid w:val="190E2E18"/>
    <w:rsid w:val="19195805"/>
    <w:rsid w:val="19207871"/>
    <w:rsid w:val="19382B36"/>
    <w:rsid w:val="1945373B"/>
    <w:rsid w:val="1956739E"/>
    <w:rsid w:val="19655EF3"/>
    <w:rsid w:val="196B0C35"/>
    <w:rsid w:val="19720B14"/>
    <w:rsid w:val="19752019"/>
    <w:rsid w:val="19812779"/>
    <w:rsid w:val="19A37451"/>
    <w:rsid w:val="19B170C7"/>
    <w:rsid w:val="19D056D8"/>
    <w:rsid w:val="19DF1FEB"/>
    <w:rsid w:val="1A162824"/>
    <w:rsid w:val="1A2C6B2D"/>
    <w:rsid w:val="1A65490A"/>
    <w:rsid w:val="1A6A2755"/>
    <w:rsid w:val="1A6C11EC"/>
    <w:rsid w:val="1A7509E6"/>
    <w:rsid w:val="1A797234"/>
    <w:rsid w:val="1A85232A"/>
    <w:rsid w:val="1A8705B7"/>
    <w:rsid w:val="1A8E02B2"/>
    <w:rsid w:val="1A964FF7"/>
    <w:rsid w:val="1A9B72D1"/>
    <w:rsid w:val="1AC63F4F"/>
    <w:rsid w:val="1AE00BEC"/>
    <w:rsid w:val="1AEB4B87"/>
    <w:rsid w:val="1AEB4BEE"/>
    <w:rsid w:val="1B0D77AA"/>
    <w:rsid w:val="1B1B683A"/>
    <w:rsid w:val="1B1F699E"/>
    <w:rsid w:val="1B5C4BA0"/>
    <w:rsid w:val="1B5D2FC7"/>
    <w:rsid w:val="1B5E224D"/>
    <w:rsid w:val="1B701AE2"/>
    <w:rsid w:val="1B8B03DA"/>
    <w:rsid w:val="1B8F6610"/>
    <w:rsid w:val="1BBF74FB"/>
    <w:rsid w:val="1BEB61D7"/>
    <w:rsid w:val="1BF3124A"/>
    <w:rsid w:val="1C126DCE"/>
    <w:rsid w:val="1C185BD3"/>
    <w:rsid w:val="1C44442F"/>
    <w:rsid w:val="1C472BB3"/>
    <w:rsid w:val="1C4864B3"/>
    <w:rsid w:val="1C5E7F5A"/>
    <w:rsid w:val="1C9646F9"/>
    <w:rsid w:val="1C98559E"/>
    <w:rsid w:val="1CC77593"/>
    <w:rsid w:val="1CD02DF3"/>
    <w:rsid w:val="1CDD387E"/>
    <w:rsid w:val="1CE073F0"/>
    <w:rsid w:val="1CE22096"/>
    <w:rsid w:val="1CE76247"/>
    <w:rsid w:val="1D0E246E"/>
    <w:rsid w:val="1D107CAC"/>
    <w:rsid w:val="1D1F1A32"/>
    <w:rsid w:val="1D627A24"/>
    <w:rsid w:val="1D680FAC"/>
    <w:rsid w:val="1D7A420F"/>
    <w:rsid w:val="1D8C5BD5"/>
    <w:rsid w:val="1D981173"/>
    <w:rsid w:val="1DCD4FD6"/>
    <w:rsid w:val="1DD77A6B"/>
    <w:rsid w:val="1DE545D3"/>
    <w:rsid w:val="1DFA67D8"/>
    <w:rsid w:val="1E091350"/>
    <w:rsid w:val="1E5B63B7"/>
    <w:rsid w:val="1E5F3918"/>
    <w:rsid w:val="1E833019"/>
    <w:rsid w:val="1E9A52DF"/>
    <w:rsid w:val="1E9D1C54"/>
    <w:rsid w:val="1E9D2BD4"/>
    <w:rsid w:val="1E9F37DB"/>
    <w:rsid w:val="1EAE21E5"/>
    <w:rsid w:val="1F1F6A2F"/>
    <w:rsid w:val="1F2677E4"/>
    <w:rsid w:val="1F3B6BFA"/>
    <w:rsid w:val="1F521701"/>
    <w:rsid w:val="1F615893"/>
    <w:rsid w:val="1F681207"/>
    <w:rsid w:val="1F754ACB"/>
    <w:rsid w:val="1FB3202E"/>
    <w:rsid w:val="1FDB1425"/>
    <w:rsid w:val="1FDB6748"/>
    <w:rsid w:val="1FE171A0"/>
    <w:rsid w:val="1FE85928"/>
    <w:rsid w:val="1FED13F4"/>
    <w:rsid w:val="1FFF7A20"/>
    <w:rsid w:val="20114469"/>
    <w:rsid w:val="201A7A16"/>
    <w:rsid w:val="202B04DA"/>
    <w:rsid w:val="202F5152"/>
    <w:rsid w:val="203346C0"/>
    <w:rsid w:val="204A438B"/>
    <w:rsid w:val="204D69FB"/>
    <w:rsid w:val="205677AF"/>
    <w:rsid w:val="206B30C2"/>
    <w:rsid w:val="208A3DB7"/>
    <w:rsid w:val="208F3DE3"/>
    <w:rsid w:val="20A24613"/>
    <w:rsid w:val="20C52D7E"/>
    <w:rsid w:val="20CB311C"/>
    <w:rsid w:val="20F004DC"/>
    <w:rsid w:val="21185519"/>
    <w:rsid w:val="21316D8A"/>
    <w:rsid w:val="213F0310"/>
    <w:rsid w:val="21484A1C"/>
    <w:rsid w:val="215344C2"/>
    <w:rsid w:val="215520F2"/>
    <w:rsid w:val="21813863"/>
    <w:rsid w:val="21827E74"/>
    <w:rsid w:val="21927FEF"/>
    <w:rsid w:val="21AF27B0"/>
    <w:rsid w:val="21C95237"/>
    <w:rsid w:val="21FD7C16"/>
    <w:rsid w:val="22381ED5"/>
    <w:rsid w:val="22671635"/>
    <w:rsid w:val="226A60DE"/>
    <w:rsid w:val="226A6DCD"/>
    <w:rsid w:val="22752977"/>
    <w:rsid w:val="22781896"/>
    <w:rsid w:val="227A3344"/>
    <w:rsid w:val="229E25CB"/>
    <w:rsid w:val="22A01DBE"/>
    <w:rsid w:val="22DB49CB"/>
    <w:rsid w:val="230E1410"/>
    <w:rsid w:val="233F7BD4"/>
    <w:rsid w:val="239F3DE5"/>
    <w:rsid w:val="23A32B3E"/>
    <w:rsid w:val="23B56762"/>
    <w:rsid w:val="23CD7830"/>
    <w:rsid w:val="23CE345C"/>
    <w:rsid w:val="23D66163"/>
    <w:rsid w:val="23D75E7B"/>
    <w:rsid w:val="23F51AFF"/>
    <w:rsid w:val="24107B61"/>
    <w:rsid w:val="244A645B"/>
    <w:rsid w:val="245166AF"/>
    <w:rsid w:val="249527C6"/>
    <w:rsid w:val="249E35EC"/>
    <w:rsid w:val="249F3C59"/>
    <w:rsid w:val="24A843F3"/>
    <w:rsid w:val="24C04E43"/>
    <w:rsid w:val="24C5413E"/>
    <w:rsid w:val="24D37127"/>
    <w:rsid w:val="24F4136D"/>
    <w:rsid w:val="24F6067B"/>
    <w:rsid w:val="250F1702"/>
    <w:rsid w:val="250F2262"/>
    <w:rsid w:val="25100A56"/>
    <w:rsid w:val="251518B0"/>
    <w:rsid w:val="2539261C"/>
    <w:rsid w:val="25406FC0"/>
    <w:rsid w:val="256C251B"/>
    <w:rsid w:val="25950B6A"/>
    <w:rsid w:val="25961DAD"/>
    <w:rsid w:val="25AA78B2"/>
    <w:rsid w:val="25B01BE3"/>
    <w:rsid w:val="25C33385"/>
    <w:rsid w:val="25D12D48"/>
    <w:rsid w:val="25D15731"/>
    <w:rsid w:val="25D347AF"/>
    <w:rsid w:val="25DC574D"/>
    <w:rsid w:val="25FB4391"/>
    <w:rsid w:val="26074042"/>
    <w:rsid w:val="26121623"/>
    <w:rsid w:val="261A762F"/>
    <w:rsid w:val="26233A54"/>
    <w:rsid w:val="265A5B0C"/>
    <w:rsid w:val="26657C49"/>
    <w:rsid w:val="26680DCA"/>
    <w:rsid w:val="2676637D"/>
    <w:rsid w:val="26780C4F"/>
    <w:rsid w:val="269A4D29"/>
    <w:rsid w:val="26DC555F"/>
    <w:rsid w:val="26EF4E72"/>
    <w:rsid w:val="26F9212F"/>
    <w:rsid w:val="274A707A"/>
    <w:rsid w:val="274C40DB"/>
    <w:rsid w:val="27566D23"/>
    <w:rsid w:val="27597A6D"/>
    <w:rsid w:val="275E6C39"/>
    <w:rsid w:val="2761233D"/>
    <w:rsid w:val="276412F4"/>
    <w:rsid w:val="276714BF"/>
    <w:rsid w:val="277A755F"/>
    <w:rsid w:val="277D6F3B"/>
    <w:rsid w:val="27890C93"/>
    <w:rsid w:val="27A622AE"/>
    <w:rsid w:val="27B04E47"/>
    <w:rsid w:val="27BB0366"/>
    <w:rsid w:val="27BE5F8E"/>
    <w:rsid w:val="27DA224C"/>
    <w:rsid w:val="27E0516F"/>
    <w:rsid w:val="27F41931"/>
    <w:rsid w:val="280324E5"/>
    <w:rsid w:val="28075295"/>
    <w:rsid w:val="28233ABE"/>
    <w:rsid w:val="28317E44"/>
    <w:rsid w:val="283B79D8"/>
    <w:rsid w:val="28587848"/>
    <w:rsid w:val="28621F69"/>
    <w:rsid w:val="286F195F"/>
    <w:rsid w:val="28AF5884"/>
    <w:rsid w:val="28B11EA5"/>
    <w:rsid w:val="28B4204A"/>
    <w:rsid w:val="28BA4823"/>
    <w:rsid w:val="28BC1E66"/>
    <w:rsid w:val="28C1362D"/>
    <w:rsid w:val="28E35E79"/>
    <w:rsid w:val="28F75D85"/>
    <w:rsid w:val="2915754B"/>
    <w:rsid w:val="291A5FE5"/>
    <w:rsid w:val="29284AC3"/>
    <w:rsid w:val="29405876"/>
    <w:rsid w:val="29613F34"/>
    <w:rsid w:val="29766132"/>
    <w:rsid w:val="29770C78"/>
    <w:rsid w:val="297D53FB"/>
    <w:rsid w:val="2981287C"/>
    <w:rsid w:val="2984009C"/>
    <w:rsid w:val="2995441A"/>
    <w:rsid w:val="29A26040"/>
    <w:rsid w:val="29CE6B2C"/>
    <w:rsid w:val="29CF7EA6"/>
    <w:rsid w:val="29DB04D2"/>
    <w:rsid w:val="29E00768"/>
    <w:rsid w:val="2A016D7A"/>
    <w:rsid w:val="2A112085"/>
    <w:rsid w:val="2A1F50BA"/>
    <w:rsid w:val="2A2D73C5"/>
    <w:rsid w:val="2A470E6F"/>
    <w:rsid w:val="2A590EC1"/>
    <w:rsid w:val="2A664D6B"/>
    <w:rsid w:val="2A69198B"/>
    <w:rsid w:val="2A877B9C"/>
    <w:rsid w:val="2A90494F"/>
    <w:rsid w:val="2A927106"/>
    <w:rsid w:val="2A9D09C9"/>
    <w:rsid w:val="2AAF7C2D"/>
    <w:rsid w:val="2AB556A7"/>
    <w:rsid w:val="2ADC742B"/>
    <w:rsid w:val="2B0569A0"/>
    <w:rsid w:val="2B1A3452"/>
    <w:rsid w:val="2B1B5177"/>
    <w:rsid w:val="2B2E71FA"/>
    <w:rsid w:val="2B3E5B2E"/>
    <w:rsid w:val="2B44500F"/>
    <w:rsid w:val="2B757EF9"/>
    <w:rsid w:val="2B8A0D32"/>
    <w:rsid w:val="2C1C4F20"/>
    <w:rsid w:val="2C225C50"/>
    <w:rsid w:val="2C476C9E"/>
    <w:rsid w:val="2C513E2A"/>
    <w:rsid w:val="2C555FEE"/>
    <w:rsid w:val="2C5D5482"/>
    <w:rsid w:val="2C6C5C82"/>
    <w:rsid w:val="2C793FE7"/>
    <w:rsid w:val="2C7A7D75"/>
    <w:rsid w:val="2C7E5E03"/>
    <w:rsid w:val="2C7F7E6A"/>
    <w:rsid w:val="2C8A7AD1"/>
    <w:rsid w:val="2C923916"/>
    <w:rsid w:val="2C9B0F43"/>
    <w:rsid w:val="2CAC490D"/>
    <w:rsid w:val="2CBA50E2"/>
    <w:rsid w:val="2CCA47E9"/>
    <w:rsid w:val="2CDB145F"/>
    <w:rsid w:val="2D070E9F"/>
    <w:rsid w:val="2D21333A"/>
    <w:rsid w:val="2D415632"/>
    <w:rsid w:val="2D5C1783"/>
    <w:rsid w:val="2DDB03E0"/>
    <w:rsid w:val="2DDD5050"/>
    <w:rsid w:val="2E240FA3"/>
    <w:rsid w:val="2E312F6D"/>
    <w:rsid w:val="2E332E29"/>
    <w:rsid w:val="2E416E36"/>
    <w:rsid w:val="2E5A5C63"/>
    <w:rsid w:val="2E5E24A9"/>
    <w:rsid w:val="2E8C004B"/>
    <w:rsid w:val="2E9E68C6"/>
    <w:rsid w:val="2EB01E9C"/>
    <w:rsid w:val="2EC20CFA"/>
    <w:rsid w:val="2EC2327F"/>
    <w:rsid w:val="2EC56296"/>
    <w:rsid w:val="2EC62BC3"/>
    <w:rsid w:val="2EC66A1E"/>
    <w:rsid w:val="2F040AEC"/>
    <w:rsid w:val="2F122EEB"/>
    <w:rsid w:val="2F443254"/>
    <w:rsid w:val="2F88225E"/>
    <w:rsid w:val="2FC501FC"/>
    <w:rsid w:val="2FE42AB1"/>
    <w:rsid w:val="302076E3"/>
    <w:rsid w:val="307B17F9"/>
    <w:rsid w:val="309D0F0D"/>
    <w:rsid w:val="30AB65DE"/>
    <w:rsid w:val="30C6694F"/>
    <w:rsid w:val="30D1182F"/>
    <w:rsid w:val="30DC5399"/>
    <w:rsid w:val="31043CB6"/>
    <w:rsid w:val="310A4F64"/>
    <w:rsid w:val="312644AF"/>
    <w:rsid w:val="31341973"/>
    <w:rsid w:val="313F4957"/>
    <w:rsid w:val="31591EBC"/>
    <w:rsid w:val="315D1AFB"/>
    <w:rsid w:val="31613866"/>
    <w:rsid w:val="317C71BC"/>
    <w:rsid w:val="31B84443"/>
    <w:rsid w:val="31CA4EC2"/>
    <w:rsid w:val="31E11982"/>
    <w:rsid w:val="31ED7552"/>
    <w:rsid w:val="31EE70C0"/>
    <w:rsid w:val="31F60AD1"/>
    <w:rsid w:val="31FB155E"/>
    <w:rsid w:val="31FC3F6A"/>
    <w:rsid w:val="31FF7DBC"/>
    <w:rsid w:val="320E07B9"/>
    <w:rsid w:val="32147F73"/>
    <w:rsid w:val="321F2811"/>
    <w:rsid w:val="3249052D"/>
    <w:rsid w:val="325301A2"/>
    <w:rsid w:val="326E6FC5"/>
    <w:rsid w:val="32744CED"/>
    <w:rsid w:val="329C0E07"/>
    <w:rsid w:val="32B76725"/>
    <w:rsid w:val="32DF1548"/>
    <w:rsid w:val="32EF792A"/>
    <w:rsid w:val="32F51CDB"/>
    <w:rsid w:val="33121D1A"/>
    <w:rsid w:val="33157B13"/>
    <w:rsid w:val="331A4131"/>
    <w:rsid w:val="33256A7C"/>
    <w:rsid w:val="334E0750"/>
    <w:rsid w:val="337A09B4"/>
    <w:rsid w:val="33877D16"/>
    <w:rsid w:val="3397211B"/>
    <w:rsid w:val="339B5999"/>
    <w:rsid w:val="339D2E72"/>
    <w:rsid w:val="33AC38FC"/>
    <w:rsid w:val="346220E6"/>
    <w:rsid w:val="347903F6"/>
    <w:rsid w:val="347E0E03"/>
    <w:rsid w:val="3494099F"/>
    <w:rsid w:val="349418D7"/>
    <w:rsid w:val="349C3641"/>
    <w:rsid w:val="34A872C6"/>
    <w:rsid w:val="34B12D1E"/>
    <w:rsid w:val="34B864A1"/>
    <w:rsid w:val="34BD2CC6"/>
    <w:rsid w:val="34D716A6"/>
    <w:rsid w:val="34DB4012"/>
    <w:rsid w:val="350928EE"/>
    <w:rsid w:val="351E4CE0"/>
    <w:rsid w:val="3528391C"/>
    <w:rsid w:val="35393B09"/>
    <w:rsid w:val="354C513C"/>
    <w:rsid w:val="3565385F"/>
    <w:rsid w:val="35656EBC"/>
    <w:rsid w:val="35882B02"/>
    <w:rsid w:val="3594240B"/>
    <w:rsid w:val="35A13A3E"/>
    <w:rsid w:val="35A541B5"/>
    <w:rsid w:val="35AF0095"/>
    <w:rsid w:val="35F358AF"/>
    <w:rsid w:val="35F5058F"/>
    <w:rsid w:val="35FC185F"/>
    <w:rsid w:val="36002496"/>
    <w:rsid w:val="36404E62"/>
    <w:rsid w:val="364B4343"/>
    <w:rsid w:val="365D1D11"/>
    <w:rsid w:val="365F3D7E"/>
    <w:rsid w:val="367D0D6E"/>
    <w:rsid w:val="36A03954"/>
    <w:rsid w:val="36AA257C"/>
    <w:rsid w:val="36BC4ADF"/>
    <w:rsid w:val="36C74E3C"/>
    <w:rsid w:val="36CC3579"/>
    <w:rsid w:val="36DD638F"/>
    <w:rsid w:val="37011F71"/>
    <w:rsid w:val="370B7778"/>
    <w:rsid w:val="37292C2D"/>
    <w:rsid w:val="37413A76"/>
    <w:rsid w:val="37727F6D"/>
    <w:rsid w:val="37760350"/>
    <w:rsid w:val="37956377"/>
    <w:rsid w:val="37BF2B76"/>
    <w:rsid w:val="37CF593C"/>
    <w:rsid w:val="3821336F"/>
    <w:rsid w:val="3825268B"/>
    <w:rsid w:val="384A12E0"/>
    <w:rsid w:val="384D2E03"/>
    <w:rsid w:val="3850739A"/>
    <w:rsid w:val="385D0528"/>
    <w:rsid w:val="386F54DC"/>
    <w:rsid w:val="3885422E"/>
    <w:rsid w:val="3894752E"/>
    <w:rsid w:val="389A0DD7"/>
    <w:rsid w:val="38A7711D"/>
    <w:rsid w:val="38B177A6"/>
    <w:rsid w:val="38C407D7"/>
    <w:rsid w:val="38CF0CA2"/>
    <w:rsid w:val="38F225E3"/>
    <w:rsid w:val="39015279"/>
    <w:rsid w:val="39082270"/>
    <w:rsid w:val="391B69D5"/>
    <w:rsid w:val="39233EA3"/>
    <w:rsid w:val="39494A8F"/>
    <w:rsid w:val="395B359B"/>
    <w:rsid w:val="398F1667"/>
    <w:rsid w:val="39AD3B9B"/>
    <w:rsid w:val="39AE4DCE"/>
    <w:rsid w:val="39B327F8"/>
    <w:rsid w:val="3A204D7C"/>
    <w:rsid w:val="3A313526"/>
    <w:rsid w:val="3A320C49"/>
    <w:rsid w:val="3A375291"/>
    <w:rsid w:val="3A382504"/>
    <w:rsid w:val="3A437DBB"/>
    <w:rsid w:val="3A4F3450"/>
    <w:rsid w:val="3A617915"/>
    <w:rsid w:val="3A8A5FDE"/>
    <w:rsid w:val="3A8A6605"/>
    <w:rsid w:val="3A9D74E3"/>
    <w:rsid w:val="3AAA4865"/>
    <w:rsid w:val="3AE97BF9"/>
    <w:rsid w:val="3B1D3894"/>
    <w:rsid w:val="3B2531A7"/>
    <w:rsid w:val="3B291745"/>
    <w:rsid w:val="3B2C52E7"/>
    <w:rsid w:val="3B313F80"/>
    <w:rsid w:val="3B7B2E4D"/>
    <w:rsid w:val="3BD5072B"/>
    <w:rsid w:val="3BDF2125"/>
    <w:rsid w:val="3C19293D"/>
    <w:rsid w:val="3C1F710C"/>
    <w:rsid w:val="3C286E4E"/>
    <w:rsid w:val="3C372D90"/>
    <w:rsid w:val="3C65417F"/>
    <w:rsid w:val="3C6F7D4E"/>
    <w:rsid w:val="3C864200"/>
    <w:rsid w:val="3CB85005"/>
    <w:rsid w:val="3CC6539D"/>
    <w:rsid w:val="3CD03326"/>
    <w:rsid w:val="3CD94278"/>
    <w:rsid w:val="3CD94888"/>
    <w:rsid w:val="3D19571E"/>
    <w:rsid w:val="3D247FC9"/>
    <w:rsid w:val="3D264AD9"/>
    <w:rsid w:val="3D3A3563"/>
    <w:rsid w:val="3D630085"/>
    <w:rsid w:val="3D6C11CC"/>
    <w:rsid w:val="3D8F0C02"/>
    <w:rsid w:val="3D961B4F"/>
    <w:rsid w:val="3D995874"/>
    <w:rsid w:val="3DA062BA"/>
    <w:rsid w:val="3DD149EA"/>
    <w:rsid w:val="3DDC54C2"/>
    <w:rsid w:val="3DE40FD7"/>
    <w:rsid w:val="3DF86C5B"/>
    <w:rsid w:val="3DFC1F4E"/>
    <w:rsid w:val="3E0D459B"/>
    <w:rsid w:val="3E660628"/>
    <w:rsid w:val="3E72403F"/>
    <w:rsid w:val="3E8274FB"/>
    <w:rsid w:val="3E8A3FF4"/>
    <w:rsid w:val="3E8B0356"/>
    <w:rsid w:val="3EAE6A76"/>
    <w:rsid w:val="3EBB532D"/>
    <w:rsid w:val="3EC31A93"/>
    <w:rsid w:val="3ED2727F"/>
    <w:rsid w:val="3EDC1752"/>
    <w:rsid w:val="3EE06C25"/>
    <w:rsid w:val="3EF547A4"/>
    <w:rsid w:val="3F1F1BDA"/>
    <w:rsid w:val="3F2E1A5E"/>
    <w:rsid w:val="3F312D43"/>
    <w:rsid w:val="3F380476"/>
    <w:rsid w:val="3F642862"/>
    <w:rsid w:val="3F6E0099"/>
    <w:rsid w:val="3F927441"/>
    <w:rsid w:val="3FA4040B"/>
    <w:rsid w:val="3FAC206F"/>
    <w:rsid w:val="3FB50451"/>
    <w:rsid w:val="3FD40BA8"/>
    <w:rsid w:val="3FDA7BD4"/>
    <w:rsid w:val="3FDE44C7"/>
    <w:rsid w:val="3FE50460"/>
    <w:rsid w:val="3FE608CE"/>
    <w:rsid w:val="3FE92AD9"/>
    <w:rsid w:val="406110B7"/>
    <w:rsid w:val="40644472"/>
    <w:rsid w:val="406B2D0C"/>
    <w:rsid w:val="40771889"/>
    <w:rsid w:val="4098070F"/>
    <w:rsid w:val="4099244D"/>
    <w:rsid w:val="40A327B7"/>
    <w:rsid w:val="40BF57C3"/>
    <w:rsid w:val="40BF659D"/>
    <w:rsid w:val="40CC05CD"/>
    <w:rsid w:val="40E517A9"/>
    <w:rsid w:val="40F67D51"/>
    <w:rsid w:val="40FC465E"/>
    <w:rsid w:val="40FC5239"/>
    <w:rsid w:val="41003012"/>
    <w:rsid w:val="41086530"/>
    <w:rsid w:val="41322FBC"/>
    <w:rsid w:val="41502664"/>
    <w:rsid w:val="417E6DDF"/>
    <w:rsid w:val="41B00D7A"/>
    <w:rsid w:val="41CB22B1"/>
    <w:rsid w:val="41D61EA1"/>
    <w:rsid w:val="41D7493A"/>
    <w:rsid w:val="41DC2249"/>
    <w:rsid w:val="41F64E0A"/>
    <w:rsid w:val="41F922C3"/>
    <w:rsid w:val="41FD30F9"/>
    <w:rsid w:val="42023138"/>
    <w:rsid w:val="42034BF4"/>
    <w:rsid w:val="422945E9"/>
    <w:rsid w:val="42294FA2"/>
    <w:rsid w:val="423376FF"/>
    <w:rsid w:val="424D75E7"/>
    <w:rsid w:val="42691058"/>
    <w:rsid w:val="4279381F"/>
    <w:rsid w:val="427B400E"/>
    <w:rsid w:val="428A6F2E"/>
    <w:rsid w:val="42A9294A"/>
    <w:rsid w:val="42AF30CA"/>
    <w:rsid w:val="42BC781F"/>
    <w:rsid w:val="42BE1CBE"/>
    <w:rsid w:val="42C70757"/>
    <w:rsid w:val="43124C07"/>
    <w:rsid w:val="4320086D"/>
    <w:rsid w:val="43225DF9"/>
    <w:rsid w:val="432970FD"/>
    <w:rsid w:val="433C30D1"/>
    <w:rsid w:val="43400190"/>
    <w:rsid w:val="434954F0"/>
    <w:rsid w:val="435979B4"/>
    <w:rsid w:val="435E44F9"/>
    <w:rsid w:val="4361591A"/>
    <w:rsid w:val="436C1C80"/>
    <w:rsid w:val="437143C1"/>
    <w:rsid w:val="43751312"/>
    <w:rsid w:val="439B7D07"/>
    <w:rsid w:val="439F59A1"/>
    <w:rsid w:val="43B1439C"/>
    <w:rsid w:val="43B87D75"/>
    <w:rsid w:val="43C434DF"/>
    <w:rsid w:val="43C77F8C"/>
    <w:rsid w:val="43E6717E"/>
    <w:rsid w:val="43F45A06"/>
    <w:rsid w:val="43F93E41"/>
    <w:rsid w:val="44217532"/>
    <w:rsid w:val="44440154"/>
    <w:rsid w:val="444935A9"/>
    <w:rsid w:val="44557331"/>
    <w:rsid w:val="446E623D"/>
    <w:rsid w:val="447613CB"/>
    <w:rsid w:val="44A34C33"/>
    <w:rsid w:val="44A47B71"/>
    <w:rsid w:val="44AB4BE2"/>
    <w:rsid w:val="44C90403"/>
    <w:rsid w:val="44D23620"/>
    <w:rsid w:val="44DA7E48"/>
    <w:rsid w:val="45236832"/>
    <w:rsid w:val="454719AE"/>
    <w:rsid w:val="45587FF3"/>
    <w:rsid w:val="45641C53"/>
    <w:rsid w:val="457D3362"/>
    <w:rsid w:val="458B2EBA"/>
    <w:rsid w:val="45911339"/>
    <w:rsid w:val="45B11483"/>
    <w:rsid w:val="45B649B4"/>
    <w:rsid w:val="45BD7F33"/>
    <w:rsid w:val="45D9677D"/>
    <w:rsid w:val="45DC4D05"/>
    <w:rsid w:val="46066D5E"/>
    <w:rsid w:val="460A59B9"/>
    <w:rsid w:val="46303FE8"/>
    <w:rsid w:val="46322711"/>
    <w:rsid w:val="46553D2D"/>
    <w:rsid w:val="466F5812"/>
    <w:rsid w:val="467808A3"/>
    <w:rsid w:val="46910F61"/>
    <w:rsid w:val="46934000"/>
    <w:rsid w:val="469921C4"/>
    <w:rsid w:val="469A1E80"/>
    <w:rsid w:val="46BC29CC"/>
    <w:rsid w:val="46C01AA3"/>
    <w:rsid w:val="46D37472"/>
    <w:rsid w:val="46D76912"/>
    <w:rsid w:val="46ED4AFF"/>
    <w:rsid w:val="46F349B6"/>
    <w:rsid w:val="47132AD1"/>
    <w:rsid w:val="47336FDE"/>
    <w:rsid w:val="47476ACB"/>
    <w:rsid w:val="474D746D"/>
    <w:rsid w:val="47580070"/>
    <w:rsid w:val="47677058"/>
    <w:rsid w:val="47702F27"/>
    <w:rsid w:val="478A3FCD"/>
    <w:rsid w:val="479F3A9F"/>
    <w:rsid w:val="47CC7271"/>
    <w:rsid w:val="47E75179"/>
    <w:rsid w:val="47EB683B"/>
    <w:rsid w:val="480E34C2"/>
    <w:rsid w:val="48143457"/>
    <w:rsid w:val="48191D99"/>
    <w:rsid w:val="48260DD5"/>
    <w:rsid w:val="485A02F2"/>
    <w:rsid w:val="485B2A9A"/>
    <w:rsid w:val="486A630A"/>
    <w:rsid w:val="489310CF"/>
    <w:rsid w:val="48937B03"/>
    <w:rsid w:val="48955F89"/>
    <w:rsid w:val="48A5071A"/>
    <w:rsid w:val="48BF20F2"/>
    <w:rsid w:val="48C52D43"/>
    <w:rsid w:val="48DD3B0D"/>
    <w:rsid w:val="48F9222B"/>
    <w:rsid w:val="48F93E35"/>
    <w:rsid w:val="490B5876"/>
    <w:rsid w:val="49286DC6"/>
    <w:rsid w:val="49405618"/>
    <w:rsid w:val="49472B7E"/>
    <w:rsid w:val="49676CDB"/>
    <w:rsid w:val="496848B3"/>
    <w:rsid w:val="498139EB"/>
    <w:rsid w:val="4982690F"/>
    <w:rsid w:val="498444CA"/>
    <w:rsid w:val="498E5095"/>
    <w:rsid w:val="49944374"/>
    <w:rsid w:val="499550E8"/>
    <w:rsid w:val="49A15139"/>
    <w:rsid w:val="49A55683"/>
    <w:rsid w:val="49AA18C8"/>
    <w:rsid w:val="49ED5163"/>
    <w:rsid w:val="4A107563"/>
    <w:rsid w:val="4A2A7009"/>
    <w:rsid w:val="4A4C18D5"/>
    <w:rsid w:val="4A65075E"/>
    <w:rsid w:val="4A820328"/>
    <w:rsid w:val="4AA85A32"/>
    <w:rsid w:val="4AB120BE"/>
    <w:rsid w:val="4AB741A7"/>
    <w:rsid w:val="4ACF5B29"/>
    <w:rsid w:val="4ADE5C99"/>
    <w:rsid w:val="4AE22580"/>
    <w:rsid w:val="4AEC4019"/>
    <w:rsid w:val="4B393F43"/>
    <w:rsid w:val="4B4A379F"/>
    <w:rsid w:val="4B4B3D31"/>
    <w:rsid w:val="4B5D3DAC"/>
    <w:rsid w:val="4B664205"/>
    <w:rsid w:val="4B9B689C"/>
    <w:rsid w:val="4BB54EEE"/>
    <w:rsid w:val="4BC10B09"/>
    <w:rsid w:val="4BCE7655"/>
    <w:rsid w:val="4BD33F51"/>
    <w:rsid w:val="4BDA68EA"/>
    <w:rsid w:val="4BEA5BF5"/>
    <w:rsid w:val="4BED02E8"/>
    <w:rsid w:val="4BF851F2"/>
    <w:rsid w:val="4BFC5FD7"/>
    <w:rsid w:val="4C0D6568"/>
    <w:rsid w:val="4C182FA5"/>
    <w:rsid w:val="4C227F6B"/>
    <w:rsid w:val="4C305795"/>
    <w:rsid w:val="4C705D02"/>
    <w:rsid w:val="4C741EAD"/>
    <w:rsid w:val="4C784CE9"/>
    <w:rsid w:val="4C7E7172"/>
    <w:rsid w:val="4C9617DE"/>
    <w:rsid w:val="4CA202F7"/>
    <w:rsid w:val="4CC30E59"/>
    <w:rsid w:val="4CC85182"/>
    <w:rsid w:val="4CCD392B"/>
    <w:rsid w:val="4CCF7646"/>
    <w:rsid w:val="4D0D7A53"/>
    <w:rsid w:val="4D111C9B"/>
    <w:rsid w:val="4D2220C4"/>
    <w:rsid w:val="4D391438"/>
    <w:rsid w:val="4D574029"/>
    <w:rsid w:val="4D5A3FA9"/>
    <w:rsid w:val="4D601461"/>
    <w:rsid w:val="4D672368"/>
    <w:rsid w:val="4DB63FF6"/>
    <w:rsid w:val="4DC17CB7"/>
    <w:rsid w:val="4DD42EAC"/>
    <w:rsid w:val="4DDA084E"/>
    <w:rsid w:val="4DEA0B58"/>
    <w:rsid w:val="4E166FA7"/>
    <w:rsid w:val="4E181115"/>
    <w:rsid w:val="4E2C1F26"/>
    <w:rsid w:val="4E305BE2"/>
    <w:rsid w:val="4E3B34DB"/>
    <w:rsid w:val="4E4C3F08"/>
    <w:rsid w:val="4E4C63DA"/>
    <w:rsid w:val="4E581AA9"/>
    <w:rsid w:val="4E7814C6"/>
    <w:rsid w:val="4EA134EF"/>
    <w:rsid w:val="4ECB7324"/>
    <w:rsid w:val="4EE85D60"/>
    <w:rsid w:val="4EF7473E"/>
    <w:rsid w:val="4F2A1F86"/>
    <w:rsid w:val="4F5C03C2"/>
    <w:rsid w:val="4F5C0F28"/>
    <w:rsid w:val="4F82450C"/>
    <w:rsid w:val="4F91280A"/>
    <w:rsid w:val="4F9551BF"/>
    <w:rsid w:val="4FA711D2"/>
    <w:rsid w:val="4FA84B06"/>
    <w:rsid w:val="4FAD05D5"/>
    <w:rsid w:val="4FAD342A"/>
    <w:rsid w:val="4FB04B02"/>
    <w:rsid w:val="50003A1E"/>
    <w:rsid w:val="50042AC5"/>
    <w:rsid w:val="50133066"/>
    <w:rsid w:val="50504F0E"/>
    <w:rsid w:val="50535A8A"/>
    <w:rsid w:val="505476C6"/>
    <w:rsid w:val="50731BA4"/>
    <w:rsid w:val="507B5554"/>
    <w:rsid w:val="507C018D"/>
    <w:rsid w:val="508E4F99"/>
    <w:rsid w:val="50B821D0"/>
    <w:rsid w:val="50C519A0"/>
    <w:rsid w:val="50C6265B"/>
    <w:rsid w:val="50CB361A"/>
    <w:rsid w:val="50CD72C1"/>
    <w:rsid w:val="50E56A6E"/>
    <w:rsid w:val="50E67EFF"/>
    <w:rsid w:val="510D598A"/>
    <w:rsid w:val="512F6829"/>
    <w:rsid w:val="513763E3"/>
    <w:rsid w:val="51585206"/>
    <w:rsid w:val="51807E0E"/>
    <w:rsid w:val="51DB630A"/>
    <w:rsid w:val="51EA4935"/>
    <w:rsid w:val="51F46218"/>
    <w:rsid w:val="5201468F"/>
    <w:rsid w:val="52225432"/>
    <w:rsid w:val="5238113C"/>
    <w:rsid w:val="52557831"/>
    <w:rsid w:val="525A24CE"/>
    <w:rsid w:val="526A33BE"/>
    <w:rsid w:val="52804E7B"/>
    <w:rsid w:val="528F6654"/>
    <w:rsid w:val="52915207"/>
    <w:rsid w:val="52A56311"/>
    <w:rsid w:val="52A8159E"/>
    <w:rsid w:val="52D36F94"/>
    <w:rsid w:val="52EA5A48"/>
    <w:rsid w:val="52FA2BD7"/>
    <w:rsid w:val="53014DCA"/>
    <w:rsid w:val="530558E2"/>
    <w:rsid w:val="53205610"/>
    <w:rsid w:val="53207A36"/>
    <w:rsid w:val="532E2542"/>
    <w:rsid w:val="533111B8"/>
    <w:rsid w:val="534C37EA"/>
    <w:rsid w:val="535704DE"/>
    <w:rsid w:val="53692E62"/>
    <w:rsid w:val="53785AE4"/>
    <w:rsid w:val="537C3358"/>
    <w:rsid w:val="5384315E"/>
    <w:rsid w:val="539C26F9"/>
    <w:rsid w:val="53A46CC8"/>
    <w:rsid w:val="53AC617B"/>
    <w:rsid w:val="53CD079E"/>
    <w:rsid w:val="53E8046F"/>
    <w:rsid w:val="53F617A2"/>
    <w:rsid w:val="54084690"/>
    <w:rsid w:val="541A0E48"/>
    <w:rsid w:val="543C1A87"/>
    <w:rsid w:val="54541B19"/>
    <w:rsid w:val="54645174"/>
    <w:rsid w:val="547A1384"/>
    <w:rsid w:val="54AC278B"/>
    <w:rsid w:val="54D463F2"/>
    <w:rsid w:val="54DD6F72"/>
    <w:rsid w:val="54E479BC"/>
    <w:rsid w:val="55051528"/>
    <w:rsid w:val="556E7188"/>
    <w:rsid w:val="557032DF"/>
    <w:rsid w:val="557174AE"/>
    <w:rsid w:val="5573064B"/>
    <w:rsid w:val="55CE2AEE"/>
    <w:rsid w:val="55EA4F5F"/>
    <w:rsid w:val="55EC6F15"/>
    <w:rsid w:val="560F4E04"/>
    <w:rsid w:val="56102898"/>
    <w:rsid w:val="56154C54"/>
    <w:rsid w:val="561D0EE4"/>
    <w:rsid w:val="56381CFF"/>
    <w:rsid w:val="56413B9D"/>
    <w:rsid w:val="564A49B5"/>
    <w:rsid w:val="567F6071"/>
    <w:rsid w:val="568450F5"/>
    <w:rsid w:val="569F2063"/>
    <w:rsid w:val="56A361E7"/>
    <w:rsid w:val="56AA6FE2"/>
    <w:rsid w:val="56BA3D6E"/>
    <w:rsid w:val="56BE753D"/>
    <w:rsid w:val="56E951DA"/>
    <w:rsid w:val="56FA1290"/>
    <w:rsid w:val="5718013A"/>
    <w:rsid w:val="571B6E72"/>
    <w:rsid w:val="571E3F4F"/>
    <w:rsid w:val="572B364D"/>
    <w:rsid w:val="573335D8"/>
    <w:rsid w:val="57484712"/>
    <w:rsid w:val="575B5A47"/>
    <w:rsid w:val="57730B4A"/>
    <w:rsid w:val="579B6156"/>
    <w:rsid w:val="57A568E2"/>
    <w:rsid w:val="57C46AA0"/>
    <w:rsid w:val="57CC35EC"/>
    <w:rsid w:val="57D94A09"/>
    <w:rsid w:val="58033BA1"/>
    <w:rsid w:val="581873C1"/>
    <w:rsid w:val="5843124B"/>
    <w:rsid w:val="585E63F3"/>
    <w:rsid w:val="5860251C"/>
    <w:rsid w:val="58816DCF"/>
    <w:rsid w:val="589957C9"/>
    <w:rsid w:val="58A97D96"/>
    <w:rsid w:val="58AB7710"/>
    <w:rsid w:val="58B84EC7"/>
    <w:rsid w:val="58C46A9D"/>
    <w:rsid w:val="58CE4157"/>
    <w:rsid w:val="58D8509B"/>
    <w:rsid w:val="58DD76D5"/>
    <w:rsid w:val="58EE4C57"/>
    <w:rsid w:val="58FE2101"/>
    <w:rsid w:val="58FE489D"/>
    <w:rsid w:val="59142FEA"/>
    <w:rsid w:val="592A087B"/>
    <w:rsid w:val="59341E35"/>
    <w:rsid w:val="593F02C5"/>
    <w:rsid w:val="59675892"/>
    <w:rsid w:val="59806531"/>
    <w:rsid w:val="598A6049"/>
    <w:rsid w:val="599D0BC5"/>
    <w:rsid w:val="59B022B3"/>
    <w:rsid w:val="59BF689B"/>
    <w:rsid w:val="59DC0C05"/>
    <w:rsid w:val="5A14085B"/>
    <w:rsid w:val="5A152D05"/>
    <w:rsid w:val="5A267050"/>
    <w:rsid w:val="5A375A3B"/>
    <w:rsid w:val="5A6B4BF2"/>
    <w:rsid w:val="5A9565ED"/>
    <w:rsid w:val="5AA03E00"/>
    <w:rsid w:val="5AAC7303"/>
    <w:rsid w:val="5AB27D82"/>
    <w:rsid w:val="5AB441F1"/>
    <w:rsid w:val="5AB76E6F"/>
    <w:rsid w:val="5ADB6AF5"/>
    <w:rsid w:val="5AFF6D17"/>
    <w:rsid w:val="5B0135A9"/>
    <w:rsid w:val="5B0E2272"/>
    <w:rsid w:val="5B133B59"/>
    <w:rsid w:val="5B2F43E8"/>
    <w:rsid w:val="5B34331D"/>
    <w:rsid w:val="5B417705"/>
    <w:rsid w:val="5B582B6E"/>
    <w:rsid w:val="5B6C7DFF"/>
    <w:rsid w:val="5B6F0638"/>
    <w:rsid w:val="5B796E52"/>
    <w:rsid w:val="5B84233F"/>
    <w:rsid w:val="5B9306C2"/>
    <w:rsid w:val="5BAC1909"/>
    <w:rsid w:val="5BB45211"/>
    <w:rsid w:val="5BEA5F2F"/>
    <w:rsid w:val="5BF50DD4"/>
    <w:rsid w:val="5C130AE7"/>
    <w:rsid w:val="5C392731"/>
    <w:rsid w:val="5C3D7B5C"/>
    <w:rsid w:val="5C473496"/>
    <w:rsid w:val="5C6F7DD5"/>
    <w:rsid w:val="5C827AC7"/>
    <w:rsid w:val="5CC47404"/>
    <w:rsid w:val="5CC85E32"/>
    <w:rsid w:val="5CD126B7"/>
    <w:rsid w:val="5CD90488"/>
    <w:rsid w:val="5CF06287"/>
    <w:rsid w:val="5D4528E9"/>
    <w:rsid w:val="5D452FF7"/>
    <w:rsid w:val="5D4B0294"/>
    <w:rsid w:val="5D8E0BB9"/>
    <w:rsid w:val="5DBC7A8B"/>
    <w:rsid w:val="5DD21432"/>
    <w:rsid w:val="5DDA0316"/>
    <w:rsid w:val="5DEE3C07"/>
    <w:rsid w:val="5DF35825"/>
    <w:rsid w:val="5E0C1843"/>
    <w:rsid w:val="5E154AE7"/>
    <w:rsid w:val="5E4C72CB"/>
    <w:rsid w:val="5E7A06E9"/>
    <w:rsid w:val="5E7E51E9"/>
    <w:rsid w:val="5E9F1478"/>
    <w:rsid w:val="5EB05D66"/>
    <w:rsid w:val="5EB35B76"/>
    <w:rsid w:val="5EBA25F0"/>
    <w:rsid w:val="5EDC0F8D"/>
    <w:rsid w:val="5EE80130"/>
    <w:rsid w:val="5F536344"/>
    <w:rsid w:val="5F576AF0"/>
    <w:rsid w:val="5F950263"/>
    <w:rsid w:val="5F99355A"/>
    <w:rsid w:val="5FD67486"/>
    <w:rsid w:val="5FE97A06"/>
    <w:rsid w:val="5FF178B3"/>
    <w:rsid w:val="60391E0B"/>
    <w:rsid w:val="60594954"/>
    <w:rsid w:val="607129B7"/>
    <w:rsid w:val="60A9768E"/>
    <w:rsid w:val="60C549CA"/>
    <w:rsid w:val="60C71C2C"/>
    <w:rsid w:val="60F9686A"/>
    <w:rsid w:val="61001738"/>
    <w:rsid w:val="61055379"/>
    <w:rsid w:val="611C66A1"/>
    <w:rsid w:val="61286FF5"/>
    <w:rsid w:val="61440D99"/>
    <w:rsid w:val="614B0B19"/>
    <w:rsid w:val="61564A2D"/>
    <w:rsid w:val="615A522D"/>
    <w:rsid w:val="616537B1"/>
    <w:rsid w:val="61665D30"/>
    <w:rsid w:val="6177088C"/>
    <w:rsid w:val="61A7420E"/>
    <w:rsid w:val="61AB4AF9"/>
    <w:rsid w:val="61C50306"/>
    <w:rsid w:val="61C67820"/>
    <w:rsid w:val="61F078D4"/>
    <w:rsid w:val="620747F7"/>
    <w:rsid w:val="62085D17"/>
    <w:rsid w:val="62093282"/>
    <w:rsid w:val="622929AA"/>
    <w:rsid w:val="62707FA3"/>
    <w:rsid w:val="62775F15"/>
    <w:rsid w:val="62837399"/>
    <w:rsid w:val="628A2E92"/>
    <w:rsid w:val="62AC2BDB"/>
    <w:rsid w:val="62D5368F"/>
    <w:rsid w:val="62D954D0"/>
    <w:rsid w:val="62EC1AA8"/>
    <w:rsid w:val="63066AA6"/>
    <w:rsid w:val="632120DC"/>
    <w:rsid w:val="63475AF6"/>
    <w:rsid w:val="634A4189"/>
    <w:rsid w:val="636D7A77"/>
    <w:rsid w:val="638424F0"/>
    <w:rsid w:val="639A37A3"/>
    <w:rsid w:val="63D0365C"/>
    <w:rsid w:val="63DA4B71"/>
    <w:rsid w:val="63E64D47"/>
    <w:rsid w:val="63EE60A5"/>
    <w:rsid w:val="63FD0987"/>
    <w:rsid w:val="642A48BD"/>
    <w:rsid w:val="642A69EA"/>
    <w:rsid w:val="644C29D6"/>
    <w:rsid w:val="64837A0A"/>
    <w:rsid w:val="64A05980"/>
    <w:rsid w:val="64A9179D"/>
    <w:rsid w:val="64BC7DE6"/>
    <w:rsid w:val="64C25E24"/>
    <w:rsid w:val="64C36B4A"/>
    <w:rsid w:val="64CC5E21"/>
    <w:rsid w:val="64CD6729"/>
    <w:rsid w:val="64D87B03"/>
    <w:rsid w:val="64DC1AE5"/>
    <w:rsid w:val="65031137"/>
    <w:rsid w:val="6517390F"/>
    <w:rsid w:val="651C0DEA"/>
    <w:rsid w:val="6527617A"/>
    <w:rsid w:val="65401451"/>
    <w:rsid w:val="65562C21"/>
    <w:rsid w:val="65612026"/>
    <w:rsid w:val="6561515F"/>
    <w:rsid w:val="65852FE1"/>
    <w:rsid w:val="65981DD4"/>
    <w:rsid w:val="65AA6489"/>
    <w:rsid w:val="660C5629"/>
    <w:rsid w:val="66152A1B"/>
    <w:rsid w:val="662A324F"/>
    <w:rsid w:val="666D61EC"/>
    <w:rsid w:val="667725EE"/>
    <w:rsid w:val="6678391C"/>
    <w:rsid w:val="667D7572"/>
    <w:rsid w:val="668331E0"/>
    <w:rsid w:val="668839F4"/>
    <w:rsid w:val="66A4363B"/>
    <w:rsid w:val="66E41053"/>
    <w:rsid w:val="66EE0716"/>
    <w:rsid w:val="66F30FA0"/>
    <w:rsid w:val="670851A1"/>
    <w:rsid w:val="672733E0"/>
    <w:rsid w:val="67344370"/>
    <w:rsid w:val="673E791E"/>
    <w:rsid w:val="67403649"/>
    <w:rsid w:val="674F6B9C"/>
    <w:rsid w:val="67573030"/>
    <w:rsid w:val="67626EE2"/>
    <w:rsid w:val="6789544E"/>
    <w:rsid w:val="67C21A74"/>
    <w:rsid w:val="67C64DBD"/>
    <w:rsid w:val="67C84673"/>
    <w:rsid w:val="67CC6F49"/>
    <w:rsid w:val="67DE66E1"/>
    <w:rsid w:val="67E53ED6"/>
    <w:rsid w:val="67ED5404"/>
    <w:rsid w:val="680918D5"/>
    <w:rsid w:val="6810327E"/>
    <w:rsid w:val="6830630E"/>
    <w:rsid w:val="683D67E8"/>
    <w:rsid w:val="688E3A07"/>
    <w:rsid w:val="68905DA5"/>
    <w:rsid w:val="68BB6AA9"/>
    <w:rsid w:val="68D57A52"/>
    <w:rsid w:val="68D81FDD"/>
    <w:rsid w:val="68DB4CCA"/>
    <w:rsid w:val="690B0844"/>
    <w:rsid w:val="69585C34"/>
    <w:rsid w:val="696E4D8A"/>
    <w:rsid w:val="69A10D70"/>
    <w:rsid w:val="69A91790"/>
    <w:rsid w:val="69B61D59"/>
    <w:rsid w:val="69C43D0E"/>
    <w:rsid w:val="69E5728D"/>
    <w:rsid w:val="69E937CB"/>
    <w:rsid w:val="69FC1CD1"/>
    <w:rsid w:val="6A202E06"/>
    <w:rsid w:val="6A555435"/>
    <w:rsid w:val="6A716CFF"/>
    <w:rsid w:val="6A8574FB"/>
    <w:rsid w:val="6AB32691"/>
    <w:rsid w:val="6AC03443"/>
    <w:rsid w:val="6AD3119D"/>
    <w:rsid w:val="6AE777E2"/>
    <w:rsid w:val="6AEA41F5"/>
    <w:rsid w:val="6AF35FE7"/>
    <w:rsid w:val="6AFE7044"/>
    <w:rsid w:val="6B20025B"/>
    <w:rsid w:val="6B30412F"/>
    <w:rsid w:val="6B41513A"/>
    <w:rsid w:val="6B5053E5"/>
    <w:rsid w:val="6B5974C3"/>
    <w:rsid w:val="6B5C5392"/>
    <w:rsid w:val="6B727A25"/>
    <w:rsid w:val="6B7C43D1"/>
    <w:rsid w:val="6BD47239"/>
    <w:rsid w:val="6BD70068"/>
    <w:rsid w:val="6BF4434D"/>
    <w:rsid w:val="6C0415B9"/>
    <w:rsid w:val="6C054D2F"/>
    <w:rsid w:val="6C097E20"/>
    <w:rsid w:val="6C101C25"/>
    <w:rsid w:val="6C20014C"/>
    <w:rsid w:val="6C206465"/>
    <w:rsid w:val="6C39256F"/>
    <w:rsid w:val="6C424720"/>
    <w:rsid w:val="6C732282"/>
    <w:rsid w:val="6C8D33CA"/>
    <w:rsid w:val="6C8D4D73"/>
    <w:rsid w:val="6CA50E25"/>
    <w:rsid w:val="6CA7330B"/>
    <w:rsid w:val="6CAA6D85"/>
    <w:rsid w:val="6CAD4807"/>
    <w:rsid w:val="6CB715D2"/>
    <w:rsid w:val="6CC61D18"/>
    <w:rsid w:val="6CD14C5E"/>
    <w:rsid w:val="6CD303D9"/>
    <w:rsid w:val="6CEF7ED4"/>
    <w:rsid w:val="6D1E2C38"/>
    <w:rsid w:val="6D253773"/>
    <w:rsid w:val="6D340695"/>
    <w:rsid w:val="6D3C35C0"/>
    <w:rsid w:val="6D542DBE"/>
    <w:rsid w:val="6D8C5B0E"/>
    <w:rsid w:val="6D9267AE"/>
    <w:rsid w:val="6D9E3E4A"/>
    <w:rsid w:val="6D9E3F83"/>
    <w:rsid w:val="6DB147FF"/>
    <w:rsid w:val="6DB34A06"/>
    <w:rsid w:val="6DBC294D"/>
    <w:rsid w:val="6DC41A33"/>
    <w:rsid w:val="6DE74A3F"/>
    <w:rsid w:val="6DED1DEA"/>
    <w:rsid w:val="6E0D32E8"/>
    <w:rsid w:val="6E1C6CE1"/>
    <w:rsid w:val="6E1D7182"/>
    <w:rsid w:val="6E1E073B"/>
    <w:rsid w:val="6E33285F"/>
    <w:rsid w:val="6E4D5317"/>
    <w:rsid w:val="6E5C5EAF"/>
    <w:rsid w:val="6E8A5DD0"/>
    <w:rsid w:val="6ED6426A"/>
    <w:rsid w:val="6F091777"/>
    <w:rsid w:val="6F19183A"/>
    <w:rsid w:val="6F255C3B"/>
    <w:rsid w:val="6F4F1AF8"/>
    <w:rsid w:val="6F662756"/>
    <w:rsid w:val="6F69140B"/>
    <w:rsid w:val="6F7A0F42"/>
    <w:rsid w:val="6F956F86"/>
    <w:rsid w:val="6F9A6053"/>
    <w:rsid w:val="6FA46733"/>
    <w:rsid w:val="6FB94145"/>
    <w:rsid w:val="6FF766F2"/>
    <w:rsid w:val="6FFA19C7"/>
    <w:rsid w:val="70165B82"/>
    <w:rsid w:val="70262826"/>
    <w:rsid w:val="702B4869"/>
    <w:rsid w:val="705624CA"/>
    <w:rsid w:val="705D7181"/>
    <w:rsid w:val="705E2382"/>
    <w:rsid w:val="70604E15"/>
    <w:rsid w:val="706237CF"/>
    <w:rsid w:val="7089280C"/>
    <w:rsid w:val="70911FFD"/>
    <w:rsid w:val="70974AC3"/>
    <w:rsid w:val="709B34AA"/>
    <w:rsid w:val="70DB4B43"/>
    <w:rsid w:val="70DD65CB"/>
    <w:rsid w:val="711C7979"/>
    <w:rsid w:val="71307700"/>
    <w:rsid w:val="71400D41"/>
    <w:rsid w:val="716D2DD4"/>
    <w:rsid w:val="71732168"/>
    <w:rsid w:val="71D90CE7"/>
    <w:rsid w:val="71EA1E42"/>
    <w:rsid w:val="7209652E"/>
    <w:rsid w:val="720D36B7"/>
    <w:rsid w:val="722F0848"/>
    <w:rsid w:val="72366451"/>
    <w:rsid w:val="724D516D"/>
    <w:rsid w:val="72576599"/>
    <w:rsid w:val="725E3FE9"/>
    <w:rsid w:val="7261077F"/>
    <w:rsid w:val="72616364"/>
    <w:rsid w:val="72652EF8"/>
    <w:rsid w:val="72680EA5"/>
    <w:rsid w:val="726B638A"/>
    <w:rsid w:val="729E7333"/>
    <w:rsid w:val="72A05305"/>
    <w:rsid w:val="72B26320"/>
    <w:rsid w:val="72B97B49"/>
    <w:rsid w:val="72D17C5B"/>
    <w:rsid w:val="72D53704"/>
    <w:rsid w:val="7342783D"/>
    <w:rsid w:val="737E33D4"/>
    <w:rsid w:val="738C66F2"/>
    <w:rsid w:val="739764D8"/>
    <w:rsid w:val="739A7D77"/>
    <w:rsid w:val="73AB71C2"/>
    <w:rsid w:val="73C36E05"/>
    <w:rsid w:val="73CC50D3"/>
    <w:rsid w:val="73D52522"/>
    <w:rsid w:val="73EC01DA"/>
    <w:rsid w:val="73F5545E"/>
    <w:rsid w:val="74032453"/>
    <w:rsid w:val="74297750"/>
    <w:rsid w:val="745329B0"/>
    <w:rsid w:val="745A56DF"/>
    <w:rsid w:val="74EF3915"/>
    <w:rsid w:val="751415C2"/>
    <w:rsid w:val="751C4AED"/>
    <w:rsid w:val="752B0782"/>
    <w:rsid w:val="753322E1"/>
    <w:rsid w:val="7539165A"/>
    <w:rsid w:val="753B2CC5"/>
    <w:rsid w:val="755B4725"/>
    <w:rsid w:val="75654C47"/>
    <w:rsid w:val="75761761"/>
    <w:rsid w:val="757715BB"/>
    <w:rsid w:val="75812C50"/>
    <w:rsid w:val="758D5FD6"/>
    <w:rsid w:val="75A3394F"/>
    <w:rsid w:val="75AA2381"/>
    <w:rsid w:val="75BA30BA"/>
    <w:rsid w:val="75BC5DE2"/>
    <w:rsid w:val="75C06752"/>
    <w:rsid w:val="75CF30A6"/>
    <w:rsid w:val="75FA5B2D"/>
    <w:rsid w:val="76063BD0"/>
    <w:rsid w:val="760D190E"/>
    <w:rsid w:val="76160E44"/>
    <w:rsid w:val="76207110"/>
    <w:rsid w:val="762E6AFD"/>
    <w:rsid w:val="764712AD"/>
    <w:rsid w:val="765B03EB"/>
    <w:rsid w:val="76702884"/>
    <w:rsid w:val="76B96623"/>
    <w:rsid w:val="76BB35DA"/>
    <w:rsid w:val="76C714FF"/>
    <w:rsid w:val="76D56903"/>
    <w:rsid w:val="76E93D66"/>
    <w:rsid w:val="76F24ABD"/>
    <w:rsid w:val="770158BD"/>
    <w:rsid w:val="77284215"/>
    <w:rsid w:val="772B2472"/>
    <w:rsid w:val="7752011E"/>
    <w:rsid w:val="77563C4F"/>
    <w:rsid w:val="776C5556"/>
    <w:rsid w:val="77AD3E2D"/>
    <w:rsid w:val="77E9342C"/>
    <w:rsid w:val="78126F7B"/>
    <w:rsid w:val="7822763B"/>
    <w:rsid w:val="78336BF3"/>
    <w:rsid w:val="78710EE7"/>
    <w:rsid w:val="78815423"/>
    <w:rsid w:val="789A6BF9"/>
    <w:rsid w:val="78A4416D"/>
    <w:rsid w:val="78B40F89"/>
    <w:rsid w:val="78BB5616"/>
    <w:rsid w:val="78BB7016"/>
    <w:rsid w:val="78D60904"/>
    <w:rsid w:val="79064A16"/>
    <w:rsid w:val="790B2D4C"/>
    <w:rsid w:val="79235603"/>
    <w:rsid w:val="792F31F8"/>
    <w:rsid w:val="794B74B5"/>
    <w:rsid w:val="79547615"/>
    <w:rsid w:val="796C3F80"/>
    <w:rsid w:val="7976560E"/>
    <w:rsid w:val="797B6DA0"/>
    <w:rsid w:val="799752E2"/>
    <w:rsid w:val="799E2168"/>
    <w:rsid w:val="79B5057C"/>
    <w:rsid w:val="79CF6DBE"/>
    <w:rsid w:val="79ED3B91"/>
    <w:rsid w:val="7A111D6A"/>
    <w:rsid w:val="7A215772"/>
    <w:rsid w:val="7A2B038A"/>
    <w:rsid w:val="7A3603FD"/>
    <w:rsid w:val="7A3A511D"/>
    <w:rsid w:val="7A41235E"/>
    <w:rsid w:val="7A416599"/>
    <w:rsid w:val="7A4707B6"/>
    <w:rsid w:val="7A874FE1"/>
    <w:rsid w:val="7AA36AEA"/>
    <w:rsid w:val="7AA37965"/>
    <w:rsid w:val="7AAA0B2A"/>
    <w:rsid w:val="7AC312C9"/>
    <w:rsid w:val="7AC55A8E"/>
    <w:rsid w:val="7ADD1685"/>
    <w:rsid w:val="7B197DC6"/>
    <w:rsid w:val="7B35327D"/>
    <w:rsid w:val="7B420C2D"/>
    <w:rsid w:val="7B726AAC"/>
    <w:rsid w:val="7B7438D8"/>
    <w:rsid w:val="7B7C2225"/>
    <w:rsid w:val="7B7D1422"/>
    <w:rsid w:val="7B880DFC"/>
    <w:rsid w:val="7BA27237"/>
    <w:rsid w:val="7BD25348"/>
    <w:rsid w:val="7BD601C8"/>
    <w:rsid w:val="7BDC262F"/>
    <w:rsid w:val="7BEA2ED6"/>
    <w:rsid w:val="7BF31490"/>
    <w:rsid w:val="7BFF4DF1"/>
    <w:rsid w:val="7C1559AF"/>
    <w:rsid w:val="7C3B687D"/>
    <w:rsid w:val="7C437D38"/>
    <w:rsid w:val="7C7B3EFE"/>
    <w:rsid w:val="7C7C3BDB"/>
    <w:rsid w:val="7C7F31E7"/>
    <w:rsid w:val="7C8F6FBF"/>
    <w:rsid w:val="7C947202"/>
    <w:rsid w:val="7CA308E4"/>
    <w:rsid w:val="7CBC3E4A"/>
    <w:rsid w:val="7CCC735C"/>
    <w:rsid w:val="7CDA0787"/>
    <w:rsid w:val="7CF001C0"/>
    <w:rsid w:val="7CF50C5B"/>
    <w:rsid w:val="7CFB72E4"/>
    <w:rsid w:val="7D0B252C"/>
    <w:rsid w:val="7D145579"/>
    <w:rsid w:val="7D1B12AB"/>
    <w:rsid w:val="7D2F7D50"/>
    <w:rsid w:val="7D3044B4"/>
    <w:rsid w:val="7D3743A7"/>
    <w:rsid w:val="7D3C4DB3"/>
    <w:rsid w:val="7D4C2B5A"/>
    <w:rsid w:val="7D7B1BFE"/>
    <w:rsid w:val="7D875AE3"/>
    <w:rsid w:val="7D99235E"/>
    <w:rsid w:val="7D993DC3"/>
    <w:rsid w:val="7D9E7A1F"/>
    <w:rsid w:val="7DD40D34"/>
    <w:rsid w:val="7DFA02A4"/>
    <w:rsid w:val="7DFA17DD"/>
    <w:rsid w:val="7E1864C5"/>
    <w:rsid w:val="7E1B05A0"/>
    <w:rsid w:val="7E413028"/>
    <w:rsid w:val="7E6137BD"/>
    <w:rsid w:val="7E616BFA"/>
    <w:rsid w:val="7E697F6C"/>
    <w:rsid w:val="7E7325E3"/>
    <w:rsid w:val="7E7E5924"/>
    <w:rsid w:val="7E887672"/>
    <w:rsid w:val="7E8C62F5"/>
    <w:rsid w:val="7E9F7B0F"/>
    <w:rsid w:val="7EA33313"/>
    <w:rsid w:val="7EF47535"/>
    <w:rsid w:val="7EF721A8"/>
    <w:rsid w:val="7F0732EA"/>
    <w:rsid w:val="7F141E05"/>
    <w:rsid w:val="7F167DB5"/>
    <w:rsid w:val="7F22296F"/>
    <w:rsid w:val="7F2415F9"/>
    <w:rsid w:val="7F874A09"/>
    <w:rsid w:val="7F8877EE"/>
    <w:rsid w:val="7F89119B"/>
    <w:rsid w:val="7F8C1A31"/>
    <w:rsid w:val="7F9466BD"/>
    <w:rsid w:val="7FAC0726"/>
    <w:rsid w:val="7FAF0662"/>
    <w:rsid w:val="7FD955AF"/>
    <w:rsid w:val="7FE11E38"/>
    <w:rsid w:val="7FE44A23"/>
    <w:rsid w:val="7FEE3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stroke weight=".25pt" endcap="round"/>
    </o:shapedefaults>
    <o:shapelayout v:ext="edit">
      <o:idmap v:ext="edit" data="1"/>
    </o:shapelayout>
  </w:shapeDefaults>
  <w:decimalSymbol w:val="."/>
  <w:listSeparator w:val=","/>
  <w14:docId w14:val="11163DA2"/>
  <w15:docId w15:val="{00D5B36A-085D-4CF1-BDF3-AC9C41FF4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3">
    <w:name w:val="heading 3"/>
    <w:basedOn w:val="a"/>
    <w:next w:val="a"/>
    <w:link w:val="30"/>
    <w:qFormat/>
    <w:pPr>
      <w:keepNext/>
      <w:keepLines/>
      <w:spacing w:before="260" w:after="260" w:line="413" w:lineRule="auto"/>
      <w:outlineLvl w:val="2"/>
    </w:pPr>
    <w:rPr>
      <w:b/>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sz w:val="18"/>
      <w:szCs w:val="18"/>
    </w:rPr>
  </w:style>
  <w:style w:type="paragraph" w:styleId="a5">
    <w:name w:val="annotation text"/>
    <w:basedOn w:val="a"/>
    <w:link w:val="2"/>
    <w:semiHidden/>
    <w:qFormat/>
    <w:pPr>
      <w:jc w:val="left"/>
    </w:pPr>
  </w:style>
  <w:style w:type="paragraph" w:styleId="a6">
    <w:name w:val="Body Text"/>
    <w:basedOn w:val="a"/>
    <w:uiPriority w:val="1"/>
    <w:qFormat/>
    <w:pPr>
      <w:ind w:left="140"/>
    </w:pPr>
    <w:rPr>
      <w:rFonts w:ascii="宋体" w:hAnsi="宋体" w:cs="宋体"/>
      <w:sz w:val="24"/>
      <w:szCs w:val="24"/>
      <w:lang w:val="zh-CN" w:bidi="zh-CN"/>
    </w:rPr>
  </w:style>
  <w:style w:type="paragraph" w:styleId="a7">
    <w:name w:val="Body Text Indent"/>
    <w:basedOn w:val="a"/>
    <w:qFormat/>
    <w:pPr>
      <w:spacing w:after="120"/>
      <w:ind w:leftChars="200" w:left="420"/>
    </w:pPr>
  </w:style>
  <w:style w:type="paragraph" w:styleId="a8">
    <w:name w:val="Balloon Text"/>
    <w:basedOn w:val="a"/>
    <w:semiHidden/>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kern w:val="0"/>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d">
    <w:name w:val="footnote text"/>
    <w:basedOn w:val="a"/>
    <w:link w:val="ae"/>
    <w:uiPriority w:val="99"/>
    <w:unhideWhenUsed/>
    <w:qFormat/>
    <w:pPr>
      <w:snapToGrid w:val="0"/>
      <w:jc w:val="left"/>
    </w:pPr>
    <w:rPr>
      <w:sz w:val="18"/>
    </w:rPr>
  </w:style>
  <w:style w:type="paragraph" w:styleId="af">
    <w:name w:val="annotation subject"/>
    <w:basedOn w:val="a5"/>
    <w:next w:val="a5"/>
    <w:semiHidden/>
    <w:qFormat/>
    <w:rPr>
      <w:b/>
      <w:bCs/>
    </w:rPr>
  </w:style>
  <w:style w:type="paragraph" w:styleId="af0">
    <w:name w:val="Body Text First Indent"/>
    <w:basedOn w:val="a6"/>
    <w:next w:val="20"/>
    <w:qFormat/>
    <w:pPr>
      <w:ind w:firstLineChars="100" w:firstLine="420"/>
    </w:pPr>
  </w:style>
  <w:style w:type="paragraph" w:styleId="20">
    <w:name w:val="Body Text First Indent 2"/>
    <w:basedOn w:val="a7"/>
    <w:uiPriority w:val="99"/>
    <w:unhideWhenUsed/>
    <w:qFormat/>
    <w:pPr>
      <w:ind w:firstLineChars="200" w:firstLine="420"/>
    </w:pPr>
  </w:style>
  <w:style w:type="table" w:styleId="af1">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uiPriority w:val="99"/>
    <w:unhideWhenUsed/>
    <w:qFormat/>
    <w:rPr>
      <w:color w:val="3894C1"/>
      <w:u w:val="none"/>
    </w:rPr>
  </w:style>
  <w:style w:type="character" w:styleId="af3">
    <w:name w:val="Emphasis"/>
    <w:uiPriority w:val="20"/>
    <w:qFormat/>
    <w:rPr>
      <w:i/>
      <w:iCs/>
    </w:rPr>
  </w:style>
  <w:style w:type="character" w:styleId="af4">
    <w:name w:val="Hyperlink"/>
    <w:uiPriority w:val="99"/>
    <w:unhideWhenUsed/>
    <w:qFormat/>
    <w:rPr>
      <w:color w:val="3894C1"/>
      <w:u w:val="none"/>
    </w:rPr>
  </w:style>
  <w:style w:type="character" w:styleId="af5">
    <w:name w:val="annotation reference"/>
    <w:uiPriority w:val="99"/>
    <w:qFormat/>
    <w:rPr>
      <w:sz w:val="21"/>
      <w:szCs w:val="21"/>
    </w:rPr>
  </w:style>
  <w:style w:type="character" w:styleId="af6">
    <w:name w:val="footnote reference"/>
    <w:uiPriority w:val="99"/>
    <w:unhideWhenUsed/>
    <w:qFormat/>
    <w:rPr>
      <w:vertAlign w:val="superscript"/>
    </w:rPr>
  </w:style>
  <w:style w:type="character" w:customStyle="1" w:styleId="30">
    <w:name w:val="标题 3 字符"/>
    <w:link w:val="3"/>
    <w:qFormat/>
    <w:rPr>
      <w:b/>
      <w:sz w:val="32"/>
    </w:rPr>
  </w:style>
  <w:style w:type="character" w:customStyle="1" w:styleId="a4">
    <w:name w:val="文档结构图 字符"/>
    <w:link w:val="a3"/>
    <w:uiPriority w:val="99"/>
    <w:semiHidden/>
    <w:qFormat/>
    <w:rPr>
      <w:rFonts w:ascii="宋体"/>
      <w:kern w:val="2"/>
      <w:sz w:val="18"/>
      <w:szCs w:val="18"/>
    </w:rPr>
  </w:style>
  <w:style w:type="character" w:customStyle="1" w:styleId="2">
    <w:name w:val="批注文字 字符2"/>
    <w:link w:val="a5"/>
    <w:semiHidden/>
    <w:qFormat/>
    <w:rPr>
      <w:rFonts w:ascii="Times New Roman" w:hAnsi="Times New Roman"/>
      <w:kern w:val="2"/>
      <w:sz w:val="21"/>
    </w:rPr>
  </w:style>
  <w:style w:type="character" w:customStyle="1" w:styleId="aa">
    <w:name w:val="页脚 字符"/>
    <w:link w:val="a9"/>
    <w:uiPriority w:val="99"/>
    <w:qFormat/>
    <w:rPr>
      <w:sz w:val="18"/>
      <w:szCs w:val="18"/>
    </w:rPr>
  </w:style>
  <w:style w:type="character" w:customStyle="1" w:styleId="ac">
    <w:name w:val="页眉 字符"/>
    <w:link w:val="ab"/>
    <w:uiPriority w:val="99"/>
    <w:qFormat/>
    <w:rPr>
      <w:sz w:val="18"/>
      <w:szCs w:val="18"/>
    </w:rPr>
  </w:style>
  <w:style w:type="character" w:customStyle="1" w:styleId="ae">
    <w:name w:val="脚注文本 字符"/>
    <w:link w:val="ad"/>
    <w:uiPriority w:val="99"/>
    <w:qFormat/>
    <w:rPr>
      <w:rFonts w:ascii="Times New Roman" w:hAnsi="Times New Roman"/>
      <w:kern w:val="2"/>
      <w:sz w:val="18"/>
    </w:rPr>
  </w:style>
  <w:style w:type="character" w:customStyle="1" w:styleId="1">
    <w:name w:val="未处理的提及1"/>
    <w:uiPriority w:val="99"/>
    <w:unhideWhenUsed/>
    <w:qFormat/>
    <w:rPr>
      <w:color w:val="605E5C"/>
      <w:shd w:val="clear" w:color="auto" w:fill="E1DFDD"/>
    </w:rPr>
  </w:style>
  <w:style w:type="character" w:customStyle="1" w:styleId="10">
    <w:name w:val="批注文字 字符1"/>
    <w:semiHidden/>
    <w:qFormat/>
    <w:rPr>
      <w:rFonts w:ascii="Times New Roman" w:hAnsi="Times New Roman"/>
      <w:kern w:val="2"/>
      <w:sz w:val="21"/>
    </w:rPr>
  </w:style>
  <w:style w:type="character" w:customStyle="1" w:styleId="af7">
    <w:name w:val="批注文字 字符"/>
    <w:semiHidden/>
    <w:qFormat/>
    <w:rPr>
      <w:rFonts w:ascii="Times New Roman" w:hAnsi="Times New Roman"/>
      <w:kern w:val="2"/>
      <w:sz w:val="21"/>
    </w:rPr>
  </w:style>
  <w:style w:type="paragraph" w:customStyle="1" w:styleId="11">
    <w:name w:val="修订1"/>
    <w:uiPriority w:val="99"/>
    <w:unhideWhenUsed/>
    <w:qFormat/>
    <w:rPr>
      <w:kern w:val="2"/>
      <w:sz w:val="21"/>
    </w:rPr>
  </w:style>
  <w:style w:type="paragraph" w:customStyle="1" w:styleId="Char">
    <w:name w:val="Char"/>
    <w:basedOn w:val="a"/>
    <w:qFormat/>
    <w:pPr>
      <w:spacing w:line="360" w:lineRule="auto"/>
      <w:ind w:firstLineChars="257" w:firstLine="617"/>
    </w:pPr>
    <w:rPr>
      <w:rFonts w:eastAsia="仿宋_GB2312"/>
      <w:sz w:val="24"/>
      <w:szCs w:val="32"/>
      <w:lang w:val="en-GB"/>
    </w:rPr>
  </w:style>
  <w:style w:type="paragraph" w:customStyle="1" w:styleId="KWNormal">
    <w:name w:val="K&amp;W Normal"/>
    <w:qFormat/>
    <w:pPr>
      <w:spacing w:after="280" w:line="240" w:lineRule="atLeast"/>
      <w:jc w:val="both"/>
    </w:pPr>
    <w:rPr>
      <w:rFonts w:ascii="Arial" w:eastAsia="楷体_GB2312" w:hAnsi="Arial"/>
      <w:color w:val="000000"/>
      <w:lang w:eastAsia="en-US"/>
    </w:rPr>
  </w:style>
  <w:style w:type="paragraph" w:customStyle="1" w:styleId="110">
    <w:name w:val="修订11"/>
    <w:uiPriority w:val="99"/>
    <w:semiHidden/>
    <w:qFormat/>
    <w:rPr>
      <w:kern w:val="2"/>
      <w:sz w:val="21"/>
    </w:rPr>
  </w:style>
  <w:style w:type="paragraph" w:customStyle="1" w:styleId="21">
    <w:name w:val="修订2"/>
    <w:uiPriority w:val="99"/>
    <w:unhideWhenUsed/>
    <w:qFormat/>
    <w:rPr>
      <w:kern w:val="2"/>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Revision1">
    <w:name w:val="Revision1"/>
    <w:uiPriority w:val="99"/>
    <w:unhideWhenUsed/>
    <w:qFormat/>
    <w:rPr>
      <w:kern w:val="2"/>
      <w:sz w:val="21"/>
    </w:rPr>
  </w:style>
  <w:style w:type="paragraph" w:styleId="af8">
    <w:name w:val="List Paragraph"/>
    <w:basedOn w:val="a"/>
    <w:uiPriority w:val="34"/>
    <w:qFormat/>
    <w:pPr>
      <w:ind w:firstLineChars="200" w:firstLine="420"/>
    </w:pPr>
    <w:rPr>
      <w:szCs w:val="22"/>
    </w:rPr>
  </w:style>
  <w:style w:type="paragraph" w:customStyle="1" w:styleId="CharCharCharCharCharCharCharCharCharCharCharChar">
    <w:name w:val="Char Char Char Char Char Char Char Char Char Char Char Char"/>
    <w:basedOn w:val="a"/>
    <w:qFormat/>
    <w:pPr>
      <w:widowControl/>
      <w:spacing w:after="160" w:line="240" w:lineRule="exact"/>
      <w:jc w:val="left"/>
    </w:pPr>
    <w:rPr>
      <w:rFonts w:ascii="Tahoma" w:hAnsi="Tahoma" w:cs="Tahoma"/>
      <w:szCs w:val="21"/>
    </w:rPr>
  </w:style>
  <w:style w:type="paragraph" w:customStyle="1" w:styleId="31">
    <w:name w:val="修订3"/>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15022</Words>
  <Characters>15323</Characters>
  <Application>Microsoft Office Word</Application>
  <DocSecurity>0</DocSecurity>
  <Lines>638</Lines>
  <Paragraphs>551</Paragraphs>
  <ScaleCrop>false</ScaleCrop>
  <Company>BOC</Company>
  <LinksUpToDate>false</LinksUpToDate>
  <CharactersWithSpaces>29794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5811224083-华夏银行-机构-C份额</dc:title>
  <dc:creator>交银理财</dc:creator>
  <cp:lastModifiedBy>admin</cp:lastModifiedBy>
  <cp:revision>2</cp:revision>
  <cp:lastPrinted>2024-05-23T01:49:00Z</cp:lastPrinted>
  <dcterms:created xsi:type="dcterms:W3CDTF">2024-05-23T01:49:00Z</dcterms:created>
  <dcterms:modified xsi:type="dcterms:W3CDTF">2024-05-23T01:49:00Z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D1C5EFD65F5246BA98F18E16D079CCCE</vt:lpwstr>
  </property>
</Properties>
</file>