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bookmarkStart w:id="0" w:name="_GoBack"/>
      <w:r>
        <w:rPr>
          <w:rFonts w:ascii="黑体" w:hAnsi="黑体" w:eastAsia="黑体"/>
          <w:b/>
          <w:bCs/>
          <w:sz w:val="28"/>
          <w:szCs w:val="28"/>
        </w:rPr>
        <w:t>风险揭示书</w:t>
      </w:r>
      <w:bookmarkEnd w:id="0"/>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bCs/>
          <w:sz w:val="18"/>
          <w:szCs w:val="18"/>
        </w:rPr>
        <w:t>【</w:t>
      </w:r>
      <w:r>
        <w:rPr>
          <w:rFonts w:ascii="宋体" w:hAnsi="宋体"/>
          <w:bCs/>
          <w:sz w:val="18"/>
          <w:szCs w:val="18"/>
        </w:rPr>
        <w:t>兴银理财添利天天利24号净值型理财产品</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Theme="majorEastAsia" w:hAnsiTheme="majorEastAsia" w:eastAsiaTheme="majorEastAsia"/>
          <w:bCs/>
          <w:kern w:val="0"/>
          <w:sz w:val="18"/>
          <w:szCs w:val="18"/>
        </w:rPr>
        <w:t>【</w:t>
      </w:r>
      <w:r>
        <w:rPr>
          <w:rFonts w:hint="eastAsia" w:ascii="宋体" w:hAnsi="宋体"/>
          <w:bCs/>
          <w:sz w:val="18"/>
          <w:szCs w:val="18"/>
        </w:rPr>
        <w:t>兴银添利天天利24号</w:t>
      </w:r>
      <w:r>
        <w:rPr>
          <w:rFonts w:asciiTheme="minorHAnsi" w:hAnsiTheme="minorHAnsi" w:cstheme="minorHAnsi"/>
          <w:bCs/>
          <w:sz w:val="18"/>
          <w:szCs w:val="18"/>
        </w:rPr>
        <w:t>O</w:t>
      </w:r>
      <w:r>
        <w:rPr>
          <w:rFonts w:hint="eastAsia" w:asciiTheme="majorEastAsia" w:hAnsiTheme="majorEastAsia" w:eastAsiaTheme="majorEastAsia"/>
          <w:bCs/>
          <w:kern w:val="0"/>
          <w:sz w:val="18"/>
          <w:szCs w:val="18"/>
        </w:rPr>
        <w:t>】</w:t>
      </w:r>
      <w:r>
        <w:rPr>
          <w:rFonts w:hint="eastAsia" w:ascii="宋体" w:hAnsi="宋体" w:cs="仿宋_GB2312"/>
          <w:kern w:val="0"/>
          <w:sz w:val="18"/>
          <w:szCs w:val="18"/>
        </w:rPr>
        <w:t>。（适用【</w:t>
      </w:r>
      <w:r>
        <w:rPr>
          <w:rFonts w:asciiTheme="minorHAnsi" w:hAnsiTheme="minorHAnsi" w:cstheme="minorHAnsi"/>
          <w:kern w:val="0"/>
          <w:sz w:val="18"/>
          <w:szCs w:val="18"/>
        </w:rPr>
        <w:t>O</w:t>
      </w:r>
      <w:r>
        <w:rPr>
          <w:rFonts w:hint="eastAsia" w:ascii="宋体" w:hAnsi="宋体" w:cs="仿宋_GB2312"/>
          <w:kern w:val="0"/>
          <w:sz w:val="18"/>
          <w:szCs w:val="18"/>
        </w:rPr>
        <w:t>】类份额）</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宋体" w:hAnsi="宋体"/>
          <w:bCs/>
          <w:sz w:val="18"/>
          <w:szCs w:val="18"/>
        </w:rPr>
        <w:t>Z7002023000418</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rPr>
        <w:t>销售机构认为本产品适合以下投资者类型：</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■个人投资者</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 CR1、■ CR2、■ CR3、■ CR4、■ CR5</w:t>
      </w:r>
      <w:r>
        <w:rPr>
          <w:rFonts w:asciiTheme="majorEastAsia" w:hAnsiTheme="majorEastAsia" w:eastAsiaTheme="majorEastAsia"/>
          <w:bCs/>
          <w:color w:val="000000" w:themeColor="text1"/>
          <w:sz w:val="18"/>
          <w:szCs w:val="18"/>
        </w:rPr>
        <w:t>】</w:t>
      </w:r>
      <w:r>
        <w:rPr>
          <w:rFonts w:hint="eastAsia" w:asciiTheme="majorEastAsia" w:hAnsiTheme="majorEastAsia" w:eastAsiaTheme="majorEastAsia"/>
          <w:bCs/>
          <w:color w:val="000000" w:themeColor="text1"/>
          <w:sz w:val="18"/>
          <w:szCs w:val="18"/>
        </w:rPr>
        <w:t>。</w:t>
      </w:r>
    </w:p>
    <w:p>
      <w:pPr>
        <w:ind w:firstLine="360" w:firstLineChars="200"/>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客户，■金融同业客户。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pStyle w:val="13"/>
        <w:ind w:firstLine="426" w:firstLineChars="0"/>
        <w:rPr>
          <w:rFonts w:ascii="宋体" w:hAnsi="宋体"/>
          <w:sz w:val="18"/>
          <w:szCs w:val="18"/>
        </w:rPr>
      </w:pPr>
      <w:r>
        <w:rPr>
          <w:rFonts w:hint="eastAsia" w:ascii="宋体" w:hAnsi="宋体"/>
          <w:sz w:val="18"/>
          <w:szCs w:val="18"/>
        </w:rPr>
        <w:t>（一）投资者投资本产品可能面临的特定风险主要包括（但不限于）：</w:t>
      </w:r>
    </w:p>
    <w:p>
      <w:pPr>
        <w:pStyle w:val="13"/>
        <w:ind w:firstLine="426" w:firstLineChars="0"/>
        <w:rPr>
          <w:rFonts w:ascii="宋体" w:hAnsi="宋体"/>
          <w:sz w:val="18"/>
          <w:szCs w:val="18"/>
        </w:rPr>
      </w:pPr>
      <w:r>
        <w:rPr>
          <w:rFonts w:hint="eastAsia" w:ascii="宋体" w:hAnsi="宋体"/>
          <w:sz w:val="18"/>
          <w:szCs w:val="18"/>
        </w:rPr>
        <w:t>1.拟投资市场和资产的风险：</w:t>
      </w:r>
    </w:p>
    <w:p>
      <w:pPr>
        <w:pStyle w:val="13"/>
        <w:ind w:firstLine="426" w:firstLineChars="0"/>
        <w:rPr>
          <w:rFonts w:ascii="宋体" w:hAnsi="宋体"/>
          <w:sz w:val="18"/>
          <w:szCs w:val="18"/>
        </w:rPr>
      </w:pPr>
      <w:r>
        <w:rPr>
          <w:rFonts w:hint="eastAsia" w:ascii="宋体" w:hAnsi="宋体"/>
          <w:sz w:val="18"/>
          <w:szCs w:val="18"/>
        </w:rPr>
        <w:t>（1）投资固定收益类资产的风险</w:t>
      </w:r>
    </w:p>
    <w:p>
      <w:pPr>
        <w:pStyle w:val="13"/>
        <w:ind w:firstLine="426" w:firstLineChars="0"/>
        <w:rPr>
          <w:rFonts w:ascii="宋体" w:hAnsi="宋体"/>
          <w:sz w:val="18"/>
          <w:szCs w:val="18"/>
        </w:rPr>
      </w:pPr>
      <w:r>
        <w:rPr>
          <w:rFonts w:hint="eastAsia" w:ascii="宋体" w:hAnsi="宋体"/>
          <w:sz w:val="18"/>
          <w:szCs w:val="18"/>
        </w:rPr>
        <w:t>1）投资标准化债权类资产的风险</w:t>
      </w:r>
    </w:p>
    <w:p>
      <w:pPr>
        <w:pStyle w:val="13"/>
        <w:ind w:firstLine="426" w:firstLineChars="0"/>
        <w:rPr>
          <w:rFonts w:ascii="宋体" w:hAnsi="宋体"/>
          <w:sz w:val="18"/>
          <w:szCs w:val="18"/>
        </w:rPr>
      </w:pPr>
      <w:r>
        <w:rPr>
          <w:rFonts w:hint="eastAsia" w:ascii="宋体" w:hAnsi="宋体"/>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13"/>
        <w:ind w:firstLine="426" w:firstLineChars="0"/>
        <w:rPr>
          <w:rFonts w:ascii="宋体" w:hAnsi="宋体"/>
          <w:sz w:val="18"/>
          <w:szCs w:val="18"/>
        </w:rPr>
      </w:pPr>
      <w:r>
        <w:rPr>
          <w:rFonts w:hint="eastAsia" w:ascii="宋体" w:hAnsi="宋体"/>
          <w:sz w:val="18"/>
          <w:szCs w:val="18"/>
        </w:rPr>
        <w:t xml:space="preserve">★注：以上特定风险仅为列举性质，未能详尽列明投资本产品可能面临的全部风险和可能导致投资者投资本金及收益损失的所有因素。 </w:t>
      </w:r>
    </w:p>
    <w:p>
      <w:pPr>
        <w:pStyle w:val="13"/>
        <w:ind w:firstLine="426" w:firstLineChars="0"/>
        <w:rPr>
          <w:rFonts w:ascii="宋体" w:hAnsi="宋体"/>
          <w:sz w:val="18"/>
          <w:szCs w:val="18"/>
        </w:rPr>
      </w:pPr>
      <w:r>
        <w:rPr>
          <w:rFonts w:hint="eastAsia" w:ascii="宋体" w:hAnsi="宋体"/>
          <w:sz w:val="18"/>
          <w:szCs w:val="18"/>
        </w:rPr>
        <w:t xml:space="preserve">（二）投资者投资本产品可能面临的一般风险主要包括（但不限于）： </w:t>
      </w:r>
    </w:p>
    <w:p>
      <w:pPr>
        <w:pStyle w:val="13"/>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13"/>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13"/>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13"/>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13"/>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13"/>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13"/>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13"/>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rPr>
        <w:t>本理财产品可能</w:t>
      </w:r>
      <w:r>
        <w:rPr>
          <w:rFonts w:asciiTheme="majorEastAsia" w:hAnsiTheme="majorEastAsia" w:eastAsiaTheme="majorEastAsia"/>
          <w:bCs/>
          <w:color w:val="000000" w:themeColor="text1"/>
          <w:sz w:val="18"/>
          <w:szCs w:val="18"/>
        </w:rPr>
        <w:t>投资符合监管</w:t>
      </w:r>
      <w:r>
        <w:rPr>
          <w:rFonts w:hint="eastAsia" w:asciiTheme="majorEastAsia" w:hAnsiTheme="majorEastAsia" w:eastAsiaTheme="majorEastAsia"/>
          <w:bCs/>
          <w:color w:val="000000" w:themeColor="text1"/>
          <w:sz w:val="18"/>
          <w:szCs w:val="18"/>
        </w:rPr>
        <w:t>要求的资产管理产品（包括但不限于信托计划、</w:t>
      </w:r>
      <w:r>
        <w:rPr>
          <w:rFonts w:hint="eastAsia" w:asciiTheme="majorEastAsia" w:hAnsiTheme="majorEastAsia" w:eastAsiaTheme="majorEastAsia"/>
          <w:bCs/>
          <w:color w:val="000000" w:themeColor="text1"/>
          <w:kern w:val="0"/>
          <w:sz w:val="18"/>
          <w:szCs w:val="18"/>
        </w:rPr>
        <w:t>公募基金、基金公司或子公司资产管理计划、证券公司资产管理计划、</w:t>
      </w:r>
      <w:r>
        <w:rPr>
          <w:rFonts w:hint="eastAsia" w:asciiTheme="majorEastAsia" w:hAnsiTheme="majorEastAsia" w:eastAsiaTheme="majorEastAsia"/>
          <w:bCs/>
          <w:color w:val="000000" w:themeColor="text1"/>
          <w:sz w:val="18"/>
          <w:szCs w:val="18"/>
        </w:rPr>
        <w:t>期货资产管理计划、</w:t>
      </w:r>
      <w:r>
        <w:rPr>
          <w:rFonts w:hint="eastAsia" w:asciiTheme="majorEastAsia" w:hAnsiTheme="majorEastAsia" w:eastAsiaTheme="majorEastAsia"/>
          <w:bCs/>
          <w:color w:val="000000" w:themeColor="text1"/>
          <w:kern w:val="0"/>
          <w:sz w:val="18"/>
          <w:szCs w:val="18"/>
        </w:rPr>
        <w:t>保险资产管理计划</w:t>
      </w:r>
      <w:r>
        <w:rPr>
          <w:rFonts w:hint="eastAsia" w:asciiTheme="majorEastAsia" w:hAnsiTheme="majorEastAsia" w:eastAsiaTheme="majorEastAsia"/>
          <w:bCs/>
          <w:color w:val="000000" w:themeColor="text1"/>
          <w:sz w:val="18"/>
          <w:szCs w:val="18"/>
        </w:rPr>
        <w:t>等），前述资产管理产品的管理人可能收取</w:t>
      </w:r>
      <w:r>
        <w:rPr>
          <w:rFonts w:asciiTheme="majorEastAsia" w:hAnsiTheme="majorEastAsia" w:eastAsiaTheme="majorEastAsia"/>
          <w:bCs/>
          <w:color w:val="000000" w:themeColor="text1"/>
          <w:sz w:val="18"/>
          <w:szCs w:val="18"/>
        </w:rPr>
        <w:t>业绩报酬，</w:t>
      </w:r>
      <w:r>
        <w:rPr>
          <w:rFonts w:hint="eastAsia" w:asciiTheme="majorEastAsia" w:hAnsiTheme="majorEastAsia" w:eastAsiaTheme="majorEastAsia"/>
          <w:bCs/>
          <w:color w:val="000000" w:themeColor="text1"/>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rPr>
        <w:t>存在下跌的风险。</w:t>
      </w:r>
    </w:p>
    <w:p>
      <w:pPr>
        <w:pStyle w:val="13"/>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13"/>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13"/>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13"/>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 xml:space="preserve">销售机构 </w:t>
      </w:r>
      <w:r>
        <w:rPr>
          <w:rFonts w:ascii="宋体" w:hAnsi="宋体"/>
          <w:sz w:val="18"/>
          <w:szCs w:val="18"/>
        </w:rPr>
        <w:t>(</w:t>
      </w:r>
      <w:r>
        <w:rPr>
          <w:rFonts w:hint="eastAsia" w:ascii="宋体" w:hAnsi="宋体"/>
          <w:sz w:val="18"/>
          <w:szCs w:val="18"/>
        </w:rPr>
        <w:t>华夏银行股份有限公司）</w:t>
      </w:r>
    </w:p>
    <w:p>
      <w:pPr>
        <w:widowControl/>
        <w:jc w:val="righ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8"/>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8"/>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8"/>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sectPr>
      <w:headerReference r:id="rId3" w:type="default"/>
      <w:type w:val="continuous"/>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E8F"/>
    <w:rsid w:val="000546C5"/>
    <w:rsid w:val="00096AC8"/>
    <w:rsid w:val="000A244A"/>
    <w:rsid w:val="000B16F1"/>
    <w:rsid w:val="000B357F"/>
    <w:rsid w:val="000B473A"/>
    <w:rsid w:val="001104E8"/>
    <w:rsid w:val="00147C55"/>
    <w:rsid w:val="00152999"/>
    <w:rsid w:val="001B6E56"/>
    <w:rsid w:val="001E6CCA"/>
    <w:rsid w:val="001F0991"/>
    <w:rsid w:val="002072F9"/>
    <w:rsid w:val="0021635F"/>
    <w:rsid w:val="002233F8"/>
    <w:rsid w:val="00262560"/>
    <w:rsid w:val="00280E1D"/>
    <w:rsid w:val="002A7E4C"/>
    <w:rsid w:val="002B4BDD"/>
    <w:rsid w:val="002B63FC"/>
    <w:rsid w:val="002C604E"/>
    <w:rsid w:val="002F0B15"/>
    <w:rsid w:val="00346ED2"/>
    <w:rsid w:val="003473AC"/>
    <w:rsid w:val="00374070"/>
    <w:rsid w:val="003A0567"/>
    <w:rsid w:val="003A74E9"/>
    <w:rsid w:val="003D4F53"/>
    <w:rsid w:val="003E1A68"/>
    <w:rsid w:val="003E1E58"/>
    <w:rsid w:val="003F1C32"/>
    <w:rsid w:val="00420D74"/>
    <w:rsid w:val="00466605"/>
    <w:rsid w:val="004B12E1"/>
    <w:rsid w:val="004C7F5E"/>
    <w:rsid w:val="00500CD0"/>
    <w:rsid w:val="005241F0"/>
    <w:rsid w:val="00527A03"/>
    <w:rsid w:val="00550F63"/>
    <w:rsid w:val="00563E8F"/>
    <w:rsid w:val="005A7030"/>
    <w:rsid w:val="005C6FCB"/>
    <w:rsid w:val="005D2E0F"/>
    <w:rsid w:val="005F48BE"/>
    <w:rsid w:val="00631111"/>
    <w:rsid w:val="006538E1"/>
    <w:rsid w:val="006B2D08"/>
    <w:rsid w:val="00715381"/>
    <w:rsid w:val="007211D5"/>
    <w:rsid w:val="007303F6"/>
    <w:rsid w:val="007A7D23"/>
    <w:rsid w:val="007B017F"/>
    <w:rsid w:val="007C7189"/>
    <w:rsid w:val="007E6837"/>
    <w:rsid w:val="0080662E"/>
    <w:rsid w:val="00836C1F"/>
    <w:rsid w:val="00844DAB"/>
    <w:rsid w:val="008823D6"/>
    <w:rsid w:val="0089118C"/>
    <w:rsid w:val="00893C15"/>
    <w:rsid w:val="00894EE6"/>
    <w:rsid w:val="008A707D"/>
    <w:rsid w:val="008D3E86"/>
    <w:rsid w:val="008F2B54"/>
    <w:rsid w:val="008F78EB"/>
    <w:rsid w:val="0090633F"/>
    <w:rsid w:val="0095053F"/>
    <w:rsid w:val="00955293"/>
    <w:rsid w:val="0095781F"/>
    <w:rsid w:val="00981E5B"/>
    <w:rsid w:val="009E2B49"/>
    <w:rsid w:val="00A13A40"/>
    <w:rsid w:val="00A17212"/>
    <w:rsid w:val="00A52047"/>
    <w:rsid w:val="00A71196"/>
    <w:rsid w:val="00A72621"/>
    <w:rsid w:val="00A915EC"/>
    <w:rsid w:val="00A95D0C"/>
    <w:rsid w:val="00AA6673"/>
    <w:rsid w:val="00AE5AA3"/>
    <w:rsid w:val="00B06267"/>
    <w:rsid w:val="00B07DEF"/>
    <w:rsid w:val="00B13B6C"/>
    <w:rsid w:val="00B35D81"/>
    <w:rsid w:val="00B3723D"/>
    <w:rsid w:val="00BB513F"/>
    <w:rsid w:val="00BC1259"/>
    <w:rsid w:val="00BC2645"/>
    <w:rsid w:val="00BC398E"/>
    <w:rsid w:val="00BE1A3A"/>
    <w:rsid w:val="00BF3C6C"/>
    <w:rsid w:val="00C01696"/>
    <w:rsid w:val="00C12187"/>
    <w:rsid w:val="00C4233D"/>
    <w:rsid w:val="00CE5E8B"/>
    <w:rsid w:val="00D03CCD"/>
    <w:rsid w:val="00D46533"/>
    <w:rsid w:val="00D61696"/>
    <w:rsid w:val="00D91389"/>
    <w:rsid w:val="00DA2C69"/>
    <w:rsid w:val="00DA63EA"/>
    <w:rsid w:val="00DC316E"/>
    <w:rsid w:val="00DD246D"/>
    <w:rsid w:val="00DD5ABC"/>
    <w:rsid w:val="00DD6767"/>
    <w:rsid w:val="00DF29E0"/>
    <w:rsid w:val="00E2462B"/>
    <w:rsid w:val="00E504DE"/>
    <w:rsid w:val="00E56980"/>
    <w:rsid w:val="00E668E8"/>
    <w:rsid w:val="00E767F1"/>
    <w:rsid w:val="00E80603"/>
    <w:rsid w:val="00E874E9"/>
    <w:rsid w:val="00E95FF4"/>
    <w:rsid w:val="00EA2DC4"/>
    <w:rsid w:val="00EB34F9"/>
    <w:rsid w:val="00EC5C9A"/>
    <w:rsid w:val="00F264E0"/>
    <w:rsid w:val="00F26B46"/>
    <w:rsid w:val="00F34E57"/>
    <w:rsid w:val="00F57B20"/>
    <w:rsid w:val="00F60A85"/>
    <w:rsid w:val="00F8077D"/>
    <w:rsid w:val="00FA5239"/>
    <w:rsid w:val="00FF2DF6"/>
    <w:rsid w:val="010D724A"/>
    <w:rsid w:val="07E74602"/>
    <w:rsid w:val="10D1360B"/>
    <w:rsid w:val="15AD0BAD"/>
    <w:rsid w:val="168D0F1A"/>
    <w:rsid w:val="170569C3"/>
    <w:rsid w:val="1E7B3D45"/>
    <w:rsid w:val="20083C30"/>
    <w:rsid w:val="23024B39"/>
    <w:rsid w:val="297F1CB5"/>
    <w:rsid w:val="29815138"/>
    <w:rsid w:val="2ADD70B4"/>
    <w:rsid w:val="2BF34560"/>
    <w:rsid w:val="2EAA6E13"/>
    <w:rsid w:val="2F852421"/>
    <w:rsid w:val="2F857D62"/>
    <w:rsid w:val="3D7E057F"/>
    <w:rsid w:val="404F7502"/>
    <w:rsid w:val="42AE0E3E"/>
    <w:rsid w:val="437E197C"/>
    <w:rsid w:val="4E0603C3"/>
    <w:rsid w:val="5646025A"/>
    <w:rsid w:val="5E43730F"/>
    <w:rsid w:val="601969DF"/>
    <w:rsid w:val="63645352"/>
    <w:rsid w:val="72D26379"/>
    <w:rsid w:val="733D6AD6"/>
    <w:rsid w:val="75323B15"/>
    <w:rsid w:val="76AB3EC3"/>
    <w:rsid w:val="79C577A8"/>
    <w:rsid w:val="7A2C20FE"/>
    <w:rsid w:val="7B906998"/>
    <w:rsid w:val="7D0A5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5"/>
    <w:qFormat/>
    <w:uiPriority w:val="99"/>
    <w:rPr>
      <w:sz w:val="18"/>
      <w:szCs w:val="18"/>
    </w:rPr>
  </w:style>
  <w:style w:type="character" w:customStyle="1" w:styleId="12">
    <w:name w:val="页脚 Char"/>
    <w:basedOn w:val="9"/>
    <w:link w:val="4"/>
    <w:qFormat/>
    <w:uiPriority w:val="99"/>
    <w:rPr>
      <w:sz w:val="18"/>
      <w:szCs w:val="18"/>
    </w:rPr>
  </w:style>
  <w:style w:type="paragraph" w:styleId="13">
    <w:name w:val="List Paragraph"/>
    <w:basedOn w:val="1"/>
    <w:qFormat/>
    <w:uiPriority w:val="0"/>
    <w:pPr>
      <w:ind w:firstLine="420" w:firstLineChars="200"/>
    </w:pPr>
  </w:style>
  <w:style w:type="character" w:customStyle="1" w:styleId="14">
    <w:name w:val="批注文字 Char"/>
    <w:basedOn w:val="9"/>
    <w:link w:val="2"/>
    <w:semiHidden/>
    <w:qFormat/>
    <w:uiPriority w:val="99"/>
    <w:rPr>
      <w:rFonts w:ascii="Calibri" w:hAnsi="Calibri" w:eastAsia="宋体" w:cs="宋体"/>
    </w:rPr>
  </w:style>
  <w:style w:type="character" w:customStyle="1" w:styleId="15">
    <w:name w:val="批注主题 Char"/>
    <w:basedOn w:val="14"/>
    <w:link w:val="6"/>
    <w:semiHidden/>
    <w:qFormat/>
    <w:uiPriority w:val="99"/>
    <w:rPr>
      <w:rFonts w:ascii="Calibri" w:hAnsi="Calibri" w:eastAsia="宋体" w:cs="宋体"/>
      <w:b/>
      <w:bCs/>
    </w:rPr>
  </w:style>
  <w:style w:type="character" w:customStyle="1" w:styleId="16">
    <w:name w:val="批注框文本 Char"/>
    <w:basedOn w:val="9"/>
    <w:link w:val="3"/>
    <w:semiHidden/>
    <w:qFormat/>
    <w:uiPriority w:val="99"/>
    <w:rPr>
      <w:rFonts w:ascii="Calibri" w:hAnsi="Calibri"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753</Words>
  <Characters>4295</Characters>
  <Lines>35</Lines>
  <Paragraphs>10</Paragraphs>
  <TotalTime>1</TotalTime>
  <ScaleCrop>false</ScaleCrop>
  <LinksUpToDate>false</LinksUpToDate>
  <CharactersWithSpaces>5038</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2023-05-30T09:11:00Z</dcterms:created>
  <dc:creator>胡骁潇</dc:creator>
  <cp:lastModifiedBy>cib</cp:lastModifiedBy>
  <dcterms:modified xsi:type="dcterms:W3CDTF">2024-11-05T02:24:51Z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D71D26B9ADD3469C95A542751C0AA9E7</vt:lpwstr>
  </property>
</Properties>
</file>