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bCs/>
          <w:color w:val="000000"/>
          <w:sz w:val="32"/>
          <w:szCs w:val="21"/>
          <w:highlight w:val="none"/>
        </w:rPr>
      </w:pPr>
      <w:bookmarkStart w:id="4" w:name="_GoBack"/>
      <w:r>
        <w:rPr>
          <w:rFonts w:ascii="Arial" w:hAnsi="Arial" w:cs="Arial" w:eastAsiaTheme="minorEastAsia"/>
          <w:b/>
          <w:bCs/>
          <w:color w:val="000000"/>
          <w:sz w:val="32"/>
          <w:szCs w:val="21"/>
          <w:highlight w:val="none"/>
        </w:rPr>
        <w:t>平安理财新启航第483期封闭固收类理财产品</w:t>
      </w:r>
    </w:p>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平安理财新启航第483期封闭固收类理财产品</w:t>
            </w:r>
            <w:r>
              <w:rPr>
                <w:rFonts w:ascii="Arial" w:hAnsi="Arial" w:cs="Arial" w:eastAsiaTheme="minorEastAsia"/>
                <w:b/>
                <w:bCs/>
                <w:sz w:val="22"/>
                <w:highlight w:val="none"/>
              </w:rPr>
              <w:t>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平安理财新启航第483期封闭固收类理财产品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平安理财新启航第483期封闭固收类理财产品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QXFG03M483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中国银行股份有限公司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指产品管理人以及符合《理财公司理财产品销售管理暂行办法》和国家金融监督管理总局规定，办理理财产品销售业务的机构。具体销售服务机构信息以管理人公告为准</w:t>
            </w:r>
            <w:r>
              <w:rPr>
                <w:rFonts w:ascii="Arial" w:hAnsi="Arial" w:cs="Arial"/>
                <w:color w:val="000000"/>
                <w:sz w:val="22"/>
                <w:szCs w:val="22"/>
                <w:highlight w:val="none"/>
              </w:rPr>
              <w:t>。</w:t>
            </w:r>
            <w:r>
              <w:rPr>
                <w:rFonts w:ascii="Arial" w:hAnsi="Arial" w:cs="Arial"/>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产品登记编码：【Z7003324001104】，投资者可以根据该登记编号在中国理财网（网址：https://www.chinawealth.com.cn/）查询产品信息。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本理财产品发行时将产品份额分为A/B/C类别。其中：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中国银行股份有限公司的个人投资者和机构投资者销售，相关标准以销售服务机构为准。销售代码【QXFG03483A】，销售名称【平安理财新启航第483期封闭A】；B类份额面向中国银行股份有限公司的个人投资者和机构投资者销售，相关标准以销售服务机构为准。销售代码【QXFG03483B】，销售名称【（薪享）平安理财新启航第483期封闭B】；C类份额面向华夏银行股份有限公司的个人投资者和机构投资者销售，相关标准以销售服务机构为准。销售代码【QXFG03483C】，销售名称【平安理财新启航第483期封闭C】。</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A份额：认购起点为1元，超过认购起点部分应为0.01元的整数倍；B份额：认购起点为100元，超过认购起点部分应为0.01元的整数倍；C份额：认购起点为1元，超过认购起点部分应为0.01元的整数倍。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A份额单笔认购上限为1亿元；B份额单笔认购上限为1亿元；C份额单笔认购上限为1亿元。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50%的申请（在产品运作过程中因份额赎回、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A份额的业绩比较基准为年化【2.28%-3.08%】；B份额的业绩比较基准为年化【2.35%-3.15%】；C份额的业绩比较基准为年化【2.33%-3.13%】。</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1.固定管理费：管理人收取本理财产品固定管理费，各类份额固定管理费率不超过0.50%/年。固定管理费精确到小数点后2位，小数点2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2.销售服务费：销售服务机构收取本理财产品销售服务费，各类份额销售服务费率不超过0.50%/年。销售服务费精确到小数点后2位，小数点2位以后四舍五入。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3.托管费：托管人对本理财产品收取托管费，各类份额托管费率不超过0.03%/年。托管费精确到小数点后2位，小数点2位以后四舍五入。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30.00】%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2024年11月28日09:30 - 2024年12月4日17:00（不含），管理人保留延长或提前终止产品认购期的权利。如有变动，本理财产品实际认购期以管理人公告为准。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2024年12月5日（如遇非交易日顺延到下一个交易日）。如本理财产品认购期提前终止或延长，实际认购登记日以管理人实际公告为准。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2024年12月5日（如遇非交易日顺延到下一个交易日）。如本理财产品认购期提前终止或延长，实际成立日以管理人实际公告为准。产品管理人将在本理财产品成立日之后5个工作日内披露成立公告。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2025年3月27日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w:t>
            </w:r>
            <w:r>
              <w:rPr>
                <w:rFonts w:hint="eastAsia" w:ascii="Arial" w:hAnsi="Arial" w:cs="Arial" w:eastAsiaTheme="minorEastAsia"/>
                <w:sz w:val="22"/>
                <w:szCs w:val="22"/>
                <w:highlight w:val="none"/>
              </w:rPr>
              <w:t>告</w:t>
            </w:r>
            <w:r>
              <w:rPr>
                <w:rFonts w:ascii="Arial" w:hAnsi="Arial" w:cs="Arial" w:eastAsiaTheme="minorEastAsia"/>
                <w:sz w:val="22"/>
                <w:szCs w:val="22"/>
                <w:highlight w:val="none"/>
              </w:rPr>
              <w:t>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中国银行股份有限公司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中国银行股份有限公司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1983年10月31日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北京市西城区复兴门内大街1号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50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406"/>
        <w:gridCol w:w="2407"/>
        <w:gridCol w:w="36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Align w:val="center"/>
          </w:tcPr>
          <w:p>
            <w:pPr>
              <w:jc w:val="left"/>
              <w:rPr>
                <w:highlight w:val="none"/>
              </w:rPr>
            </w:pPr>
            <w:r>
              <w:rPr>
                <w:rFonts w:ascii="宋体" w:hAnsi="宋体" w:cs="宋体"/>
                <w:b/>
                <w:sz w:val="22"/>
                <w:highlight w:val="none"/>
              </w:rPr>
              <w:t>销售服务机构</w:t>
            </w:r>
          </w:p>
        </w:tc>
        <w:tc>
          <w:tcPr>
            <w:tcW w:w="500" w:type="dxa"/>
            <w:gridSpan w:val="2"/>
            <w:vAlign w:val="center"/>
          </w:tcPr>
          <w:p>
            <w:pPr>
              <w:jc w:val="left"/>
              <w:rPr>
                <w:highlight w:val="none"/>
              </w:rPr>
            </w:pPr>
            <w:r>
              <w:rPr>
                <w:rFonts w:ascii="宋体" w:hAnsi="宋体" w:cs="宋体"/>
                <w:b/>
                <w:sz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中国银行股份有限公司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1983年10月31日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北京市西城区复兴门内大街1号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95566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华夏银行股份有限公司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95577</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认购份额：本理财产品份额以“份”为单位，</w:t>
      </w:r>
      <w:r>
        <w:rPr>
          <w:rFonts w:hint="eastAsia" w:ascii="Arial" w:hAnsi="Arial" w:cs="Arial"/>
          <w:color w:val="000000"/>
          <w:sz w:val="22"/>
          <w:szCs w:val="22"/>
          <w:highlight w:val="none"/>
          <w:lang w:bidi="ar"/>
        </w:rPr>
        <w:t>认购期每份理财产品份额面值为人民币</w:t>
      </w:r>
      <w:r>
        <w:rPr>
          <w:rFonts w:ascii="Arial" w:hAnsi="Arial" w:cs="Arial"/>
          <w:color w:val="000000"/>
          <w:sz w:val="22"/>
          <w:szCs w:val="22"/>
          <w:highlight w:val="none"/>
          <w:lang w:bidi="ar"/>
        </w:rPr>
        <w:t>1</w:t>
      </w:r>
      <w:r>
        <w:rPr>
          <w:rFonts w:hint="eastAsia" w:ascii="Arial" w:hAnsi="Arial" w:cs="Arial"/>
          <w:color w:val="000000"/>
          <w:sz w:val="22"/>
          <w:szCs w:val="22"/>
          <w:highlight w:val="none"/>
          <w:lang w:bidi="ar"/>
        </w:rPr>
        <w:t>元</w:t>
      </w:r>
      <w:r>
        <w:rPr>
          <w:rFonts w:ascii="Arial" w:hAnsi="Arial" w:cs="Arial" w:eastAsiaTheme="minorEastAsia"/>
          <w:snapToGrid w:val="0"/>
          <w:color w:val="000000"/>
          <w:sz w:val="22"/>
          <w:szCs w:val="22"/>
          <w:highlight w:val="none"/>
        </w:rPr>
        <w:t xml:space="preserve">。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w:t>
      </w:r>
      <w:r>
        <w:rPr>
          <w:rFonts w:ascii="Arial" w:hAnsi="Arial" w:cs="Arial" w:eastAsiaTheme="minorEastAsia"/>
          <w:snapToGrid w:val="0"/>
          <w:color w:val="000000"/>
          <w:sz w:val="22"/>
          <w:szCs w:val="22"/>
          <w:highlight w:val="none"/>
        </w:rPr>
        <w:t>2024年11月28日09:30</w:t>
      </w:r>
      <w:r>
        <w:rPr>
          <w:rFonts w:ascii="Arial" w:hAnsi="Arial" w:cs="Arial" w:eastAsiaTheme="minorEastAsia"/>
          <w:snapToGrid w:val="0"/>
          <w:color w:val="000000"/>
          <w:sz w:val="22"/>
          <w:szCs w:val="22"/>
          <w:highlight w:val="none"/>
        </w:rPr>
        <w:t xml:space="preserve"> - </w:t>
      </w:r>
      <w:r>
        <w:rPr>
          <w:rFonts w:ascii="Arial" w:hAnsi="Arial" w:cs="Arial" w:eastAsiaTheme="minorEastAsia"/>
          <w:snapToGrid w:val="0"/>
          <w:color w:val="000000"/>
          <w:sz w:val="22"/>
          <w:szCs w:val="22"/>
          <w:highlight w:val="none"/>
        </w:rPr>
        <w:t>2024年12月4日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w:t>
      </w:r>
      <w:r>
        <w:rPr>
          <w:rFonts w:ascii="Arial" w:hAnsi="Arial" w:cs="Arial" w:eastAsiaTheme="minorEastAsia"/>
          <w:snapToGrid w:val="0"/>
          <w:color w:val="000000"/>
          <w:sz w:val="22"/>
          <w:szCs w:val="22"/>
          <w:highlight w:val="none"/>
        </w:rPr>
        <w:t>（不含）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w:t>
      </w:r>
      <w:r>
        <w:rPr>
          <w:rFonts w:hint="eastAsia" w:ascii="Arial" w:hAnsi="Arial" w:cs="Arial" w:eastAsiaTheme="minorEastAsia"/>
          <w:snapToGrid w:val="0"/>
          <w:color w:val="000000"/>
          <w:sz w:val="22"/>
          <w:szCs w:val="22"/>
          <w:highlight w:val="none"/>
        </w:rPr>
        <w:t>起点</w:t>
      </w:r>
      <w:r>
        <w:rPr>
          <w:rFonts w:ascii="Arial" w:hAnsi="Arial" w:cs="Arial" w:eastAsiaTheme="minorEastAsia"/>
          <w:snapToGrid w:val="0"/>
          <w:color w:val="000000"/>
          <w:sz w:val="22"/>
          <w:szCs w:val="22"/>
          <w:highlight w:val="none"/>
        </w:rPr>
        <w:t xml:space="preserve">：在认购期内， </w:t>
      </w:r>
      <w:r>
        <w:rPr>
          <w:rFonts w:ascii="Arial" w:hAnsi="Arial" w:cs="Arial" w:eastAsiaTheme="minorEastAsia"/>
          <w:color w:val="000000"/>
          <w:sz w:val="22"/>
          <w:szCs w:val="22"/>
          <w:highlight w:val="none"/>
        </w:rPr>
        <w:t>A份额认购起点为1元，超过认购起点部分应为0.01元的整数倍；B份额认购起点为100元，超过认购起点部分应为0.01元的整数倍；C份额认购起点为1元，超过认购起点部分应为0.01元的整数倍</w:t>
      </w:r>
      <w:r>
        <w:rPr>
          <w:rFonts w:ascii="Arial" w:hAnsi="Arial" w:cs="Arial" w:eastAsiaTheme="minorEastAsia"/>
          <w:color w:val="000000"/>
          <w:sz w:val="22"/>
          <w:szCs w:val="22"/>
          <w:highlight w:val="none"/>
        </w:rPr>
        <w:t>。</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w:t>
      </w:r>
      <w:r>
        <w:rPr>
          <w:rFonts w:hint="eastAsia" w:ascii="Arial" w:hAnsi="Arial" w:cs="Arial" w:eastAsiaTheme="minorEastAsia"/>
          <w:color w:val="000000" w:themeColor="text1"/>
          <w:spacing w:val="4"/>
          <w:sz w:val="22"/>
          <w:szCs w:val="22"/>
          <w:highlight w:val="none"/>
          <w14:textFill>
            <w14:solidFill>
              <w14:schemeClr w14:val="tx1"/>
            </w14:solidFill>
          </w14:textFill>
        </w:rPr>
        <w:t>本理财产品投资的主要证券、期货交易市场或外汇市场休市或处于公众节假日，可能影响本理财产品正常估值时。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hint="eastAsia" w:ascii="Arial" w:hAnsi="Arial" w:cs="Arial" w:eastAsiaTheme="minorEastAsia"/>
          <w:color w:val="000000" w:themeColor="text1"/>
          <w:spacing w:val="4"/>
          <w:sz w:val="22"/>
          <w:szCs w:val="22"/>
          <w:highlight w:val="none"/>
          <w14:textFill>
            <w14:solidFill>
              <w14:schemeClr w14:val="tx1"/>
            </w14:solidFill>
          </w14:textFill>
        </w:rPr>
        <w:t>（4）</w:t>
      </w:r>
      <w:r>
        <w:rPr>
          <w:rFonts w:ascii="Arial" w:hAnsi="Arial" w:cs="Arial" w:eastAsiaTheme="minorEastAsia"/>
          <w:color w:val="000000" w:themeColor="text1"/>
          <w:spacing w:val="4"/>
          <w:sz w:val="22"/>
          <w:szCs w:val="22"/>
          <w:highlight w:val="none"/>
          <w14:textFill>
            <w14:solidFill>
              <w14:schemeClr w14:val="tx1"/>
            </w14:solidFill>
          </w14:textFill>
        </w:rPr>
        <w:t>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5</w:t>
      </w:r>
      <w:r>
        <w:rPr>
          <w:rFonts w:ascii="Arial" w:hAnsi="Arial" w:cs="Arial" w:eastAsiaTheme="minorEastAsia"/>
          <w:color w:val="000000" w:themeColor="text1"/>
          <w:spacing w:val="4"/>
          <w:sz w:val="22"/>
          <w:szCs w:val="22"/>
          <w:highlight w:val="none"/>
          <w14:textFill>
            <w14:solidFill>
              <w14:schemeClr w14:val="tx1"/>
            </w14:solidFill>
          </w14:textFill>
        </w:rPr>
        <w:t>）投资者认购超过本产品说明书约定的发行规模上限、单笔认购上限、单一投资者持有上限等。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6</w:t>
      </w:r>
      <w:r>
        <w:rPr>
          <w:rFonts w:ascii="Arial" w:hAnsi="Arial" w:cs="Arial" w:eastAsiaTheme="minorEastAsia"/>
          <w:color w:val="000000" w:themeColor="text1"/>
          <w:spacing w:val="4"/>
          <w:sz w:val="22"/>
          <w:szCs w:val="22"/>
          <w:highlight w:val="none"/>
          <w14:textFill>
            <w14:solidFill>
              <w14:schemeClr w14:val="tx1"/>
            </w14:solidFill>
          </w14:textFill>
        </w:rPr>
        <w:t>）理财产品管理人接受某笔或者某些认购申请有可能导致单一投资者持有理财产品份额的比例达到或者超过50%。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7</w:t>
      </w:r>
      <w:r>
        <w:rPr>
          <w:rFonts w:ascii="Arial" w:hAnsi="Arial" w:cs="Arial" w:eastAsiaTheme="minorEastAsia"/>
          <w:color w:val="000000" w:themeColor="text1"/>
          <w:spacing w:val="4"/>
          <w:sz w:val="22"/>
          <w:szCs w:val="22"/>
          <w:highlight w:val="none"/>
          <w14:textFill>
            <w14:solidFill>
              <w14:schemeClr w14:val="tx1"/>
            </w14:solidFill>
          </w14:textFill>
        </w:rPr>
        <w:t>）当本理财产品规模过大，管理人无法找到合适的投资品种，或存在其他可能对本理财产品投资业绩产生负面影响的情形时。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8</w:t>
      </w:r>
      <w:r>
        <w:rPr>
          <w:rFonts w:ascii="Arial" w:hAnsi="Arial" w:cs="Arial" w:eastAsiaTheme="minorEastAsia"/>
          <w:color w:val="000000" w:themeColor="text1"/>
          <w:spacing w:val="4"/>
          <w:sz w:val="22"/>
          <w:szCs w:val="22"/>
          <w:highlight w:val="none"/>
          <w14:textFill>
            <w14:solidFill>
              <w14:schemeClr w14:val="tx1"/>
            </w14:solidFill>
          </w14:textFill>
        </w:rPr>
        <w:t>）法律法规规定或国家金融监督管理总局等监管机构认定的其他情形。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highlight w:val="none"/>
        </w:rPr>
      </w:pPr>
      <w:r>
        <w:rPr>
          <w:rFonts w:hint="eastAsia" w:ascii="Arial" w:hAnsi="Arial" w:cs="Arial"/>
          <w:color w:val="000000"/>
          <w:sz w:val="22"/>
          <w:szCs w:val="22"/>
          <w:highlight w:val="none"/>
        </w:rPr>
        <w:t>本</w:t>
      </w:r>
      <w:r>
        <w:rPr>
          <w:rFonts w:ascii="Arial" w:hAnsi="Arial" w:cs="Arial"/>
          <w:color w:val="000000"/>
          <w:sz w:val="22"/>
          <w:szCs w:val="22"/>
          <w:highlight w:val="none"/>
        </w:rPr>
        <w:t>理财</w:t>
      </w:r>
      <w:r>
        <w:rPr>
          <w:rFonts w:hint="eastAsia" w:ascii="Arial" w:hAnsi="Arial" w:cs="Arial"/>
          <w:color w:val="000000"/>
          <w:sz w:val="22"/>
          <w:szCs w:val="22"/>
          <w:highlight w:val="none"/>
        </w:rPr>
        <w:t>产品</w:t>
      </w:r>
      <w:r>
        <w:rPr>
          <w:rFonts w:ascii="Arial" w:hAnsi="Arial" w:cs="Arial"/>
          <w:color w:val="000000"/>
          <w:sz w:val="22"/>
          <w:szCs w:val="22"/>
          <w:highlight w:val="none"/>
        </w:rPr>
        <w:t>费用按本</w:t>
      </w:r>
      <w:r>
        <w:rPr>
          <w:rFonts w:hint="eastAsia" w:ascii="Arial" w:hAnsi="Arial" w:cs="Arial"/>
          <w:color w:val="000000"/>
          <w:sz w:val="22"/>
          <w:szCs w:val="22"/>
          <w:highlight w:val="none"/>
        </w:rPr>
        <w:t>理财</w:t>
      </w:r>
      <w:r>
        <w:rPr>
          <w:rFonts w:ascii="Arial" w:hAnsi="Arial" w:cs="Arial"/>
          <w:color w:val="000000"/>
          <w:sz w:val="22"/>
          <w:szCs w:val="22"/>
          <w:highlight w:val="none"/>
        </w:rPr>
        <w:t>产品说明书及管理人与费用收取方之间的协议约定从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理财产品资产中支付。管理人或</w:t>
      </w:r>
      <w:r>
        <w:rPr>
          <w:rFonts w:hint="eastAsia" w:ascii="Arial" w:hAnsi="Arial" w:cs="Arial"/>
          <w:color w:val="000000"/>
          <w:sz w:val="22"/>
          <w:szCs w:val="22"/>
          <w:highlight w:val="none"/>
        </w:rPr>
        <w:t>本</w:t>
      </w:r>
      <w:r>
        <w:rPr>
          <w:rFonts w:ascii="Arial" w:hAnsi="Arial" w:cs="Arial"/>
          <w:color w:val="000000"/>
          <w:sz w:val="22"/>
          <w:szCs w:val="22"/>
          <w:highlight w:val="none"/>
        </w:rPr>
        <w:t>理财产品参与方以固有财产先行垫付的，有权从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理财产品资产中优先受偿。</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产品</w:t>
      </w:r>
      <w:r>
        <w:rPr>
          <w:rFonts w:ascii="Arial" w:hAnsi="Arial" w:cs="Arial"/>
          <w:color w:val="000000"/>
          <w:sz w:val="22"/>
          <w:szCs w:val="22"/>
          <w:highlight w:val="none"/>
        </w:rPr>
        <w:t>固定管理费</w:t>
      </w:r>
      <w:r>
        <w:rPr>
          <w:rFonts w:hint="eastAsia" w:ascii="Arial" w:hAnsi="Arial" w:cs="Arial"/>
          <w:color w:val="000000"/>
          <w:sz w:val="22"/>
          <w:szCs w:val="22"/>
          <w:highlight w:val="none"/>
        </w:rPr>
        <w:t>、托管费、销售服务费</w:t>
      </w:r>
      <w:r>
        <w:rPr>
          <w:rFonts w:ascii="Arial" w:hAnsi="Arial" w:cs="Arial"/>
          <w:color w:val="000000"/>
          <w:sz w:val="22"/>
          <w:szCs w:val="22"/>
          <w:highlight w:val="none"/>
        </w:rPr>
        <w:t>精确到小数点后2位，小数点2位以后</w:t>
      </w:r>
      <w:r>
        <w:rPr>
          <w:rFonts w:hint="eastAsia" w:ascii="Arial" w:hAnsi="Arial" w:cs="Arial"/>
          <w:color w:val="000000"/>
          <w:sz w:val="22"/>
          <w:szCs w:val="22"/>
          <w:highlight w:val="none"/>
        </w:rPr>
        <w:t>四舍五入</w:t>
      </w:r>
      <w:r>
        <w:rPr>
          <w:rFonts w:ascii="Arial" w:hAnsi="Arial" w:cs="Arial"/>
          <w:color w:val="000000" w:themeColor="text1"/>
          <w:sz w:val="22"/>
          <w:szCs w:val="22"/>
          <w:highlight w:val="none"/>
          <w14:textFill>
            <w14:solidFill>
              <w14:schemeClr w14:val="tx1"/>
            </w14:solidFill>
          </w14:textFill>
        </w:rPr>
        <w:t>。</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w:t>
      </w:r>
      <w:r>
        <w:rPr>
          <w:rFonts w:ascii="Arial" w:hAnsi="Arial" w:cs="Arial" w:eastAsiaTheme="minorEastAsia"/>
          <w:color w:val="000000"/>
          <w:sz w:val="22"/>
          <w:szCs w:val="22"/>
          <w:highlight w:val="none"/>
        </w:rPr>
        <w:t>0.03</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color w:val="000000" w:themeColor="text1"/>
          <w:kern w:val="0"/>
          <w:sz w:val="22"/>
          <w:szCs w:val="22"/>
          <w:highlight w:val="none"/>
          <w14:textFill>
            <w14:solidFill>
              <w14:schemeClr w14:val="tx1"/>
            </w14:solidFill>
          </w14:textFill>
        </w:rPr>
        <w:t>【</w:t>
      </w:r>
      <w:r>
        <w:rPr>
          <w:rFonts w:hint="eastAsia" w:ascii="Arial" w:hAnsi="Arial" w:cs="Arial" w:eastAsiaTheme="minorEastAsia"/>
          <w:color w:val="000000" w:themeColor="text1"/>
          <w:kern w:val="0"/>
          <w:sz w:val="22"/>
          <w:szCs w:val="22"/>
          <w:highlight w:val="none"/>
          <w14:textFill>
            <w14:solidFill>
              <w14:schemeClr w14:val="tx1"/>
            </w14:solidFill>
          </w14:textFill>
        </w:rPr>
        <w:t>30.00</w:t>
      </w:r>
      <w:r>
        <w:rPr>
          <w:rFonts w:ascii="Arial" w:hAnsi="Arial" w:cs="Arial" w:eastAsiaTheme="minorEastAsia"/>
          <w:color w:val="000000" w:themeColor="text1"/>
          <w:kern w:val="0"/>
          <w:sz w:val="22"/>
          <w:szCs w:val="22"/>
          <w:highlight w:val="none"/>
          <w14:textFill>
            <w14:solidFill>
              <w14:schemeClr w14:val="tx1"/>
            </w14:solidFill>
          </w14:textFill>
        </w:rPr>
        <w:t>】</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30.00</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Attachment"/>
      <w:bookmarkEnd w:id="0"/>
      <w:bookmarkStart w:id="1" w:name="TCSignMonth"/>
      <w:bookmarkEnd w:id="1"/>
      <w:bookmarkStart w:id="2" w:name="TCSignYear"/>
      <w:bookmarkEnd w:id="2"/>
      <w:bookmarkStart w:id="3" w:name="TCSignDay"/>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w:t>
      </w:r>
      <w:r>
        <w:rPr>
          <w:rFonts w:ascii="Arial" w:hAnsi="Arial" w:cs="Arial" w:eastAsiaTheme="minorEastAsia"/>
          <w:snapToGrid w:val="0"/>
          <w:color w:val="000000"/>
          <w:sz w:val="22"/>
          <w:szCs w:val="22"/>
          <w:highlight w:val="none"/>
        </w:rPr>
        <w:t>平安理财新启航第483期封闭固收类理财产品</w:t>
      </w:r>
      <w:r>
        <w:rPr>
          <w:rFonts w:ascii="Arial" w:hAnsi="Arial" w:cs="Arial" w:eastAsiaTheme="minorEastAsia"/>
          <w:snapToGrid w:val="0"/>
          <w:color w:val="000000"/>
          <w:sz w:val="22"/>
          <w:szCs w:val="22"/>
          <w:highlight w:val="none"/>
        </w:rPr>
        <w:t>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1.</w:t>
      </w: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2.</w:t>
      </w:r>
      <w:r>
        <w:rPr>
          <w:rFonts w:ascii="Arial" w:hAnsi="Arial" w:cs="Arial" w:eastAsiaTheme="minorEastAsia"/>
          <w:b/>
          <w:snapToGrid w:val="0"/>
          <w:color w:val="000000"/>
          <w:sz w:val="22"/>
          <w:szCs w:val="22"/>
          <w:highlight w:val="none"/>
        </w:rPr>
        <w:t>理财产品销售文件违约</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适用中国法律并依据中国法律解释。为本</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之目的，中国法律指中华人民共和国大陆地区的法律，不包括香港特别行政区、澳门特别行政区和台湾地区的法律。</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b/>
          <w:snapToGrid w:val="0"/>
          <w:color w:val="000000"/>
          <w:sz w:val="22"/>
          <w:szCs w:val="22"/>
          <w:highlight w:val="none"/>
        </w:rPr>
      </w:pPr>
      <w:r>
        <w:rPr>
          <w:rFonts w:hint="eastAsia" w:ascii="Arial" w:hAnsi="Arial" w:cs="Arial" w:eastAsiaTheme="minorEastAsia"/>
          <w:b/>
          <w:snapToGrid w:val="0"/>
          <w:color w:val="000000"/>
          <w:sz w:val="22"/>
          <w:szCs w:val="22"/>
          <w:highlight w:val="none"/>
        </w:rPr>
        <w:t>3.</w:t>
      </w: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w:t>
      </w:r>
      <w:r>
        <w:rPr>
          <w:rFonts w:ascii="Arial" w:hAnsi="Arial" w:cs="Arial" w:eastAsiaTheme="minorEastAsia"/>
          <w:color w:val="000000"/>
          <w:sz w:val="22"/>
          <w:szCs w:val="22"/>
          <w:highlight w:val="none"/>
        </w:rPr>
        <w:t>平安理财新启航第483期封闭固收类理财产品</w:t>
      </w:r>
      <w:r>
        <w:rPr>
          <w:rFonts w:ascii="Arial" w:hAnsi="Arial" w:cs="Arial" w:eastAsiaTheme="minorEastAsia"/>
          <w:color w:val="000000"/>
          <w:sz w:val="22"/>
          <w:szCs w:val="22"/>
          <w:highlight w:val="none"/>
        </w:rPr>
        <w:t>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w:t>
      </w:r>
      <w:r>
        <w:rPr>
          <w:rFonts w:ascii="Arial" w:hAnsi="Arial" w:cs="Arial" w:eastAsiaTheme="minorEastAsia"/>
          <w:b/>
          <w:bCs/>
          <w:color w:val="000000"/>
          <w:kern w:val="0"/>
          <w:sz w:val="22"/>
          <w:szCs w:val="22"/>
          <w:highlight w:val="none"/>
        </w:rPr>
        <w:t>平安理财新启航第483期封闭固收类理财产品</w:t>
      </w:r>
      <w:r>
        <w:rPr>
          <w:rFonts w:ascii="Arial" w:hAnsi="Arial" w:cs="Arial" w:eastAsiaTheme="minorEastAsia"/>
          <w:b/>
          <w:bCs/>
          <w:color w:val="000000"/>
          <w:kern w:val="0"/>
          <w:sz w:val="22"/>
          <w:szCs w:val="22"/>
          <w:highlight w:val="none"/>
        </w:rPr>
        <w:t>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bookmarkEnd w:id="4"/>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8">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9">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5">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6">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2">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3">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5">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4"/>
  </w:num>
  <w:num w:numId="4">
    <w:abstractNumId w:val="14"/>
  </w:num>
  <w:num w:numId="5">
    <w:abstractNumId w:val="11"/>
  </w:num>
  <w:num w:numId="6">
    <w:abstractNumId w:val="5"/>
  </w:num>
  <w:num w:numId="7">
    <w:abstractNumId w:val="13"/>
  </w:num>
  <w:num w:numId="8">
    <w:abstractNumId w:val="6"/>
  </w:num>
  <w:num w:numId="9">
    <w:abstractNumId w:val="21"/>
  </w:num>
  <w:num w:numId="10">
    <w:abstractNumId w:val="22"/>
  </w:num>
  <w:num w:numId="11">
    <w:abstractNumId w:val="15"/>
  </w:num>
  <w:num w:numId="12">
    <w:abstractNumId w:val="23"/>
  </w:num>
  <w:num w:numId="13">
    <w:abstractNumId w:val="3"/>
  </w:num>
  <w:num w:numId="14">
    <w:abstractNumId w:val="8"/>
  </w:num>
  <w:num w:numId="15">
    <w:abstractNumId w:val="16"/>
  </w:num>
  <w:num w:numId="16">
    <w:abstractNumId w:val="9"/>
  </w:num>
  <w:num w:numId="17">
    <w:abstractNumId w:val="20"/>
  </w:num>
  <w:num w:numId="18">
    <w:abstractNumId w:val="0"/>
  </w:num>
  <w:num w:numId="19">
    <w:abstractNumId w:val="2"/>
  </w:num>
  <w:num w:numId="20">
    <w:abstractNumId w:val="18"/>
  </w:num>
  <w:num w:numId="21">
    <w:abstractNumId w:val="17"/>
  </w:num>
  <w:num w:numId="22">
    <w:abstractNumId w:val="7"/>
  </w:num>
  <w:num w:numId="23">
    <w:abstractNumId w:val="25"/>
  </w:num>
  <w:num w:numId="24">
    <w:abstractNumId w:val="19"/>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2A27"/>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D6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277E2"/>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7EF4010"/>
    <w:rsid w:val="0B0E7430"/>
    <w:rsid w:val="0B5A2EA7"/>
    <w:rsid w:val="0DBD709A"/>
    <w:rsid w:val="176115FB"/>
    <w:rsid w:val="1AF87BC6"/>
    <w:rsid w:val="1B482E07"/>
    <w:rsid w:val="1B7433FC"/>
    <w:rsid w:val="20C57A31"/>
    <w:rsid w:val="247D4641"/>
    <w:rsid w:val="274B2C02"/>
    <w:rsid w:val="2AA76E47"/>
    <w:rsid w:val="2C00355C"/>
    <w:rsid w:val="3096375E"/>
    <w:rsid w:val="30F16848"/>
    <w:rsid w:val="32E3525E"/>
    <w:rsid w:val="34B30C64"/>
    <w:rsid w:val="3EC7711A"/>
    <w:rsid w:val="415F544E"/>
    <w:rsid w:val="41612CCF"/>
    <w:rsid w:val="43C95822"/>
    <w:rsid w:val="44AA4AF3"/>
    <w:rsid w:val="44EB11ED"/>
    <w:rsid w:val="45D419D1"/>
    <w:rsid w:val="4EA56695"/>
    <w:rsid w:val="501A1A7A"/>
    <w:rsid w:val="52B23907"/>
    <w:rsid w:val="564D31A3"/>
    <w:rsid w:val="574F3E1A"/>
    <w:rsid w:val="5D80032B"/>
    <w:rsid w:val="5E8343A9"/>
    <w:rsid w:val="5E9617EA"/>
    <w:rsid w:val="6005523E"/>
    <w:rsid w:val="61877226"/>
    <w:rsid w:val="61D2000C"/>
    <w:rsid w:val="624956CD"/>
    <w:rsid w:val="63514246"/>
    <w:rsid w:val="63600FD2"/>
    <w:rsid w:val="65BE3A7A"/>
    <w:rsid w:val="66C407B9"/>
    <w:rsid w:val="68CA43DE"/>
    <w:rsid w:val="6B333AEC"/>
    <w:rsid w:val="6CBB7EFE"/>
    <w:rsid w:val="6DCC1EB5"/>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788F-97FC-4DF2-8C7F-A9AEE20413E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26</Pages>
  <Words>19357</Words>
  <Characters>20092</Characters>
  <Lines>144</Lines>
  <Paragraphs>40</Paragraphs>
  <TotalTime>4</TotalTime>
  <ScaleCrop>false</ScaleCrop>
  <LinksUpToDate>false</LinksUpToDate>
  <CharactersWithSpaces>20180</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2024-11-26T01:21:00Z</dcterms:created>
  <dc:creator>PingAn</dc:creator>
  <cp:lastModifiedBy>EX-CHENJIANIAN001</cp:lastModifiedBy>
  <dcterms:modified xsi:type="dcterms:W3CDTF">2024-11-26T01:26:47Z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