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平安理财启元添利日开30天持有9号固收类理财产品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5"/>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平安理财启元添利日开30天持有9号固收类理财产品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平安理财启元添利日开30天持有9号固收类理财产品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平安理财启元添利日开30天持有9号固收类理财产品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平安理财启元添利日开30天持有9号固收类理财产品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38100</wp:posOffset>
                </wp:positionV>
                <wp:extent cx="5724525" cy="5743575"/>
                <wp:effectExtent l="0" t="0" r="28575" b="2857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5743575"/>
                        </a:xfrm>
                        <a:prstGeom prst="rect">
                          <a:avLst/>
                        </a:prstGeom>
                        <a:noFill/>
                        <a:ln w="19050">
                          <a:solidFill>
                            <a:srgbClr val="000000"/>
                          </a:solidFill>
                          <a:miter lim="800000"/>
                        </a:ln>
                      </wps:spPr>
                      <wps:txb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pt;margin-top:3pt;height:452.25pt;width:450.75pt;z-index:251660288;mso-width-relative:page;mso-height-relative:page;" filled="f" stroked="t" coordsize="21600,21600" o:gfxdata="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&#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RIL0x2QAAAAgBAAAPAAAAAAAAAAEAIAAAACIAAABk&#10;cnMvZG93bnJldi54bWxQSwECFAAUAAAACACHTuJAWezI7z4CAABgBAAADgAAAAAAAAABACAAAAAo&#10;AQAAZHJzL2Uyb0RvYy54bWxQSwUGAAAAAAYABgBZAQAA2AUAAAAA&#10;">
                <v:fill on="f" focussize="0,0"/>
                <v:stroke weight="1.5pt" color="#000000" miterlimit="8" joinstyle="miter"/>
                <v:imagedata o:title=""/>
                <o:lock v:ext="edit" aspectratio="f"/>
                <v:textbo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平安理财启元添利日开30天持有9号固收类理财产品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QTCG0</w:t>
            </w:r>
            <w:r>
              <w:rPr>
                <w:rFonts w:hint="eastAsia" w:ascii="Arial" w:hAnsi="Arial" w:cs="Arial"/>
                <w:color w:val="000000"/>
                <w:szCs w:val="21"/>
                <w:lang w:val="en-US" w:eastAsia="zh-CN"/>
              </w:rPr>
              <w:t>30</w:t>
            </w:r>
            <w:r>
              <w:rPr>
                <w:rFonts w:hint="default" w:ascii="Arial" w:hAnsi="Arial" w:cs="Arial"/>
                <w:color w:val="000000"/>
                <w:szCs w:val="21"/>
              </w:rPr>
              <w:t>00</w:t>
            </w:r>
            <w:r>
              <w:rPr>
                <w:rFonts w:hint="eastAsia" w:ascii="Arial" w:hAnsi="Arial" w:cs="Arial"/>
                <w:color w:val="000000"/>
                <w:szCs w:val="21"/>
                <w:lang w:val="en-US" w:eastAsia="zh-CN"/>
              </w:rPr>
              <w:t>9</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平安理财有限责任公司，以下简称“平安理财”、“管理人”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lang w:val="en-US" w:eastAsia="zh-CN"/>
              </w:rPr>
              <w:t>平安</w:t>
            </w:r>
            <w:r>
              <w:rPr>
                <w:rFonts w:hint="eastAsia" w:ascii="Arial" w:hAnsi="Arial" w:cs="Arial"/>
                <w:color w:val="000000"/>
                <w:sz w:val="22"/>
                <w:szCs w:val="22"/>
              </w:rPr>
              <w:t>银行股份有限公司，以下简称“托管人”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eastAsia" w:ascii="Arial" w:hAnsi="Arial" w:cs="Arial"/>
                <w:sz w:val="22"/>
                <w:szCs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2"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【Z7003324000858】</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（本风险评级为管理人内部评级结果，该评级仅供参考）。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管理人建议：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1</w:t>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w:t>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w:t>
            </w:r>
            <w:r>
              <w:rPr>
                <w:rFonts w:hint="eastAsia" w:ascii="Arial" w:hAnsi="Arial" w:cs="Arial"/>
                <w:sz w:val="22"/>
                <w:szCs w:val="22"/>
              </w:rPr>
              <w:t>）产品销售名称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2</w:t>
            </w:r>
            <w:r>
              <w:rPr>
                <w:rFonts w:hint="eastAsia" w:ascii="Arial" w:hAnsi="Arial" w:cs="Arial"/>
                <w:sz w:val="22"/>
                <w:szCs w:val="22"/>
              </w:rPr>
              <w:t>）产品销售代码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4</w:t>
            </w:r>
            <w:r>
              <w:rPr>
                <w:rFonts w:hint="eastAsia" w:ascii="Arial" w:hAnsi="Arial" w:cs="Arial"/>
                <w:sz w:val="22"/>
                <w:szCs w:val="22"/>
              </w:rPr>
              <w:t>）适合的投资者</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5</w:t>
            </w:r>
            <w:r>
              <w:rPr>
                <w:rFonts w:hint="eastAsia" w:ascii="Arial" w:hAnsi="Arial" w:cs="Arial"/>
                <w:sz w:val="22"/>
                <w:szCs w:val="22"/>
              </w:rPr>
              <w:t>）销售费率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w:t>
            </w:r>
            <w:r>
              <w:rPr>
                <w:rFonts w:hint="default" w:ascii="Arial" w:hAnsi="Arial" w:cs="Arial"/>
                <w:sz w:val="22"/>
                <w:szCs w:val="22"/>
              </w:rPr>
              <w:t>/</w:t>
            </w:r>
            <w:r>
              <w:rPr>
                <w:rFonts w:hint="eastAsia" w:ascii="Arial" w:hAnsi="Arial" w:cs="Arial"/>
                <w:sz w:val="22"/>
                <w:szCs w:val="22"/>
              </w:rPr>
              <w:t>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w:t>
            </w:r>
            <w:r>
              <w:rPr>
                <w:rFonts w:hint="default" w:ascii="Arial" w:hAnsi="Arial" w:cs="Arial"/>
                <w:sz w:val="22"/>
                <w:szCs w:val="22"/>
              </w:rPr>
              <w:t>/</w:t>
            </w:r>
            <w:r>
              <w:rPr>
                <w:rFonts w:hint="eastAsia" w:ascii="Arial" w:hAnsi="Arial" w:cs="Arial"/>
                <w:sz w:val="22"/>
                <w:szCs w:val="22"/>
              </w:rPr>
              <w:t>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highlight w:val="yellow"/>
              </w:rPr>
            </w:pPr>
            <w:r>
              <w:rPr>
                <w:rFonts w:hint="eastAsia" w:ascii="Arial" w:hAnsi="Arial" w:cs="Arial"/>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管理人有权调整发行规模上限</w:t>
            </w:r>
            <w:r>
              <w:rPr>
                <w:rFonts w:hint="eastAsia" w:ascii="Arial" w:hAnsi="Arial" w:cs="Arial"/>
                <w:sz w:val="22"/>
                <w:szCs w:val="22"/>
              </w:rPr>
              <w:t>和下限</w:t>
            </w:r>
            <w:r>
              <w:rPr>
                <w:rFonts w:hint="default" w:ascii="Arial" w:hAnsi="Arial" w:cs="Arial"/>
                <w:sz w:val="22"/>
                <w:szCs w:val="22"/>
              </w:rPr>
              <w:t>，具体发行规模以管理人公告为准。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w:t>
            </w:r>
            <w:r>
              <w:rPr>
                <w:rFonts w:hint="default" w:ascii="Arial" w:hAnsi="Arial" w:cs="Arial"/>
                <w:sz w:val="22"/>
                <w:szCs w:val="22"/>
              </w:rPr>
              <w:t>/</w:t>
            </w:r>
            <w:r>
              <w:rPr>
                <w:rFonts w:hint="eastAsia" w:ascii="Arial" w:hAnsi="Arial" w:cs="Arial"/>
                <w:sz w:val="22"/>
                <w:szCs w:val="22"/>
              </w:rPr>
              <w:t>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w:t>
            </w:r>
            <w:r>
              <w:rPr>
                <w:rFonts w:hint="default" w:ascii="Arial" w:hAnsi="Arial" w:cs="Arial"/>
                <w:sz w:val="22"/>
                <w:szCs w:val="22"/>
              </w:rPr>
              <w:t>/</w:t>
            </w:r>
            <w:r>
              <w:rPr>
                <w:rFonts w:hint="eastAsia" w:ascii="Arial" w:hAnsi="Arial" w:cs="Arial"/>
                <w:sz w:val="22"/>
                <w:szCs w:val="22"/>
              </w:rPr>
              <w:t>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eastAsia="等线" w:cs="Arial"/>
                <w:b/>
                <w:sz w:val="22"/>
                <w:szCs w:val="22"/>
              </w:rPr>
            </w:pPr>
            <w:r>
              <w:rPr>
                <w:rFonts w:hint="eastAsia"/>
                <w:b/>
                <w:sz w:val="22"/>
                <w:szCs w:val="22"/>
              </w:rPr>
              <w:t>本理财产品业绩比较基准</w:t>
            </w:r>
            <w:r>
              <w:rPr>
                <w:rFonts w:hint="eastAsia" w:ascii="Arial" w:hAnsi="Arial" w:cs="Arial"/>
                <w:b/>
                <w:sz w:val="22"/>
                <w:szCs w:val="22"/>
              </w:rPr>
              <w:t>以管理人公布的份额公告为准</w:t>
            </w:r>
            <w:r>
              <w:rPr>
                <w:rFonts w:hint="eastAsia"/>
                <w:b/>
                <w:sz w:val="22"/>
                <w:szCs w:val="22"/>
              </w:rPr>
              <w:t>。</w:t>
            </w:r>
          </w:p>
          <w:p>
            <w:pPr>
              <w:keepNext w:val="0"/>
              <w:keepLines w:val="0"/>
              <w:widowControl w:val="0"/>
              <w:suppressLineNumbers w:val="0"/>
              <w:spacing w:before="0" w:beforeAutospacing="0" w:after="0" w:afterAutospacing="0" w:line="360" w:lineRule="auto"/>
              <w:ind w:left="105" w:leftChars="50" w:right="105" w:rightChars="50"/>
              <w:jc w:val="both"/>
              <w:rPr>
                <w:rFonts w:hint="default" w:ascii="Arial" w:hAnsi="Arial" w:cs="Arial"/>
                <w:b/>
                <w:bCs w:val="0"/>
                <w:sz w:val="22"/>
                <w:szCs w:val="22"/>
                <w:lang w:val="en-US"/>
              </w:rPr>
            </w:pPr>
            <w:r>
              <w:rPr>
                <w:rFonts w:hint="eastAsia" w:ascii="Arial" w:hAnsi="Arial" w:eastAsia="宋体" w:cs="Arial"/>
                <w:b/>
                <w:bCs w:val="0"/>
                <w:kern w:val="2"/>
                <w:sz w:val="22"/>
                <w:szCs w:val="22"/>
                <w:lang w:val="en-US" w:eastAsia="zh-CN" w:bidi="ar"/>
              </w:rPr>
              <w:t>本理财产品为固定收益类产品，主要投资于固定收益类资产，密切关注宏观经济走势和市场运行状况，适度参与高安全边际的投资机会，在一定范围内动态调整各类资产和策略的配置比例，将不低于</w:t>
            </w:r>
            <w:r>
              <w:rPr>
                <w:rFonts w:hint="default" w:ascii="Arial" w:hAnsi="Arial" w:eastAsia="宋体" w:cs="Arial"/>
                <w:b/>
                <w:bCs w:val="0"/>
                <w:kern w:val="2"/>
                <w:sz w:val="22"/>
                <w:szCs w:val="22"/>
                <w:lang w:val="en-US" w:eastAsia="zh-CN" w:bidi="ar"/>
              </w:rPr>
              <w:t>5%</w:t>
            </w:r>
            <w:r>
              <w:rPr>
                <w:rFonts w:hint="eastAsia" w:ascii="Arial" w:hAnsi="Arial" w:eastAsia="宋体" w:cs="Arial"/>
                <w:b/>
                <w:bCs w:val="0"/>
                <w:kern w:val="2"/>
                <w:sz w:val="22"/>
                <w:szCs w:val="22"/>
                <w:lang w:val="en-US" w:eastAsia="zh-CN" w:bidi="ar"/>
              </w:rPr>
              <w:t>资金投资于现金或到期日在一年以内的国债、中央银行票据和政策性金融债券。其中固定收益类资产测算收益参考中债</w:t>
            </w:r>
            <w:r>
              <w:rPr>
                <w:rFonts w:hint="default" w:ascii="Arial" w:hAnsi="Arial" w:eastAsia="宋体" w:cs="Arial"/>
                <w:b/>
                <w:bCs w:val="0"/>
                <w:kern w:val="2"/>
                <w:sz w:val="22"/>
                <w:szCs w:val="22"/>
                <w:lang w:val="en-US" w:eastAsia="zh-CN" w:bidi="ar"/>
              </w:rPr>
              <w:t>-</w:t>
            </w:r>
            <w:r>
              <w:rPr>
                <w:rFonts w:hint="eastAsia" w:ascii="Arial" w:hAnsi="Arial" w:eastAsia="宋体" w:cs="Arial"/>
                <w:b/>
                <w:bCs w:val="0"/>
                <w:kern w:val="2"/>
                <w:sz w:val="22"/>
                <w:szCs w:val="22"/>
                <w:lang w:val="en-US" w:eastAsia="zh-CN" w:bidi="ar"/>
              </w:rPr>
              <w:t>综合财富（</w:t>
            </w:r>
            <w:r>
              <w:rPr>
                <w:rFonts w:hint="default" w:ascii="Arial" w:hAnsi="Arial" w:eastAsia="宋体" w:cs="Arial"/>
                <w:b/>
                <w:bCs w:val="0"/>
                <w:kern w:val="2"/>
                <w:sz w:val="22"/>
                <w:szCs w:val="22"/>
                <w:lang w:val="en-US" w:eastAsia="zh-CN" w:bidi="ar"/>
              </w:rPr>
              <w:t>1-3</w:t>
            </w:r>
            <w:r>
              <w:rPr>
                <w:rFonts w:hint="eastAsia" w:ascii="Arial" w:hAnsi="Arial" w:cs="Arial"/>
                <w:b/>
                <w:bCs w:val="0"/>
                <w:kern w:val="2"/>
                <w:sz w:val="22"/>
                <w:szCs w:val="22"/>
                <w:lang w:val="en-US" w:eastAsia="zh-CN" w:bidi="ar"/>
              </w:rPr>
              <w:t>年</w:t>
            </w:r>
            <w:r>
              <w:rPr>
                <w:rFonts w:hint="eastAsia" w:ascii="Arial" w:hAnsi="Arial" w:eastAsia="宋体" w:cs="Arial"/>
                <w:b/>
                <w:bCs w:val="0"/>
                <w:kern w:val="2"/>
                <w:sz w:val="22"/>
                <w:szCs w:val="22"/>
                <w:lang w:val="en-US" w:eastAsia="zh-CN" w:bidi="ar"/>
              </w:rPr>
              <w:t>）指数收益率，权益类资产测算收益参考底层风险敞口及过往历史业绩，运用资产配置策略、债券投资策略、优先股投资策略，以及流动性管控手段等，扣除相关税费成本后，综合得出本理财产品的业绩比较基准。</w:t>
            </w:r>
          </w:p>
          <w:p>
            <w:pPr>
              <w:keepNext w:val="0"/>
              <w:keepLines w:val="0"/>
              <w:widowControl w:val="0"/>
              <w:suppressLineNumbers w:val="0"/>
              <w:spacing w:before="0" w:beforeAutospacing="0" w:after="0" w:afterAutospacing="0" w:line="360" w:lineRule="auto"/>
              <w:ind w:left="105" w:leftChars="50" w:right="105" w:rightChars="50"/>
              <w:jc w:val="both"/>
              <w:rPr>
                <w:rFonts w:hint="default" w:ascii="Arial" w:hAnsi="Arial" w:cs="Arial"/>
                <w:b/>
                <w:bCs w:val="0"/>
                <w:sz w:val="22"/>
                <w:szCs w:val="22"/>
                <w:lang w:val="en-US"/>
              </w:rPr>
            </w:pPr>
            <w:r>
              <w:rPr>
                <w:rFonts w:hint="eastAsia" w:ascii="Arial" w:hAnsi="Arial" w:eastAsia="宋体" w:cs="Arial"/>
                <w:b/>
                <w:bCs w:val="0"/>
                <w:kern w:val="2"/>
                <w:sz w:val="22"/>
                <w:szCs w:val="22"/>
                <w:lang w:val="en-US" w:eastAsia="zh-CN" w:bidi="ar"/>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1"/>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5.浮动管理费：管理人对开放日提交赎回申请的投资者或理财产品终止日时持有本理财产品的投资者收取浮动管理费。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日9:</w:t>
            </w:r>
            <w:r>
              <w:rPr>
                <w:rFonts w:hint="eastAsia" w:ascii="Arial" w:hAnsi="Arial" w:cs="Arial"/>
                <w:sz w:val="22"/>
                <w:szCs w:val="22"/>
                <w:lang w:val="en-US" w:eastAsia="zh-CN"/>
              </w:rPr>
              <w:t>3</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含）</w:t>
            </w:r>
            <w:r>
              <w:rPr>
                <w:rFonts w:hint="default" w:ascii="Arial" w:hAnsi="Arial" w:cs="Arial"/>
                <w:sz w:val="22"/>
                <w:szCs w:val="22"/>
              </w:rPr>
              <w:t>-</w:t>
            </w: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不含）</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z w:val="22"/>
                <w:szCs w:val="22"/>
              </w:rPr>
              <w:t>投资者可通过销售服务机构手机银行</w:t>
            </w:r>
            <w:r>
              <w:rPr>
                <w:rFonts w:hint="eastAsia" w:ascii="Arial" w:hAnsi="Arial" w:cs="Arial"/>
                <w:spacing w:val="4"/>
                <w:sz w:val="22"/>
                <w:szCs w:val="22"/>
              </w:rPr>
              <w:t>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本理财产品的开放日为成立后（不含产品成立日）的每个交易日。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30</w:t>
            </w:r>
            <w:r>
              <w:rPr>
                <w:rFonts w:hint="default" w:ascii="Arial" w:hAnsi="Arial" w:cs="Arial"/>
                <w:sz w:val="22"/>
                <w:szCs w:val="22"/>
              </w:rPr>
              <w:t>个自然日</w:t>
            </w:r>
            <w:r>
              <w:rPr>
                <w:rFonts w:hint="eastAsia" w:ascii="Arial" w:hAnsi="Arial" w:cs="Arial"/>
                <w:sz w:val="22"/>
                <w:szCs w:val="22"/>
              </w:rPr>
              <w:t>，最短持有期结束日为第T</w:t>
            </w:r>
            <w:r>
              <w:rPr>
                <w:rFonts w:hint="default" w:ascii="Arial" w:hAnsi="Arial" w:cs="Arial"/>
                <w:sz w:val="22"/>
                <w:szCs w:val="22"/>
              </w:rPr>
              <w:t>+</w:t>
            </w:r>
            <w:r>
              <w:rPr>
                <w:rFonts w:hint="eastAsia" w:ascii="Arial" w:hAnsi="Arial" w:cs="Arial"/>
                <w:sz w:val="22"/>
                <w:szCs w:val="22"/>
                <w:lang w:val="en-US" w:eastAsia="zh-CN"/>
              </w:rPr>
              <w:t>30</w:t>
            </w:r>
            <w:r>
              <w:rPr>
                <w:rFonts w:hint="default" w:ascii="Arial" w:hAnsi="Arial" w:cs="Arial"/>
                <w:sz w:val="22"/>
                <w:szCs w:val="22"/>
              </w:rPr>
              <w:t>个自然日</w:t>
            </w:r>
            <w:r>
              <w:rPr>
                <w:rFonts w:hint="eastAsia" w:ascii="Arial" w:hAnsi="Arial" w:cs="Arial"/>
                <w:sz w:val="22"/>
                <w:szCs w:val="22"/>
              </w:rPr>
              <w:t>，若第T</w:t>
            </w:r>
            <w:r>
              <w:rPr>
                <w:rFonts w:hint="default" w:ascii="Arial" w:hAnsi="Arial" w:cs="Arial"/>
                <w:sz w:val="22"/>
                <w:szCs w:val="22"/>
              </w:rPr>
              <w:t>+</w:t>
            </w:r>
            <w:r>
              <w:rPr>
                <w:rFonts w:hint="eastAsia" w:ascii="Arial" w:hAnsi="Arial" w:cs="Arial"/>
                <w:sz w:val="22"/>
                <w:szCs w:val="22"/>
                <w:lang w:val="en-US" w:eastAsia="zh-CN"/>
              </w:rPr>
              <w:t>30</w:t>
            </w:r>
            <w:r>
              <w:rPr>
                <w:rFonts w:hint="default" w:ascii="Arial" w:hAnsi="Arial" w:cs="Arial"/>
                <w:sz w:val="22"/>
                <w:szCs w:val="22"/>
              </w:rPr>
              <w:t>个自然日</w:t>
            </w:r>
            <w:r>
              <w:rPr>
                <w:rFonts w:hint="eastAsia" w:ascii="Arial" w:hAnsi="Arial" w:cs="Arial"/>
                <w:sz w:val="22"/>
                <w:szCs w:val="22"/>
              </w:rPr>
              <w:t>为非开放日则顺延至下一开放日。投资者可在认/申购份额确认后于最短持有期结束日（含）及后续每个开放日申请赎回。</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30</w:t>
            </w:r>
            <w:r>
              <w:rPr>
                <w:rFonts w:hint="default" w:ascii="Arial" w:hAnsi="Arial" w:cs="Arial"/>
                <w:sz w:val="22"/>
                <w:szCs w:val="22"/>
              </w:rPr>
              <w:t>个自然日</w:t>
            </w:r>
            <w:r>
              <w:rPr>
                <w:rFonts w:hint="eastAsia" w:ascii="Arial" w:hAnsi="Arial" w:cs="Arial"/>
                <w:sz w:val="22"/>
                <w:szCs w:val="22"/>
              </w:rPr>
              <w:t>。具体以产品说明书相关约定为准。</w:t>
            </w: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default" w:ascii="Arial" w:hAnsi="Arial" w:cs="Arial"/>
                <w:sz w:val="22"/>
                <w:szCs w:val="22"/>
              </w:rPr>
              <w:t>：</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default" w:ascii="Arial" w:hAnsi="Arial" w:cs="Arial"/>
                <w:sz w:val="22"/>
                <w:szCs w:val="22"/>
              </w:rPr>
              <w:t>：</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赎回资金将于赎回份额确认日后的2个</w:t>
            </w:r>
            <w:r>
              <w:rPr>
                <w:rFonts w:hint="eastAsia" w:ascii="Arial" w:hAnsi="Arial" w:cs="Arial"/>
                <w:sz w:val="22"/>
                <w:szCs w:val="22"/>
                <w:lang w:val="en-US" w:eastAsia="zh-CN"/>
              </w:rPr>
              <w:t>交易</w:t>
            </w:r>
            <w:r>
              <w:rPr>
                <w:rFonts w:hint="eastAsia" w:ascii="Arial" w:hAnsi="Arial" w:cs="Arial"/>
                <w:sz w:val="22"/>
                <w:szCs w:val="22"/>
              </w:rPr>
              <w:t>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以上规则如有调整，以管理人公告为准。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w:t>
            </w:r>
            <w:r>
              <w:rPr>
                <w:rFonts w:hint="eastAsia" w:ascii="Arial" w:hAnsi="Arial" w:cs="Arial"/>
                <w:sz w:val="22"/>
                <w:szCs w:val="22"/>
              </w:rPr>
              <w:t>赎回申请有效性的确认日</w:t>
            </w:r>
            <w:r>
              <w:rPr>
                <w:rFonts w:hint="eastAsia" w:ascii="Arial" w:hAnsi="Arial" w:cs="Arial"/>
                <w:spacing w:val="4"/>
                <w:sz w:val="22"/>
                <w:szCs w:val="22"/>
              </w:rPr>
              <w:t>，即申购、赎回申请对应开放日后的第一个交易日。</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pacing w:val="4"/>
                <w:sz w:val="22"/>
                <w:szCs w:val="22"/>
              </w:rPr>
              <w:t>管理人</w:t>
            </w:r>
            <w:r>
              <w:rPr>
                <w:rFonts w:hint="eastAsia" w:ascii="Arial" w:hAnsi="Arial" w:cs="Arial"/>
                <w:spacing w:val="4"/>
                <w:sz w:val="22"/>
                <w:szCs w:val="22"/>
              </w:rPr>
              <w:t>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本理财产品存续期间，管理人在每个交易日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则发生巨额赎回事件。发生巨额赎回时，管理人有权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起资金不计付收益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产品认购期、认购登记日、产品成立日、产品开放日、提前终止日等日期，管理人有权根据节假日进行调整，并以实际公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至资金到账日为赎回清算期，提前终止日至资金到账日为终止清算期（若管理人提前终止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理财产品宣布不成立等情形时，管理人将按照本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说明书约定的信息披露方式进行公告。如果因发生前述情形导致投资者的认购/申购申请被拒绝，被拒绝的认购/申购款项将退还给投资者，管理人不负责承担投资者由此产生的利息等损失。在暂停认购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的情况消除时，管理人将及时恢复认购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其他释义</w:t>
            </w:r>
          </w:p>
        </w:tc>
        <w:tc>
          <w:tcPr>
            <w:tcW w:w="7088" w:type="dxa"/>
            <w:shd w:val="clear" w:color="auto" w:fill="auto"/>
            <w:tcMar>
              <w:top w:w="15" w:type="dxa"/>
              <w:left w:w="15" w:type="dxa"/>
              <w:bottom w:w="0" w:type="dxa"/>
              <w:right w:w="15" w:type="dxa"/>
            </w:tcMar>
            <w:vAlign w:val="center"/>
          </w:tcPr>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在本理财产品存续期内，如因监管政策与规定发生变化，管理人有权单方对本理财产品销售文件条款进行修改。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（一）投资目标</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本产品主要投资于固定收益类资产，结合投资组合管理技术进行大类资产配置，择机少量配置优先股、量化中性等波动率较小的权益类资产，力争在控制产品波动幅度的前提下，获取资产的稳健增值。</w:t>
      </w:r>
    </w:p>
    <w:p>
      <w:pPr>
        <w:keepNext w:val="0"/>
        <w:keepLines w:val="0"/>
        <w:widowControl w:val="0"/>
        <w:suppressLineNumbers w:val="0"/>
        <w:spacing w:before="0" w:beforeAutospacing="0" w:after="0" w:afterAutospacing="0" w:line="360" w:lineRule="auto"/>
        <w:ind w:left="0" w:right="0" w:firstLine="434" w:firstLineChars="200"/>
        <w:jc w:val="both"/>
        <w:rPr>
          <w:rFonts w:hint="default" w:ascii="Arial" w:hAnsi="Arial" w:cs="Arial"/>
          <w:b/>
          <w:bCs w:val="0"/>
          <w:color w:val="000000"/>
          <w:spacing w:val="-2"/>
          <w:sz w:val="22"/>
          <w:szCs w:val="22"/>
          <w:lang w:val="en-US"/>
        </w:rPr>
      </w:pPr>
      <w:r>
        <w:rPr>
          <w:rFonts w:hint="eastAsia" w:ascii="Arial" w:hAnsi="Arial" w:eastAsia="宋体" w:cs="Arial"/>
          <w:b/>
          <w:bCs w:val="0"/>
          <w:color w:val="000000"/>
          <w:spacing w:val="-2"/>
          <w:kern w:val="2"/>
          <w:sz w:val="22"/>
          <w:szCs w:val="22"/>
          <w:lang w:val="en-US" w:eastAsia="zh-CN" w:bidi="ar"/>
        </w:rPr>
        <w:t>（二）投资范围</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1</w:t>
      </w:r>
      <w:r>
        <w:rPr>
          <w:rFonts w:hint="eastAsia" w:ascii="Arial" w:hAnsi="Arial" w:eastAsia="宋体" w:cs="Arial"/>
          <w:color w:val="000000"/>
          <w:spacing w:val="-2"/>
          <w:kern w:val="2"/>
          <w:sz w:val="22"/>
          <w:szCs w:val="22"/>
          <w:lang w:val="en-US" w:eastAsia="zh-CN" w:bidi="ar"/>
        </w:rPr>
        <w:t>、固定收益类：一般性存款、结构性存款、同业存单、货币市场工具、银行间市场和证券交易所发行的债券、货币市场基金、债券基金、债券质押式及买断式回购、资产支持证券、可转换债券、可交换债券等固定收益类资产，以上述资产为主要投资范围的公募基金、信托计划、资产管理计划等资产管理产品（包括符合监管要求的各类</w:t>
      </w:r>
      <w:r>
        <w:rPr>
          <w:rFonts w:hint="default" w:ascii="Arial" w:hAnsi="Arial" w:eastAsia="宋体" w:cs="Arial"/>
          <w:color w:val="000000"/>
          <w:spacing w:val="-2"/>
          <w:kern w:val="2"/>
          <w:sz w:val="22"/>
          <w:szCs w:val="22"/>
          <w:lang w:val="en-US" w:eastAsia="zh-CN" w:bidi="ar"/>
        </w:rPr>
        <w:t>QDII</w:t>
      </w:r>
      <w:r>
        <w:rPr>
          <w:rFonts w:hint="eastAsia" w:ascii="Arial" w:hAnsi="Arial" w:eastAsia="宋体" w:cs="Arial"/>
          <w:color w:val="000000"/>
          <w:spacing w:val="-2"/>
          <w:kern w:val="2"/>
          <w:sz w:val="22"/>
          <w:szCs w:val="22"/>
          <w:lang w:val="en-US" w:eastAsia="zh-CN" w:bidi="ar"/>
        </w:rPr>
        <w:t>资产管理产品，下同），及其他符合监管要求的债权类资产；</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2</w:t>
      </w:r>
      <w:r>
        <w:rPr>
          <w:rFonts w:hint="eastAsia" w:ascii="Arial" w:hAnsi="Arial" w:eastAsia="宋体" w:cs="Arial"/>
          <w:color w:val="000000"/>
          <w:spacing w:val="-2"/>
          <w:kern w:val="2"/>
          <w:sz w:val="22"/>
          <w:szCs w:val="22"/>
          <w:lang w:val="en-US" w:eastAsia="zh-CN" w:bidi="ar"/>
        </w:rPr>
        <w:t>、权益类：权益类、混合类资产管理产品（包括但不限于公募基金、信托计划、资产管理计划等），优先股，及其他符合监管要求的权益类资产；</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3</w:t>
      </w:r>
      <w:r>
        <w:rPr>
          <w:rFonts w:hint="eastAsia" w:ascii="Arial" w:hAnsi="Arial" w:eastAsia="宋体" w:cs="Arial"/>
          <w:color w:val="000000"/>
          <w:spacing w:val="-2"/>
          <w:kern w:val="2"/>
          <w:sz w:val="22"/>
          <w:szCs w:val="22"/>
          <w:lang w:val="en-US" w:eastAsia="zh-CN" w:bidi="ar"/>
        </w:rPr>
        <w:t>、商品及衍生品类：利率互换、国债期货、股指期货、商品期货、债券借贷、信用风险缓释工具、远期合约、掉期合约、互换合约、场外期权等商品及金融衍生品类资产，及包含前述投资品种的资产管理产品（包括但不限于公募基金、信托计划、资产管理计划等）。（本理财产品管理人在直接投资于金融衍生品类资产或上述境外发行资产前，需先获得相应的交易资格）。</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2"/>
          <w:kern w:val="2"/>
          <w:sz w:val="22"/>
          <w:szCs w:val="22"/>
          <w:lang w:val="en-US" w:eastAsia="zh-CN" w:bidi="ar"/>
        </w:rPr>
        <w:t>本理财产品的投资范围将有可能随国家法律法规及监管政策的变化而产生变化，如投资范围等发生变化，产品管理人将于新的投资范围开始实施日前</w:t>
      </w:r>
      <w:r>
        <w:rPr>
          <w:rFonts w:hint="default" w:ascii="Arial" w:hAnsi="Arial" w:eastAsia="宋体" w:cs="Arial"/>
          <w:color w:val="000000"/>
          <w:spacing w:val="-2"/>
          <w:kern w:val="2"/>
          <w:sz w:val="22"/>
          <w:szCs w:val="22"/>
          <w:lang w:val="en-US" w:eastAsia="zh-CN" w:bidi="ar"/>
        </w:rPr>
        <w:t>5</w:t>
      </w:r>
      <w:r>
        <w:rPr>
          <w:rFonts w:hint="eastAsia" w:ascii="Arial" w:hAnsi="Arial" w:eastAsia="宋体" w:cs="Arial"/>
          <w:color w:val="000000"/>
          <w:spacing w:val="-2"/>
          <w:kern w:val="2"/>
          <w:sz w:val="22"/>
          <w:szCs w:val="22"/>
          <w:lang w:val="en-US" w:eastAsia="zh-CN" w:bidi="ar"/>
        </w:rPr>
        <w:t>个工作日公告。投资者若对此有异议，可申请赎回。投资者在公告后</w:t>
      </w:r>
      <w:r>
        <w:rPr>
          <w:rFonts w:hint="default" w:ascii="Arial" w:hAnsi="Arial" w:eastAsia="宋体" w:cs="Arial"/>
          <w:color w:val="000000"/>
          <w:spacing w:val="-2"/>
          <w:kern w:val="2"/>
          <w:sz w:val="22"/>
          <w:szCs w:val="22"/>
          <w:lang w:val="en-US" w:eastAsia="zh-CN" w:bidi="ar"/>
        </w:rPr>
        <w:t>5</w:t>
      </w:r>
      <w:r>
        <w:rPr>
          <w:rFonts w:hint="eastAsia" w:ascii="Arial" w:hAnsi="Arial" w:eastAsia="宋体" w:cs="Arial"/>
          <w:color w:val="000000"/>
          <w:spacing w:val="-2"/>
          <w:kern w:val="2"/>
          <w:sz w:val="22"/>
          <w:szCs w:val="22"/>
          <w:lang w:val="en-US" w:eastAsia="zh-CN" w:bidi="ar"/>
        </w:rPr>
        <w:t>个工作日内未提出赎回申请的视同无异议，继续持有本理财产品。</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（三）投资比例</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本理财产品投资于债权类资产的比例不低于</w:t>
      </w:r>
      <w:r>
        <w:rPr>
          <w:rFonts w:hint="default" w:ascii="Arial" w:hAnsi="Arial" w:eastAsia="宋体" w:cs="Arial"/>
          <w:color w:val="000000"/>
          <w:spacing w:val="4"/>
          <w:kern w:val="2"/>
          <w:sz w:val="22"/>
          <w:szCs w:val="22"/>
          <w:lang w:val="en-US" w:eastAsia="zh-CN" w:bidi="ar"/>
        </w:rPr>
        <w:t>80%</w:t>
      </w:r>
      <w:r>
        <w:rPr>
          <w:rFonts w:hint="eastAsia" w:ascii="Arial" w:hAnsi="Arial" w:eastAsia="宋体" w:cs="Arial"/>
          <w:color w:val="000000"/>
          <w:spacing w:val="4"/>
          <w:kern w:val="2"/>
          <w:sz w:val="22"/>
          <w:szCs w:val="22"/>
          <w:lang w:val="en-US" w:eastAsia="zh-CN" w:bidi="ar"/>
        </w:rPr>
        <w:t>，投资于权益类资产的比例不高于</w:t>
      </w:r>
      <w:r>
        <w:rPr>
          <w:rFonts w:hint="default" w:ascii="Arial" w:hAnsi="Arial" w:eastAsia="宋体" w:cs="Arial"/>
          <w:color w:val="000000"/>
          <w:spacing w:val="4"/>
          <w:kern w:val="2"/>
          <w:sz w:val="22"/>
          <w:szCs w:val="22"/>
          <w:lang w:val="en-US" w:eastAsia="zh-CN" w:bidi="ar"/>
        </w:rPr>
        <w:t>20%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产品管理人应当自产品成立日起</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个月内使产品的投资组合比例符合本说明书的有关约定。非因产品管理人主观因素导致突破前述比例限制的，产品管理人将尽力在流动性受限资产可出售、可转让或者恢复交易的</w:t>
      </w:r>
      <w:r>
        <w:rPr>
          <w:rFonts w:hint="default" w:ascii="Arial" w:hAnsi="Arial" w:eastAsia="宋体" w:cs="Arial"/>
          <w:color w:val="000000"/>
          <w:spacing w:val="4"/>
          <w:kern w:val="2"/>
          <w:sz w:val="22"/>
          <w:szCs w:val="22"/>
          <w:lang w:val="en-US" w:eastAsia="zh-CN" w:bidi="ar"/>
        </w:rPr>
        <w:t>15</w:t>
      </w:r>
      <w:r>
        <w:rPr>
          <w:rFonts w:hint="eastAsia" w:ascii="Arial" w:hAnsi="Arial" w:eastAsia="宋体" w:cs="Arial"/>
          <w:color w:val="000000"/>
          <w:spacing w:val="4"/>
          <w:kern w:val="2"/>
          <w:sz w:val="22"/>
          <w:szCs w:val="22"/>
          <w:lang w:val="en-US" w:eastAsia="zh-CN" w:bidi="ar"/>
        </w:rPr>
        <w:t>个交易日内将理财产品投资比例调整至符合相关要求，国务院银行业监督管理机构规定的特殊情形除外。</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（四）投资策略</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理财产品管理人根据产品预设的风险收益水平，确定各类资产和策略的配置比例中枢，结合宏观经济走势、财政与货币政策、利率波动与趋势、利率期限结构、信用风险变化等因素，在较低的波动率（回撤）水平下，适度参与高安全边际的投资机会，在一定范围内动态调整各类资产和策略的配置比例，以实现资产的长期稳健增值。本理财产品的主要投资策略包括（</w:t>
      </w:r>
      <w:r>
        <w:rPr>
          <w:rFonts w:hint="default" w:ascii="Arial" w:hAnsi="Arial" w:eastAsia="宋体" w:cs="Arial"/>
          <w:color w:val="000000"/>
          <w:spacing w:val="4"/>
          <w:kern w:val="2"/>
          <w:sz w:val="22"/>
          <w:szCs w:val="22"/>
          <w:lang w:val="en-US" w:eastAsia="zh-CN" w:bidi="ar"/>
        </w:rPr>
        <w:t>1</w:t>
      </w:r>
      <w:r>
        <w:rPr>
          <w:rFonts w:hint="eastAsia" w:ascii="Arial" w:hAnsi="Arial" w:eastAsia="宋体" w:cs="Arial"/>
          <w:color w:val="000000"/>
          <w:spacing w:val="4"/>
          <w:kern w:val="2"/>
          <w:sz w:val="22"/>
          <w:szCs w:val="22"/>
          <w:lang w:val="en-US" w:eastAsia="zh-CN" w:bidi="ar"/>
        </w:rPr>
        <w:t>）资产配置策略</w:t>
      </w:r>
      <w:r>
        <w:rPr>
          <w:rFonts w:hint="eastAsia" w:ascii="Arial" w:hAnsi="Arial" w:cs="Arial"/>
          <w:color w:val="000000"/>
          <w:spacing w:val="4"/>
          <w:kern w:val="2"/>
          <w:sz w:val="22"/>
          <w:szCs w:val="22"/>
          <w:lang w:val="en-US" w:eastAsia="zh-CN" w:bidi="ar"/>
        </w:rPr>
        <w:t>；</w:t>
      </w:r>
      <w:r>
        <w:rPr>
          <w:rFonts w:hint="eastAsia" w:ascii="Arial" w:hAnsi="Arial" w:eastAsia="宋体" w:cs="Arial"/>
          <w:color w:val="000000"/>
          <w:spacing w:val="4"/>
          <w:kern w:val="2"/>
          <w:sz w:val="22"/>
          <w:szCs w:val="22"/>
          <w:lang w:val="en-US" w:eastAsia="zh-CN" w:bidi="ar"/>
        </w:rPr>
        <w:t>（</w:t>
      </w:r>
      <w:r>
        <w:rPr>
          <w:rFonts w:hint="default" w:ascii="Arial" w:hAnsi="Arial" w:eastAsia="宋体" w:cs="Arial"/>
          <w:color w:val="000000"/>
          <w:spacing w:val="4"/>
          <w:kern w:val="2"/>
          <w:sz w:val="22"/>
          <w:szCs w:val="22"/>
          <w:lang w:val="en-US" w:eastAsia="zh-CN" w:bidi="ar"/>
        </w:rPr>
        <w:t>2</w:t>
      </w:r>
      <w:r>
        <w:rPr>
          <w:rFonts w:hint="eastAsia" w:ascii="Arial" w:hAnsi="Arial" w:eastAsia="宋体" w:cs="Arial"/>
          <w:color w:val="000000"/>
          <w:spacing w:val="4"/>
          <w:kern w:val="2"/>
          <w:sz w:val="22"/>
          <w:szCs w:val="22"/>
          <w:lang w:val="en-US" w:eastAsia="zh-CN" w:bidi="ar"/>
        </w:rPr>
        <w:t>）标准化债券投资策略（配置策略、骑乘策略、收益率曲线策略、息差策略、流动性管理）；（</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）优先股投资策略；（</w:t>
      </w:r>
      <w:r>
        <w:rPr>
          <w:rFonts w:hint="default" w:ascii="Arial" w:hAnsi="Arial" w:eastAsia="宋体" w:cs="Arial"/>
          <w:color w:val="000000"/>
          <w:spacing w:val="4"/>
          <w:kern w:val="2"/>
          <w:sz w:val="22"/>
          <w:szCs w:val="22"/>
          <w:lang w:val="en-US" w:eastAsia="zh-CN" w:bidi="ar"/>
        </w:rPr>
        <w:t>4</w:t>
      </w:r>
      <w:r>
        <w:rPr>
          <w:rFonts w:hint="eastAsia" w:ascii="Arial" w:hAnsi="Arial" w:eastAsia="宋体" w:cs="Arial"/>
          <w:color w:val="000000"/>
          <w:spacing w:val="4"/>
          <w:kern w:val="2"/>
          <w:sz w:val="22"/>
          <w:szCs w:val="22"/>
          <w:lang w:val="en-US" w:eastAsia="zh-CN" w:bidi="ar"/>
        </w:rPr>
        <w:t>）机器量化策略；（</w:t>
      </w: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）对冲打新策略；（</w:t>
      </w:r>
      <w:r>
        <w:rPr>
          <w:rFonts w:hint="default" w:ascii="Arial" w:hAnsi="Arial" w:eastAsia="宋体" w:cs="Arial"/>
          <w:color w:val="000000"/>
          <w:spacing w:val="4"/>
          <w:kern w:val="2"/>
          <w:sz w:val="22"/>
          <w:szCs w:val="22"/>
          <w:lang w:val="en-US" w:eastAsia="zh-CN" w:bidi="ar"/>
        </w:rPr>
        <w:t>6</w:t>
      </w:r>
      <w:r>
        <w:rPr>
          <w:rFonts w:hint="eastAsia" w:ascii="Arial" w:hAnsi="Arial" w:eastAsia="宋体" w:cs="Arial"/>
          <w:color w:val="000000"/>
          <w:spacing w:val="4"/>
          <w:kern w:val="2"/>
          <w:sz w:val="22"/>
          <w:szCs w:val="22"/>
          <w:lang w:val="en-US" w:eastAsia="zh-CN" w:bidi="ar"/>
        </w:rPr>
        <w:t>）结构性票据投资策略；（</w:t>
      </w:r>
      <w:r>
        <w:rPr>
          <w:rFonts w:hint="default" w:ascii="Arial" w:hAnsi="Arial" w:eastAsia="宋体" w:cs="Arial"/>
          <w:color w:val="000000"/>
          <w:spacing w:val="4"/>
          <w:kern w:val="2"/>
          <w:sz w:val="22"/>
          <w:szCs w:val="22"/>
          <w:lang w:val="en-US" w:eastAsia="zh-CN" w:bidi="ar"/>
        </w:rPr>
        <w:t>7</w:t>
      </w:r>
      <w:r>
        <w:rPr>
          <w:rFonts w:hint="eastAsia" w:ascii="Arial" w:hAnsi="Arial" w:eastAsia="宋体" w:cs="Arial"/>
          <w:color w:val="000000"/>
          <w:spacing w:val="4"/>
          <w:kern w:val="2"/>
          <w:sz w:val="22"/>
          <w:szCs w:val="22"/>
          <w:lang w:val="en-US" w:eastAsia="zh-CN" w:bidi="ar"/>
        </w:rPr>
        <w:t>）利率风险衍生品对冲</w:t>
      </w:r>
      <w:r>
        <w:rPr>
          <w:rFonts w:hint="eastAsia" w:ascii="Arial" w:hAnsi="Arial" w:cs="Arial"/>
          <w:color w:val="000000"/>
          <w:spacing w:val="4"/>
          <w:kern w:val="2"/>
          <w:sz w:val="22"/>
          <w:szCs w:val="22"/>
          <w:lang w:val="en-US" w:eastAsia="zh-CN" w:bidi="ar"/>
        </w:rPr>
        <w:t>策略</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（五）投资限制</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1</w:t>
      </w:r>
      <w:r>
        <w:rPr>
          <w:rFonts w:hint="eastAsia" w:ascii="Arial" w:hAnsi="Arial" w:eastAsia="宋体" w:cs="Arial"/>
          <w:color w:val="000000"/>
          <w:spacing w:val="4"/>
          <w:kern w:val="2"/>
          <w:sz w:val="22"/>
          <w:szCs w:val="22"/>
          <w:lang w:val="en-US" w:eastAsia="zh-CN" w:bidi="ar"/>
        </w:rPr>
        <w:t>、本理财产品的杠杆水平不得超过</w:t>
      </w:r>
      <w:r>
        <w:rPr>
          <w:rFonts w:hint="default" w:ascii="Arial" w:hAnsi="Arial" w:eastAsia="宋体" w:cs="Arial"/>
          <w:color w:val="000000"/>
          <w:spacing w:val="4"/>
          <w:kern w:val="2"/>
          <w:sz w:val="22"/>
          <w:szCs w:val="22"/>
          <w:lang w:val="en-US" w:eastAsia="zh-CN" w:bidi="ar"/>
        </w:rPr>
        <w:t>140%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2</w:t>
      </w:r>
      <w:r>
        <w:rPr>
          <w:rFonts w:hint="eastAsia" w:ascii="Arial" w:hAnsi="Arial" w:eastAsia="宋体" w:cs="Arial"/>
          <w:color w:val="000000"/>
          <w:spacing w:val="4"/>
          <w:kern w:val="2"/>
          <w:sz w:val="22"/>
          <w:szCs w:val="22"/>
          <w:lang w:val="en-US" w:eastAsia="zh-CN" w:bidi="ar"/>
        </w:rPr>
        <w:t>、持续保持投资于现金或到期日在一年以内的国债、中央银行票据和政策性金融债券的比例不低于</w:t>
      </w: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、本理财产品投资于单只证券、单只公募证券投资基金的市值不超过本产品净资产的</w:t>
      </w:r>
      <w:r>
        <w:rPr>
          <w:rFonts w:hint="default" w:ascii="Arial" w:hAnsi="Arial" w:eastAsia="宋体" w:cs="Arial"/>
          <w:color w:val="000000"/>
          <w:spacing w:val="4"/>
          <w:kern w:val="2"/>
          <w:sz w:val="22"/>
          <w:szCs w:val="22"/>
          <w:lang w:val="en-US" w:eastAsia="zh-CN" w:bidi="ar"/>
        </w:rPr>
        <w:t xml:space="preserve"> 10%</w:t>
      </w:r>
      <w:r>
        <w:rPr>
          <w:rFonts w:hint="eastAsia" w:ascii="Arial" w:hAnsi="Arial" w:eastAsia="宋体" w:cs="Arial"/>
          <w:color w:val="000000"/>
          <w:spacing w:val="4"/>
          <w:kern w:val="2"/>
          <w:sz w:val="22"/>
          <w:szCs w:val="22"/>
          <w:lang w:val="en-US" w:eastAsia="zh-CN" w:bidi="ar"/>
        </w:rPr>
        <w:t>。本理财产品投资于国债、地方政府债券、中央银行票据、政府机构债券、政策性金融债券的除外。</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4</w:t>
      </w:r>
      <w:r>
        <w:rPr>
          <w:rFonts w:hint="eastAsia" w:ascii="Arial" w:hAnsi="Arial" w:eastAsia="宋体" w:cs="Arial"/>
          <w:color w:val="000000"/>
          <w:spacing w:val="4"/>
          <w:kern w:val="2"/>
          <w:sz w:val="22"/>
          <w:szCs w:val="22"/>
          <w:lang w:val="en-US" w:eastAsia="zh-CN" w:bidi="ar"/>
        </w:rPr>
        <w:t>、本理财产品直接投资于流动性受限资产的市值在开放日不得超过该产品资产净值的</w:t>
      </w:r>
      <w:r>
        <w:rPr>
          <w:rFonts w:hint="default" w:ascii="Arial" w:hAnsi="Arial" w:eastAsia="宋体" w:cs="Arial"/>
          <w:color w:val="000000"/>
          <w:spacing w:val="4"/>
          <w:kern w:val="2"/>
          <w:sz w:val="22"/>
          <w:szCs w:val="22"/>
          <w:lang w:val="en-US" w:eastAsia="zh-CN" w:bidi="ar"/>
        </w:rPr>
        <w:t>15%</w:t>
      </w:r>
      <w:r>
        <w:rPr>
          <w:rFonts w:hint="eastAsia" w:ascii="Arial" w:hAnsi="Arial" w:eastAsia="宋体" w:cs="Arial"/>
          <w:color w:val="000000"/>
          <w:spacing w:val="4"/>
          <w:kern w:val="2"/>
          <w:sz w:val="22"/>
          <w:szCs w:val="22"/>
          <w:lang w:val="en-US" w:eastAsia="zh-CN" w:bidi="ar"/>
        </w:rPr>
        <w:t>。因证券市场波动、上市公司股票停牌、理财产品规模变动等因素导致本理财产品不符合本条规定比例限制的，本理财产品不得主动新增投资流动性受限资产。</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、本理财产品计划投资不存在活跃交易市场，并且需要采用估值技术确定公允价值的资产不得达到净资产</w:t>
      </w:r>
      <w:r>
        <w:rPr>
          <w:rFonts w:hint="default" w:ascii="Arial" w:hAnsi="Arial" w:eastAsia="宋体" w:cs="Arial"/>
          <w:color w:val="000000"/>
          <w:spacing w:val="4"/>
          <w:kern w:val="2"/>
          <w:sz w:val="22"/>
          <w:szCs w:val="22"/>
          <w:lang w:val="en-US" w:eastAsia="zh-CN" w:bidi="ar"/>
        </w:rPr>
        <w:t>50%</w:t>
      </w:r>
      <w:r>
        <w:rPr>
          <w:rFonts w:hint="eastAsia" w:ascii="Arial" w:hAnsi="Arial" w:eastAsia="宋体" w:cs="Arial"/>
          <w:color w:val="000000"/>
          <w:spacing w:val="4"/>
          <w:kern w:val="2"/>
          <w:sz w:val="22"/>
          <w:szCs w:val="22"/>
          <w:lang w:val="en-US" w:eastAsia="zh-CN" w:bidi="ar"/>
        </w:rPr>
        <w:t>。非因管理人主观因素导致突破前款规定比例限制的，本理财产品不得新增投资上述资产。</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6</w:t>
      </w:r>
      <w:r>
        <w:rPr>
          <w:rFonts w:hint="eastAsia" w:ascii="Arial" w:hAnsi="Arial" w:eastAsia="宋体" w:cs="Arial"/>
          <w:color w:val="000000"/>
          <w:spacing w:val="4"/>
          <w:kern w:val="2"/>
          <w:sz w:val="22"/>
          <w:szCs w:val="22"/>
          <w:lang w:val="en-US" w:eastAsia="zh-CN" w:bidi="ar"/>
        </w:rPr>
        <w:t>、本理财产品在开放日前一工作日内，持有的</w:t>
      </w:r>
      <w:r>
        <w:rPr>
          <w:rFonts w:hint="default" w:ascii="Arial" w:hAnsi="Arial" w:eastAsia="宋体" w:cs="Arial"/>
          <w:color w:val="000000"/>
          <w:spacing w:val="4"/>
          <w:kern w:val="2"/>
          <w:sz w:val="22"/>
          <w:szCs w:val="22"/>
          <w:lang w:val="en-US" w:eastAsia="zh-CN" w:bidi="ar"/>
        </w:rPr>
        <w:t>7</w:t>
      </w:r>
      <w:r>
        <w:rPr>
          <w:rFonts w:hint="eastAsia" w:ascii="Arial" w:hAnsi="Arial" w:eastAsia="宋体" w:cs="Arial"/>
          <w:color w:val="000000"/>
          <w:spacing w:val="4"/>
          <w:kern w:val="2"/>
          <w:sz w:val="22"/>
          <w:szCs w:val="22"/>
          <w:lang w:val="en-US" w:eastAsia="zh-CN" w:bidi="ar"/>
        </w:rPr>
        <w:t>个工作日可变现资产的可变现价值不低于该产品资产净值的</w:t>
      </w:r>
      <w:r>
        <w:rPr>
          <w:rFonts w:hint="default" w:ascii="Arial" w:hAnsi="Arial" w:eastAsia="宋体" w:cs="Arial"/>
          <w:color w:val="000000"/>
          <w:spacing w:val="4"/>
          <w:kern w:val="2"/>
          <w:sz w:val="22"/>
          <w:szCs w:val="22"/>
          <w:lang w:val="en-US" w:eastAsia="zh-CN" w:bidi="ar"/>
        </w:rPr>
        <w:t>10%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非因管理人主观因素致使不符合前述第</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条比例限制的，管理人将在流动性受限资产可出售、可转让或者恢复交易的</w:t>
      </w:r>
      <w:r>
        <w:rPr>
          <w:rFonts w:hint="default" w:ascii="Arial" w:hAnsi="Arial" w:eastAsia="宋体" w:cs="Arial"/>
          <w:color w:val="000000"/>
          <w:spacing w:val="4"/>
          <w:kern w:val="2"/>
          <w:sz w:val="22"/>
          <w:szCs w:val="22"/>
          <w:lang w:val="en-US" w:eastAsia="zh-CN" w:bidi="ar"/>
        </w:rPr>
        <w:t xml:space="preserve"> 10 </w:t>
      </w:r>
      <w:r>
        <w:rPr>
          <w:rFonts w:hint="eastAsia" w:ascii="Arial" w:hAnsi="Arial" w:eastAsia="宋体" w:cs="Arial"/>
          <w:color w:val="000000"/>
          <w:spacing w:val="4"/>
          <w:kern w:val="2"/>
          <w:sz w:val="22"/>
          <w:szCs w:val="22"/>
          <w:lang w:val="en-US" w:eastAsia="zh-CN" w:bidi="ar"/>
        </w:rPr>
        <w:t>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6"/>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ascii="Arial" w:hAnsi="Arial" w:cs="Arial"/>
          <w:sz w:val="22"/>
          <w:szCs w:val="22"/>
        </w:rPr>
        <w:t>管理人负责本理财产品的投资运作和产品管理，投资者在此授权并同意管理人享有以下权利：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w:t>
      </w:r>
      <w:r>
        <w:rPr>
          <w:rFonts w:hint="eastAsia" w:ascii="Arial" w:hAnsi="Arial" w:cs="Arial"/>
          <w:sz w:val="22"/>
          <w:szCs w:val="22"/>
        </w:rPr>
        <w:t>/申购</w:t>
      </w:r>
      <w:r>
        <w:rPr>
          <w:rFonts w:ascii="Arial" w:hAnsi="Arial" w:cs="Arial"/>
          <w:sz w:val="22"/>
          <w:szCs w:val="22"/>
        </w:rPr>
        <w:t>起点、单笔认购</w:t>
      </w:r>
      <w:r>
        <w:rPr>
          <w:rFonts w:hint="eastAsia" w:ascii="Arial" w:hAnsi="Arial" w:cs="Arial"/>
          <w:sz w:val="22"/>
          <w:szCs w:val="22"/>
        </w:rPr>
        <w:t>/申购</w:t>
      </w:r>
      <w:r>
        <w:rPr>
          <w:rFonts w:ascii="Arial" w:hAnsi="Arial" w:cs="Arial"/>
          <w:sz w:val="22"/>
          <w:szCs w:val="22"/>
        </w:rPr>
        <w:t>上限等要素；</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6"/>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Pr>
          <w:rFonts w:hint="eastAsia" w:ascii="Arial" w:hAnsi="Arial" w:cs="Arial"/>
          <w:b/>
          <w:sz w:val="22"/>
          <w:szCs w:val="22"/>
        </w:rPr>
        <w:t>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color w:val="000000"/>
                <w:sz w:val="22"/>
                <w:szCs w:val="22"/>
                <w:lang w:val="en-US" w:eastAsia="zh-CN"/>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lang w:val="en-US" w:eastAsia="zh-CN"/>
              </w:rPr>
              <w:t>1987</w:t>
            </w:r>
            <w:r>
              <w:rPr>
                <w:rFonts w:hint="eastAsia" w:ascii="Arial" w:hAnsi="Arial" w:cs="Arial"/>
                <w:kern w:val="0"/>
                <w:sz w:val="22"/>
                <w:szCs w:val="22"/>
              </w:rPr>
              <w:t>年</w:t>
            </w:r>
            <w:r>
              <w:rPr>
                <w:rFonts w:hint="eastAsia" w:ascii="Arial" w:hAnsi="Arial" w:cs="Arial"/>
                <w:kern w:val="0"/>
                <w:sz w:val="22"/>
                <w:szCs w:val="22"/>
                <w:lang w:val="en-US" w:eastAsia="zh-CN"/>
              </w:rPr>
              <w:t>12</w:t>
            </w:r>
            <w:r>
              <w:rPr>
                <w:rFonts w:hint="eastAsia" w:ascii="Arial" w:hAnsi="Arial" w:cs="Arial"/>
                <w:kern w:val="0"/>
                <w:sz w:val="22"/>
                <w:szCs w:val="22"/>
              </w:rPr>
              <w:t>月</w:t>
            </w:r>
            <w:r>
              <w:rPr>
                <w:rFonts w:hint="eastAsia" w:ascii="Arial" w:hAnsi="Arial" w:cs="Arial"/>
                <w:kern w:val="0"/>
                <w:sz w:val="22"/>
                <w:szCs w:val="22"/>
                <w:lang w:val="en-US" w:eastAsia="zh-CN"/>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6"/>
        </w:numPr>
        <w:spacing w:line="360" w:lineRule="auto"/>
        <w:ind w:firstLine="442" w:firstLineChars="200"/>
        <w:rPr>
          <w:rFonts w:ascii="Arial" w:hAnsi="Arial" w:cs="Arial"/>
          <w:b/>
          <w:sz w:val="22"/>
          <w:szCs w:val="22"/>
        </w:rPr>
      </w:pPr>
      <w:r>
        <w:rPr>
          <w:rFonts w:hint="eastAsia" w:ascii="Arial" w:hAnsi="Arial" w:cs="Arial"/>
          <w:b/>
          <w:bCs/>
          <w:color w:val="000000"/>
          <w:sz w:val="22"/>
          <w:szCs w:val="22"/>
        </w:rPr>
        <w:t>销售服务机构</w:t>
      </w:r>
      <w:r>
        <w:rPr>
          <w:rFonts w:ascii="Arial" w:hAnsi="Arial" w:cs="Arial"/>
          <w:b/>
          <w:sz w:val="22"/>
          <w:szCs w:val="22"/>
        </w:rPr>
        <w:t>：</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Pr>
          <w:rFonts w:ascii="Arial" w:hAnsi="Arial" w:cs="Arial"/>
          <w:sz w:val="22"/>
          <w:szCs w:val="22"/>
        </w:rPr>
        <w:t>/</w:t>
      </w:r>
      <w:r>
        <w:rPr>
          <w:rFonts w:hint="eastAsia" w:ascii="Arial" w:hAnsi="Arial" w:cs="Arial"/>
          <w:sz w:val="22"/>
          <w:szCs w:val="22"/>
        </w:rPr>
        <w:t>申购</w:t>
      </w:r>
      <w:r>
        <w:rPr>
          <w:rFonts w:ascii="Arial" w:hAnsi="Arial" w:cs="Arial"/>
          <w:sz w:val="22"/>
          <w:szCs w:val="22"/>
        </w:rPr>
        <w:t>/</w:t>
      </w:r>
      <w:r>
        <w:rPr>
          <w:rFonts w:hint="eastAsia" w:ascii="Arial" w:hAnsi="Arial" w:cs="Arial"/>
          <w:sz w:val="22"/>
          <w:szCs w:val="22"/>
        </w:rPr>
        <w:t>赎回、协助管理人与投资者签署本理财产品销售文件、协助投资者与管理人沟通和客户维护等销售服务。</w:t>
      </w:r>
    </w:p>
    <w:p>
      <w:pPr>
        <w:pStyle w:val="21"/>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单笔认购上限：本理财产品各类份额的投资者单笔认购上限以管理人公布的份额公告为准。如发生超额申请，管理人有权根据实际情况决定拒绝或受理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w:t>
      </w:r>
      <w:r>
        <w:rPr>
          <w:rFonts w:hint="eastAsia" w:ascii="Arial" w:hAnsi="Arial" w:cs="Arial"/>
          <w:snapToGrid w:val="0"/>
          <w:color w:val="000000"/>
          <w:sz w:val="22"/>
          <w:szCs w:val="22"/>
        </w:rPr>
        <w:t>在认购期内，投资者可多次认购。</w:t>
      </w:r>
    </w:p>
    <w:p>
      <w:pPr>
        <w:numPr>
          <w:ilvl w:val="0"/>
          <w:numId w:val="9"/>
        </w:numPr>
        <w:tabs>
          <w:tab w:val="left" w:pos="851"/>
        </w:tabs>
        <w:autoSpaceDE w:val="0"/>
        <w:autoSpaceDN w:val="0"/>
        <w:adjustRightInd w:val="0"/>
        <w:spacing w:line="360" w:lineRule="auto"/>
        <w:ind w:left="0" w:firstLine="426"/>
        <w:rPr>
          <w:rFonts w:ascii="Arial" w:hAnsi="Arial" w:cs="Arial"/>
          <w:sz w:val="22"/>
          <w:szCs w:val="22"/>
        </w:rPr>
      </w:pPr>
      <w:r>
        <w:rPr>
          <w:rFonts w:hint="eastAsia" w:ascii="Arial" w:hAnsi="Arial" w:cs="Arial"/>
          <w:sz w:val="22"/>
          <w:szCs w:val="22"/>
        </w:rPr>
        <w:t>单一投资者持有上限：本理财产品各类份额的单一投资者持有上限以管理人公布的份额公告为准（</w:t>
      </w:r>
      <w:r>
        <w:rPr>
          <w:rFonts w:ascii="Arial" w:hAnsi="Arial" w:cs="Arial"/>
          <w:snapToGrid w:val="0"/>
          <w:color w:val="000000"/>
          <w:sz w:val="22"/>
          <w:szCs w:val="22"/>
        </w:rPr>
        <w:t>在产品运作过程中因收益分配、净值波动等被动超上限的情形除外</w:t>
      </w:r>
      <w:r>
        <w:rPr>
          <w:rFonts w:hint="eastAsia" w:ascii="Arial" w:hAnsi="Arial" w:cs="Arial"/>
          <w:sz w:val="22"/>
          <w:szCs w:val="22"/>
        </w:rPr>
        <w:t>）</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0"/>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b/>
          <w:snapToGrid w:val="0"/>
          <w:color w:val="000000"/>
          <w:sz w:val="22"/>
          <w:szCs w:val="22"/>
        </w:rPr>
        <w:t>本理财产品</w:t>
      </w:r>
      <w:r>
        <w:rPr>
          <w:rFonts w:hint="eastAsia" w:ascii="Arial" w:hAnsi="Arial" w:cs="Arial"/>
          <w:b/>
          <w:snapToGrid w:val="0"/>
          <w:color w:val="000000"/>
          <w:sz w:val="22"/>
          <w:szCs w:val="22"/>
        </w:rPr>
        <w:t>的</w:t>
      </w:r>
      <w:r>
        <w:rPr>
          <w:rFonts w:ascii="Arial" w:hAnsi="Arial" w:cs="Arial"/>
          <w:b/>
          <w:snapToGrid w:val="0"/>
          <w:color w:val="000000"/>
          <w:sz w:val="22"/>
          <w:szCs w:val="22"/>
        </w:rPr>
        <w:t>开放日为</w:t>
      </w:r>
      <w:r>
        <w:rPr>
          <w:rFonts w:hint="eastAsia" w:ascii="Arial" w:hAnsi="Arial" w:cs="Arial"/>
          <w:b/>
          <w:snapToGrid w:val="0"/>
          <w:color w:val="000000"/>
          <w:sz w:val="22"/>
          <w:szCs w:val="22"/>
        </w:rPr>
        <w:t>成立后（不含产品成立日）的每个交易日</w:t>
      </w:r>
      <w:r>
        <w:rPr>
          <w:rFonts w:hint="eastAsia" w:ascii="Arial" w:hAnsi="Arial" w:cs="Arial"/>
          <w:b/>
          <w:sz w:val="22"/>
          <w:szCs w:val="22"/>
        </w:rPr>
        <w:t>。</w:t>
      </w:r>
      <w:r>
        <w:rPr>
          <w:rFonts w:hint="eastAsia" w:ascii="Arial" w:hAnsi="Arial" w:cs="Arial"/>
          <w:snapToGrid w:val="0"/>
          <w:color w:val="000000"/>
          <w:sz w:val="22"/>
          <w:szCs w:val="22"/>
        </w:rPr>
        <w:t>产品管理人根据法律法规、监管规则规定或本理财产品说明书约定，对本理财产品临时暂停申购、赎回的情形除外。</w:t>
      </w:r>
      <w:r>
        <w:rPr>
          <w:rFonts w:ascii="Arial" w:hAnsi="Arial" w:cs="Arial"/>
          <w:snapToGrid w:val="0"/>
          <w:color w:val="000000"/>
          <w:sz w:val="22"/>
          <w:szCs w:val="22"/>
        </w:rPr>
        <w:t>管理人有权调整开放日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0"/>
        </w:numPr>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z w:val="22"/>
          <w:szCs w:val="22"/>
          <w:lang w:val="en-US" w:eastAsia="zh-CN"/>
        </w:rPr>
        <w:t>30</w:t>
      </w:r>
      <w:r>
        <w:rPr>
          <w:rFonts w:ascii="Arial" w:hAnsi="Arial" w:cs="Arial"/>
          <w:snapToGrid w:val="0"/>
          <w:color w:val="000000"/>
          <w:sz w:val="22"/>
          <w:szCs w:val="22"/>
        </w:rPr>
        <w:t>个自然日</w:t>
      </w:r>
      <w:r>
        <w:rPr>
          <w:rFonts w:hint="eastAsia" w:ascii="Arial" w:hAnsi="Arial" w:cs="Arial"/>
          <w:snapToGrid w:val="0"/>
          <w:color w:val="000000"/>
          <w:sz w:val="22"/>
          <w:szCs w:val="22"/>
        </w:rPr>
        <w:t>，最短持有期结束日为第T</w:t>
      </w:r>
      <w:r>
        <w:rPr>
          <w:rFonts w:ascii="Arial" w:hAnsi="Arial" w:cs="Arial"/>
          <w:snapToGrid w:val="0"/>
          <w:color w:val="000000"/>
          <w:sz w:val="22"/>
          <w:szCs w:val="22"/>
        </w:rPr>
        <w:t>+</w:t>
      </w:r>
      <w:r>
        <w:rPr>
          <w:rFonts w:hint="eastAsia" w:ascii="Arial" w:hAnsi="Arial" w:cs="Arial"/>
          <w:sz w:val="22"/>
          <w:szCs w:val="22"/>
          <w:lang w:val="en-US" w:eastAsia="zh-CN"/>
        </w:rPr>
        <w:t>30</w:t>
      </w:r>
      <w:r>
        <w:rPr>
          <w:rFonts w:ascii="Arial" w:hAnsi="Arial" w:cs="Arial"/>
          <w:snapToGrid w:val="0"/>
          <w:color w:val="000000"/>
          <w:sz w:val="22"/>
          <w:szCs w:val="22"/>
        </w:rPr>
        <w:t>个自然日</w:t>
      </w:r>
      <w:r>
        <w:rPr>
          <w:rFonts w:hint="eastAsia" w:ascii="Arial" w:hAnsi="Arial" w:cs="Arial"/>
          <w:snapToGrid w:val="0"/>
          <w:color w:val="000000"/>
          <w:sz w:val="22"/>
          <w:szCs w:val="22"/>
        </w:rPr>
        <w:t>，若第T</w:t>
      </w:r>
      <w:r>
        <w:rPr>
          <w:rFonts w:ascii="Arial" w:hAnsi="Arial" w:cs="Arial"/>
          <w:snapToGrid w:val="0"/>
          <w:color w:val="000000"/>
          <w:sz w:val="22"/>
          <w:szCs w:val="22"/>
        </w:rPr>
        <w:t>+</w:t>
      </w:r>
      <w:r>
        <w:rPr>
          <w:rFonts w:hint="eastAsia" w:ascii="Arial" w:hAnsi="Arial" w:cs="Arial"/>
          <w:sz w:val="22"/>
          <w:szCs w:val="22"/>
          <w:lang w:val="en-US" w:eastAsia="zh-CN"/>
        </w:rPr>
        <w:t>30</w:t>
      </w:r>
      <w:r>
        <w:rPr>
          <w:rFonts w:ascii="Arial" w:hAnsi="Arial" w:cs="Arial"/>
          <w:snapToGrid w:val="0"/>
          <w:color w:val="000000"/>
          <w:sz w:val="22"/>
          <w:szCs w:val="22"/>
        </w:rPr>
        <w:t>个自然日</w:t>
      </w:r>
      <w:r>
        <w:rPr>
          <w:rFonts w:hint="eastAsia" w:ascii="Arial" w:hAnsi="Arial" w:cs="Arial"/>
          <w:snapToGrid w:val="0"/>
          <w:color w:val="000000"/>
          <w:sz w:val="22"/>
          <w:szCs w:val="22"/>
        </w:rPr>
        <w:t>为非开放日则顺延至下一开放日。投资者可在认/申购份额确认后于最短持有期结束日（含）及后续每个开放日申请赎回。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30</w:t>
      </w:r>
      <w:r>
        <w:rPr>
          <w:rFonts w:ascii="Arial" w:hAnsi="Arial" w:cs="Arial"/>
          <w:sz w:val="22"/>
          <w:szCs w:val="22"/>
        </w:rPr>
        <w:t>个自然日</w:t>
      </w:r>
      <w:r>
        <w:rPr>
          <w:rFonts w:hint="eastAsia" w:ascii="Arial" w:hAnsi="Arial" w:cs="Arial"/>
          <w:sz w:val="22"/>
          <w:szCs w:val="22"/>
        </w:rPr>
        <w:t>。具体以产品说明书相关约定为准。</w:t>
      </w:r>
      <w:r>
        <w:rPr>
          <w:rFonts w:ascii="Arial" w:hAnsi="Arial" w:cs="Arial"/>
          <w:sz w:val="22"/>
          <w:szCs w:val="22"/>
        </w:rPr>
        <w:t>以上规则如有调整，以管理人公告为准。</w:t>
      </w:r>
    </w:p>
    <w:p>
      <w:pPr>
        <w:numPr>
          <w:ilvl w:val="0"/>
          <w:numId w:val="10"/>
        </w:numPr>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的申购、赎回撤单申请。投资者提交赎回申请需满足最短持有期的要求。赎回资金将于赎回份额确认日后的2个</w:t>
      </w:r>
      <w:r>
        <w:rPr>
          <w:rFonts w:hint="eastAsia" w:ascii="Arial" w:hAnsi="Arial" w:cs="Arial"/>
          <w:snapToGrid w:val="0"/>
          <w:color w:val="000000"/>
          <w:sz w:val="22"/>
          <w:szCs w:val="22"/>
          <w:lang w:val="en-US" w:eastAsia="zh-CN"/>
        </w:rPr>
        <w:t>交易</w:t>
      </w:r>
      <w:r>
        <w:rPr>
          <w:rFonts w:hint="eastAsia" w:ascii="Arial" w:hAnsi="Arial" w:cs="Arial"/>
          <w:snapToGrid w:val="0"/>
          <w:color w:val="000000"/>
          <w:sz w:val="22"/>
          <w:szCs w:val="22"/>
        </w:rPr>
        <w:t>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指申购、赎回申请有效性的确认日，即申购、赎回申请对应开放日后的第一个交易日。管理人有权根据实际情况公告调整申购、赎回确认日。</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w:t>
      </w:r>
      <w:bookmarkStart w:id="4" w:name="_GoBack"/>
      <w:bookmarkEnd w:id="4"/>
      <w:r>
        <w:rPr>
          <w:rFonts w:hint="eastAsia" w:ascii="Arial" w:hAnsi="Arial" w:cs="Arial"/>
          <w:snapToGrid w:val="0"/>
          <w:color w:val="000000"/>
          <w:sz w:val="22"/>
          <w:szCs w:val="22"/>
        </w:rPr>
        <w:t>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1"/>
        </w:numPr>
        <w:tabs>
          <w:tab w:val="left" w:pos="851"/>
        </w:tabs>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napToGrid w:val="0"/>
          <w:color w:val="000000"/>
          <w:sz w:val="22"/>
          <w:szCs w:val="22"/>
          <w:lang w:val="en-US" w:eastAsia="zh-CN"/>
        </w:rPr>
        <w:t>7</w:t>
      </w:r>
      <w:r>
        <w:rPr>
          <w:rFonts w:hint="eastAsia" w:ascii="Arial" w:hAnsi="Arial" w:cs="Arial"/>
          <w:b/>
          <w:snapToGrid w:val="0"/>
          <w:color w:val="000000"/>
          <w:sz w:val="22"/>
          <w:szCs w:val="22"/>
        </w:rPr>
        <w:t>:00。投资者通过不同销售服务机构办理申购、赎回业务的，可能会因不同销售服务机构的申购、赎回规则不同对权益产生影响。</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单笔申购上限：各类份额的单笔申购上限以管理人公布的份额公告为准。如发生超额申请，管理人有权根据实际情况决定拒绝或受理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w:t>
      </w:r>
      <w:r>
        <w:rPr>
          <w:rFonts w:hint="eastAsia" w:ascii="Arial" w:hAnsi="Arial" w:cs="Arial"/>
          <w:color w:val="000000"/>
          <w:sz w:val="22"/>
          <w:szCs w:val="22"/>
        </w:rPr>
        <w:t>于管理人决定拒绝的申购申请，视为申购不成功。</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单一投资者持有上限：各类份额的单一投资者持有上限以管理人公布的份额公告为准（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），管理人有权以公告形式调整单一投资者持有上限。如发生超额申请，管理人有权根据实际情况决定拒绝或受理。管理人不得接受单一投资者购买超过产品份额总数</w:t>
      </w:r>
      <w:r>
        <w:rPr>
          <w:rFonts w:ascii="Arial" w:hAnsi="Arial" w:cs="Arial"/>
          <w:color w:val="000000"/>
          <w:sz w:val="22"/>
          <w:szCs w:val="22"/>
        </w:rPr>
        <w:t>50%</w:t>
      </w:r>
      <w:r>
        <w:rPr>
          <w:rFonts w:hint="eastAsia" w:ascii="Arial" w:hAnsi="Arial" w:cs="Arial"/>
          <w:color w:val="000000"/>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color w:val="000000"/>
          <w:sz w:val="22"/>
          <w:szCs w:val="22"/>
        </w:rPr>
        <w:t>50%</w:t>
      </w:r>
      <w:r>
        <w:rPr>
          <w:rFonts w:hint="eastAsia" w:ascii="Arial" w:hAnsi="Arial" w:cs="Arial"/>
          <w:color w:val="000000"/>
          <w:sz w:val="22"/>
          <w:szCs w:val="22"/>
        </w:rPr>
        <w:t>以下之前，理财产品管理人不得再接受该投资者对该理财产品的申购申请。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投资者为已持有本理财产品份额的，最低赎回份额为</w:t>
      </w:r>
      <w:r>
        <w:rPr>
          <w:rFonts w:ascii="Arial" w:hAnsi="Arial" w:cs="Arial"/>
          <w:snapToGrid w:val="0"/>
          <w:color w:val="000000"/>
          <w:sz w:val="22"/>
          <w:szCs w:val="22"/>
        </w:rPr>
        <w:t>0.01</w:t>
      </w:r>
      <w:r>
        <w:rPr>
          <w:rFonts w:hint="eastAsia" w:ascii="Arial" w:hAnsi="Arial" w:cs="Arial"/>
          <w:snapToGrid w:val="0"/>
          <w:color w:val="000000"/>
          <w:sz w:val="22"/>
          <w:szCs w:val="22"/>
        </w:rPr>
        <w:t>份，最低申购金额为</w:t>
      </w:r>
      <w:r>
        <w:rPr>
          <w:rFonts w:ascii="Arial" w:hAnsi="Arial" w:cs="Arial"/>
          <w:snapToGrid w:val="0"/>
          <w:color w:val="000000"/>
          <w:sz w:val="22"/>
          <w:szCs w:val="22"/>
        </w:rPr>
        <w:t>0.01</w:t>
      </w:r>
      <w:r>
        <w:rPr>
          <w:rFonts w:hint="eastAsia" w:ascii="Arial" w:hAnsi="Arial" w:cs="Arial"/>
          <w:snapToGrid w:val="0"/>
          <w:color w:val="000000"/>
          <w:sz w:val="22"/>
          <w:szCs w:val="22"/>
        </w:rPr>
        <w:t>元人民币。</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投资者可选择全额或部分赎回，部分赎回后投资者持有本理财产品的实时份额不得低于</w:t>
      </w:r>
      <w:r>
        <w:rPr>
          <w:rFonts w:ascii="Arial" w:hAnsi="Arial" w:cs="Arial"/>
          <w:snapToGrid w:val="0"/>
          <w:color w:val="000000"/>
          <w:sz w:val="22"/>
          <w:szCs w:val="22"/>
        </w:rPr>
        <w:t>0.01</w:t>
      </w:r>
      <w:r>
        <w:rPr>
          <w:rFonts w:hint="eastAsia" w:ascii="Arial" w:hAnsi="Arial" w:cs="Arial"/>
          <w:snapToGrid w:val="0"/>
          <w:color w:val="000000"/>
          <w:sz w:val="22"/>
          <w:szCs w:val="22"/>
        </w:rPr>
        <w:t>份。</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3"/>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w:t>
      </w:r>
      <w:r>
        <w:rPr>
          <w:rFonts w:ascii="Arial" w:hAnsi="Arial" w:cs="Arial"/>
          <w:color w:val="000000"/>
          <w:sz w:val="22"/>
          <w:szCs w:val="22"/>
        </w:rPr>
        <w:t>/</w:t>
      </w:r>
      <w:r>
        <w:rPr>
          <w:rFonts w:hint="eastAsia" w:ascii="Arial" w:hAnsi="Arial" w:cs="Arial"/>
          <w:color w:val="000000"/>
          <w:sz w:val="22"/>
          <w:szCs w:val="22"/>
        </w:rPr>
        <w:t>开放日该类份额的份额净值</w:t>
      </w:r>
    </w:p>
    <w:p>
      <w:pPr>
        <w:numPr>
          <w:ilvl w:val="0"/>
          <w:numId w:val="13"/>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w:t>
      </w:r>
      <w:r>
        <w:rPr>
          <w:rFonts w:hint="eastAsia" w:ascii="Arial" w:hAnsi="Arial" w:cs="Arial"/>
          <w:color w:val="000000"/>
          <w:sz w:val="22"/>
          <w:szCs w:val="22"/>
        </w:rPr>
        <w:t>开放日该类份额的份额净值-浮动管理费（如有）</w:t>
      </w:r>
    </w:p>
    <w:p>
      <w:pPr>
        <w:numPr>
          <w:ilvl w:val="0"/>
          <w:numId w:val="13"/>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spacing w:line="360" w:lineRule="auto"/>
        <w:ind w:firstLine="440" w:firstLineChars="200"/>
        <w:rPr>
          <w:rFonts w:ascii="Arial" w:hAnsi="Arial" w:cs="Arial"/>
          <w:b/>
          <w:color w:val="000000"/>
          <w:sz w:val="22"/>
          <w:szCs w:val="22"/>
        </w:rPr>
      </w:pPr>
      <w:r>
        <w:rPr>
          <w:rFonts w:hint="eastAsia" w:ascii="Arial" w:hAnsi="Arial" w:cs="Arial"/>
          <w:color w:val="000000"/>
          <w:sz w:val="22"/>
          <w:szCs w:val="22"/>
        </w:rPr>
        <w:t>本理财产品份额净值的计算，按四舍五入法保留到小数点后</w:t>
      </w:r>
      <w:r>
        <w:rPr>
          <w:rFonts w:ascii="Arial" w:hAnsi="Arial" w:cs="Arial"/>
          <w:color w:val="000000"/>
          <w:sz w:val="22"/>
          <w:szCs w:val="22"/>
        </w:rPr>
        <w:t>4</w:t>
      </w:r>
      <w:r>
        <w:rPr>
          <w:rFonts w:hint="eastAsia" w:ascii="Arial" w:hAnsi="Arial" w:cs="Arial"/>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40"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sz w:val="22"/>
          <w:szCs w:val="22"/>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w:t>
      </w:r>
      <w:r>
        <w:rPr>
          <w:rFonts w:hint="eastAsia" w:ascii="Arial" w:hAnsi="Arial" w:cs="Arial"/>
          <w:spacing w:val="4"/>
          <w:sz w:val="22"/>
          <w:szCs w:val="22"/>
        </w:rPr>
        <w:t>国家金融监督管理总局</w:t>
      </w:r>
      <w:r>
        <w:rPr>
          <w:rFonts w:hint="eastAsia" w:ascii="Arial" w:hAnsi="Arial" w:cs="Arial"/>
          <w:color w:val="000000" w:themeColor="text1"/>
          <w:spacing w:val="4"/>
          <w:sz w:val="22"/>
          <w:szCs w:val="22"/>
          <w14:textFill>
            <w14:solidFill>
              <w14:schemeClr w14:val="tx1"/>
            </w14:solidFill>
          </w14:textFill>
        </w:rPr>
        <w:t>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8"/>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4"/>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4"/>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1"/>
        <w:numPr>
          <w:ilvl w:val="0"/>
          <w:numId w:val="15"/>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1"/>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sz w:val="22"/>
          <w:szCs w:val="22"/>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7"/>
        <w:numPr>
          <w:ilvl w:val="0"/>
          <w:numId w:val="15"/>
        </w:numPr>
        <w:spacing w:line="360" w:lineRule="auto"/>
        <w:jc w:val="left"/>
        <w:rPr>
          <w:rFonts w:ascii="Arial" w:hAnsi="Arial" w:cs="Arial"/>
          <w:b/>
          <w:bCs/>
          <w:spacing w:val="4"/>
          <w:sz w:val="22"/>
          <w:szCs w:val="22"/>
        </w:rPr>
      </w:pPr>
      <w:r>
        <w:rPr>
          <w:rFonts w:hint="eastAsia" w:ascii="Arial" w:hAnsi="Arial" w:cs="Arial"/>
          <w:b/>
          <w:bCs/>
          <w:spacing w:val="4"/>
          <w:sz w:val="22"/>
          <w:szCs w:val="22"/>
          <w:lang w:bidi="ar"/>
        </w:rPr>
        <w:t>估值方法</w:t>
      </w:r>
    </w:p>
    <w:p>
      <w:pPr>
        <w:pStyle w:val="7"/>
        <w:numPr>
          <w:ilvl w:val="0"/>
          <w:numId w:val="16"/>
        </w:numPr>
        <w:spacing w:line="360" w:lineRule="auto"/>
        <w:rPr>
          <w:rFonts w:ascii="Arial" w:hAnsi="Arial" w:cs="Arial"/>
          <w:color w:val="0D0D0D"/>
          <w:sz w:val="22"/>
          <w:szCs w:val="22"/>
        </w:rPr>
      </w:pPr>
      <w:r>
        <w:rPr>
          <w:rFonts w:hint="eastAsia" w:ascii="Arial" w:hAnsi="Arial" w:cs="Arial"/>
          <w:color w:val="0D0D0D"/>
          <w:sz w:val="22"/>
          <w:szCs w:val="22"/>
          <w:lang w:bidi="ar"/>
        </w:rPr>
        <w:t>货币市场工具类资产的估值</w:t>
      </w:r>
    </w:p>
    <w:p>
      <w:pPr>
        <w:pStyle w:val="7"/>
        <w:numPr>
          <w:ilvl w:val="0"/>
          <w:numId w:val="17"/>
        </w:numPr>
        <w:spacing w:line="360" w:lineRule="auto"/>
        <w:rPr>
          <w:rFonts w:ascii="Arial" w:hAnsi="Arial" w:cs="Arial"/>
          <w:color w:val="0D0D0D"/>
          <w:sz w:val="22"/>
          <w:szCs w:val="22"/>
        </w:rPr>
      </w:pPr>
      <w:r>
        <w:rPr>
          <w:rFonts w:hint="eastAsia" w:ascii="Arial" w:hAnsi="Arial" w:cs="Arial"/>
          <w:color w:val="0D0D0D"/>
          <w:sz w:val="22"/>
          <w:szCs w:val="22"/>
          <w:lang w:bidi="ar"/>
        </w:rPr>
        <w:t>一般性存款按其适用利率逐日计提利息；</w:t>
      </w:r>
    </w:p>
    <w:p>
      <w:pPr>
        <w:pStyle w:val="7"/>
        <w:numPr>
          <w:ilvl w:val="0"/>
          <w:numId w:val="17"/>
        </w:numPr>
        <w:spacing w:line="360" w:lineRule="auto"/>
        <w:rPr>
          <w:rFonts w:ascii="Arial" w:hAnsi="Arial" w:cs="Arial"/>
          <w:color w:val="0D0D0D"/>
          <w:sz w:val="22"/>
          <w:szCs w:val="22"/>
        </w:rPr>
      </w:pPr>
      <w:r>
        <w:rPr>
          <w:rFonts w:hint="eastAsia" w:ascii="Arial" w:hAnsi="Arial" w:cs="Arial"/>
          <w:color w:val="0D0D0D"/>
          <w:sz w:val="22"/>
          <w:szCs w:val="22"/>
          <w:lang w:bidi="ar"/>
        </w:rPr>
        <w:t>债券回购和拆借、同业存款按其约定利率逐日计提利息。</w:t>
      </w:r>
    </w:p>
    <w:p>
      <w:pPr>
        <w:pStyle w:val="7"/>
        <w:numPr>
          <w:ilvl w:val="0"/>
          <w:numId w:val="16"/>
        </w:numPr>
        <w:spacing w:line="360" w:lineRule="auto"/>
        <w:rPr>
          <w:rFonts w:ascii="Arial" w:hAnsi="Arial" w:eastAsia="等线" w:cs="Arial"/>
          <w:color w:val="0D0D0D"/>
          <w:spacing w:val="4"/>
          <w:sz w:val="22"/>
          <w:szCs w:val="22"/>
        </w:rPr>
      </w:pPr>
      <w:r>
        <w:rPr>
          <w:rFonts w:hint="eastAsia" w:ascii="Arial" w:hAnsi="Arial" w:cs="Arial"/>
          <w:color w:val="0D0D0D"/>
          <w:spacing w:val="4"/>
          <w:sz w:val="22"/>
          <w:szCs w:val="22"/>
          <w:lang w:bidi="ar"/>
        </w:rPr>
        <w:t>债券类资产的估值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）不含转股权的债券，按第三方估值机构（中债、中证等）提供的估值数据</w:t>
      </w:r>
      <w:r>
        <w:rPr>
          <w:rFonts w:hint="eastAsia" w:ascii="Arial" w:hAnsi="Arial" w:cs="Arial"/>
          <w:color w:val="0D0D0D"/>
          <w:kern w:val="0"/>
          <w:sz w:val="22"/>
          <w:szCs w:val="22"/>
          <w:lang w:bidi="ar"/>
        </w:rPr>
        <w:t>，对本理财产品持有的债券</w:t>
      </w:r>
      <w:r>
        <w:rPr>
          <w:rFonts w:hint="eastAsia" w:ascii="Arial" w:hAnsi="Arial" w:cs="Arial"/>
          <w:color w:val="0D0D0D"/>
          <w:sz w:val="22"/>
          <w:szCs w:val="22"/>
          <w:lang w:bidi="ar"/>
        </w:rPr>
        <w:t>进行估值，具体第三方估值机构及取值方法由管理人和托管人具体协商确定；</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3</w:t>
      </w:r>
      <w:r>
        <w:rPr>
          <w:rFonts w:hint="eastAsia" w:ascii="Arial" w:hAnsi="Arial" w:cs="Arial"/>
          <w:color w:val="0D0D0D"/>
          <w:sz w:val="22"/>
          <w:szCs w:val="22"/>
          <w:lang w:bidi="ar"/>
        </w:rPr>
        <w:t>）同一债券同时在两个或两个以上市场交易的，按债券所处的市场分别估值；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4</w:t>
      </w:r>
      <w:r>
        <w:rPr>
          <w:rFonts w:hint="eastAsia" w:ascii="Arial" w:hAnsi="Arial" w:cs="Arial"/>
          <w:color w:val="0D0D0D"/>
          <w:sz w:val="22"/>
          <w:szCs w:val="22"/>
          <w:lang w:bidi="ar"/>
        </w:rPr>
        <w:t>）如监管对此另有规定的，按照监管的最新规定进行调整。</w:t>
      </w:r>
    </w:p>
    <w:p>
      <w:pPr>
        <w:pStyle w:val="7"/>
        <w:numPr>
          <w:ilvl w:val="0"/>
          <w:numId w:val="16"/>
        </w:numPr>
        <w:spacing w:line="360" w:lineRule="auto"/>
        <w:rPr>
          <w:rFonts w:ascii="Arial" w:hAnsi="Arial" w:cs="Arial"/>
          <w:color w:val="000000"/>
          <w:sz w:val="22"/>
          <w:szCs w:val="22"/>
        </w:rPr>
      </w:pPr>
      <w:r>
        <w:rPr>
          <w:rFonts w:hint="eastAsia" w:ascii="Arial" w:hAnsi="Arial" w:cs="Arial"/>
          <w:color w:val="000000"/>
          <w:sz w:val="22"/>
          <w:szCs w:val="22"/>
          <w:lang w:bidi="ar"/>
        </w:rPr>
        <w:t>证券投资基金的估值</w:t>
      </w:r>
    </w:p>
    <w:p>
      <w:pPr>
        <w:spacing w:line="360" w:lineRule="auto"/>
        <w:rPr>
          <w:rFonts w:ascii="Arial" w:hAnsi="Arial" w:cs="Arial"/>
          <w:color w:val="000000"/>
          <w:sz w:val="22"/>
          <w:szCs w:val="22"/>
        </w:rPr>
      </w:pPr>
      <w:r>
        <w:rPr>
          <w:rFonts w:ascii="Arial" w:hAnsi="Arial" w:cs="Arial"/>
          <w:color w:val="000000"/>
          <w:sz w:val="22"/>
          <w:szCs w:val="22"/>
          <w:lang w:bidi="ar"/>
        </w:rPr>
        <w:t xml:space="preserve">    1</w:t>
      </w:r>
      <w:r>
        <w:rPr>
          <w:rFonts w:hint="eastAsia" w:ascii="Arial" w:hAnsi="Arial" w:cs="Arial"/>
          <w:color w:val="000000"/>
          <w:sz w:val="22"/>
          <w:szCs w:val="22"/>
          <w:lang w:bidi="ar"/>
        </w:rPr>
        <w:t>）非上市基金估值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2</w:t>
      </w:r>
      <w:r>
        <w:rPr>
          <w:rFonts w:hint="eastAsia" w:ascii="Arial" w:hAnsi="Arial" w:cs="Arial"/>
          <w:color w:val="000000"/>
          <w:sz w:val="22"/>
          <w:szCs w:val="22"/>
          <w:lang w:bidi="ar"/>
        </w:rPr>
        <w:t>）上市基金估值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交易所上市流通的基金，按估值日其所在证券交易所的收盘价估值</w:t>
      </w:r>
      <w:r>
        <w:rPr>
          <w:rFonts w:ascii="Arial" w:hAnsi="Arial" w:cs="Arial"/>
          <w:color w:val="000000"/>
          <w:sz w:val="22"/>
          <w:szCs w:val="22"/>
          <w:lang w:bidi="ar"/>
        </w:rPr>
        <w:t xml:space="preserve">, </w:t>
      </w:r>
      <w:r>
        <w:rPr>
          <w:rFonts w:hint="eastAsia" w:ascii="Arial" w:hAnsi="Arial" w:cs="Arial"/>
          <w:color w:val="000000"/>
          <w:sz w:val="22"/>
          <w:szCs w:val="22"/>
          <w:lang w:bidi="ar"/>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sz w:val="22"/>
          <w:szCs w:val="22"/>
          <w:lang w:bidi="ar"/>
        </w:rPr>
        <w:t>LOF</w:t>
      </w:r>
      <w:r>
        <w:rPr>
          <w:rFonts w:hint="eastAsia" w:ascii="Arial" w:hAnsi="Arial" w:cs="Arial"/>
          <w:color w:val="000000"/>
          <w:sz w:val="22"/>
          <w:szCs w:val="22"/>
          <w:lang w:bidi="ar"/>
        </w:rPr>
        <w:t>），按所投资基金估值日的份额净值估值；公募</w:t>
      </w:r>
      <w:r>
        <w:rPr>
          <w:rFonts w:ascii="Arial" w:hAnsi="Arial" w:cs="Arial"/>
          <w:color w:val="000000"/>
          <w:sz w:val="22"/>
          <w:szCs w:val="22"/>
          <w:lang w:bidi="ar"/>
        </w:rPr>
        <w:t xml:space="preserve"> REITs</w:t>
      </w:r>
      <w:r>
        <w:rPr>
          <w:rFonts w:hint="eastAsia" w:ascii="Arial" w:hAnsi="Arial" w:cs="Arial"/>
          <w:color w:val="000000"/>
          <w:sz w:val="22"/>
          <w:szCs w:val="22"/>
          <w:lang w:bidi="ar"/>
        </w:rPr>
        <w:t>，按监管机构或行业协会有关规定确定公允价值。</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3</w:t>
      </w:r>
      <w:r>
        <w:rPr>
          <w:rFonts w:hint="eastAsia" w:ascii="Arial" w:hAnsi="Arial" w:cs="Arial"/>
          <w:color w:val="000000"/>
          <w:sz w:val="22"/>
          <w:szCs w:val="22"/>
          <w:lang w:bidi="ar"/>
        </w:rPr>
        <w:t>）如遇所投资基金不公布基金份额净值、进行折算或拆分、估值日无交易等特殊情况，按照以下原则进行估值：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7"/>
        <w:spacing w:line="360" w:lineRule="auto"/>
        <w:ind w:firstLine="424" w:firstLineChars="193"/>
        <w:rPr>
          <w:rFonts w:ascii="Arial" w:hAnsi="Arial" w:cs="Arial"/>
          <w:color w:val="0D0D0D"/>
          <w:sz w:val="22"/>
          <w:szCs w:val="22"/>
        </w:rPr>
      </w:pPr>
      <w:r>
        <w:rPr>
          <w:rFonts w:hint="eastAsia" w:ascii="Arial" w:hAnsi="Arial" w:cs="Arial"/>
          <w:color w:val="000000"/>
          <w:sz w:val="22"/>
          <w:szCs w:val="22"/>
          <w:lang w:bidi="ar"/>
        </w:rPr>
        <w:t>③如果所投资基金前一估值日至估值日期间发生分红除权、折算或拆分，基金管理人应根据基金份额净值或收盘价、单位基金份额分红金额、折算拆分比例、持仓份额等因素合理确定公允价值。</w:t>
      </w:r>
    </w:p>
    <w:p>
      <w:pPr>
        <w:pStyle w:val="7"/>
        <w:numPr>
          <w:ilvl w:val="0"/>
          <w:numId w:val="16"/>
        </w:numPr>
        <w:spacing w:line="360" w:lineRule="auto"/>
        <w:ind w:left="0" w:firstLine="440" w:firstLineChars="200"/>
        <w:rPr>
          <w:rFonts w:ascii="Arial" w:hAnsi="Arial" w:cs="Arial"/>
          <w:color w:val="0D0D0D"/>
          <w:sz w:val="22"/>
          <w:szCs w:val="22"/>
        </w:rPr>
      </w:pPr>
      <w:r>
        <w:rPr>
          <w:rFonts w:hint="eastAsia" w:ascii="Arial" w:hAnsi="Arial" w:cs="Arial"/>
          <w:color w:val="0D0D0D"/>
          <w:sz w:val="22"/>
          <w:szCs w:val="22"/>
          <w:lang w:bidi="ar"/>
        </w:rPr>
        <w:t>其他资产管理产品的估值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）如所投资产管理产品的产品合同未约定估值方案或其管理人提供的估值数据不公允，由产品管理人和产品托管人根据合理判断按反映产品公允价值的计量方案进行估值。</w:t>
      </w:r>
    </w:p>
    <w:p>
      <w:pPr>
        <w:pStyle w:val="7"/>
        <w:numPr>
          <w:ilvl w:val="0"/>
          <w:numId w:val="16"/>
        </w:numPr>
        <w:spacing w:line="360" w:lineRule="auto"/>
        <w:rPr>
          <w:rFonts w:ascii="Arial" w:hAnsi="Arial" w:cs="Arial"/>
          <w:color w:val="000000"/>
          <w:sz w:val="22"/>
          <w:szCs w:val="22"/>
        </w:rPr>
      </w:pPr>
      <w:r>
        <w:rPr>
          <w:rFonts w:hint="eastAsia" w:ascii="Arial" w:hAnsi="Arial" w:cs="Arial"/>
          <w:color w:val="0D0D0D"/>
          <w:sz w:val="22"/>
          <w:szCs w:val="22"/>
          <w:lang w:bidi="ar"/>
        </w:rPr>
        <w:t>衍生品金融工具估值</w:t>
      </w:r>
      <w:r>
        <w:rPr>
          <w:rFonts w:hint="eastAsia" w:ascii="Arial" w:hAnsi="Arial" w:cs="Arial"/>
          <w:color w:val="000000"/>
          <w:sz w:val="22"/>
          <w:szCs w:val="22"/>
          <w:lang w:bidi="ar"/>
        </w:rPr>
        <w:t>，包括但不限于利率互换、收益互换、国债期货等</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）场内交易的衍生品金融工具，以交易所最近交易日结算价或收盘价进行估值；</w:t>
      </w:r>
    </w:p>
    <w:p>
      <w:pPr>
        <w:spacing w:line="360" w:lineRule="auto"/>
        <w:ind w:firstLine="440" w:firstLineChars="200"/>
        <w:rPr>
          <w:rFonts w:hint="eastAsia" w:ascii="Arial" w:hAnsi="Arial" w:cs="Arial"/>
          <w:color w:val="0D0D0D"/>
          <w:sz w:val="22"/>
          <w:szCs w:val="22"/>
          <w:lang w:bidi="ar"/>
        </w:rPr>
      </w:pPr>
      <w:r>
        <w:rPr>
          <w:rFonts w:ascii="Arial" w:hAnsi="Arial" w:cs="Arial"/>
          <w:color w:val="0D0D0D"/>
          <w:sz w:val="22"/>
          <w:szCs w:val="22"/>
          <w:lang w:bidi="ar"/>
        </w:rPr>
        <w:t>2</w:t>
      </w:r>
      <w:r>
        <w:rPr>
          <w:rFonts w:hint="eastAsia" w:ascii="Arial" w:hAnsi="Arial" w:cs="Arial"/>
          <w:color w:val="0D0D0D"/>
          <w:sz w:val="22"/>
          <w:szCs w:val="22"/>
          <w:lang w:bidi="ar"/>
        </w:rPr>
        <w:t>）场外交易的衍生品金融工具，采用估值技术确定其公允价值，按照管理人和托管人认可的估值模型或第三方数据进行估值。</w:t>
      </w:r>
    </w:p>
    <w:p>
      <w:pPr>
        <w:pStyle w:val="7"/>
        <w:keepNext w:val="0"/>
        <w:keepLines w:val="0"/>
        <w:widowControl w:val="0"/>
        <w:numPr>
          <w:ilvl w:val="0"/>
          <w:numId w:val="16"/>
        </w:numPr>
        <w:suppressLineNumbers w:val="0"/>
        <w:spacing w:before="0" w:beforeAutospacing="0" w:after="0" w:afterAutospacing="0" w:line="360" w:lineRule="auto"/>
        <w:ind w:left="0" w:right="0" w:firstLine="440" w:firstLineChars="200"/>
        <w:jc w:val="both"/>
        <w:rPr>
          <w:rFonts w:hint="default" w:ascii="Arial" w:hAnsi="Arial" w:cs="Arial"/>
          <w:color w:val="0D0D0D"/>
          <w:sz w:val="22"/>
          <w:szCs w:val="22"/>
          <w:lang w:val="en-US"/>
        </w:rPr>
      </w:pPr>
      <w:r>
        <w:rPr>
          <w:rFonts w:hint="eastAsia" w:ascii="Arial" w:hAnsi="Arial" w:eastAsia="宋体" w:cs="Arial"/>
          <w:color w:val="0D0D0D"/>
          <w:kern w:val="2"/>
          <w:sz w:val="22"/>
          <w:szCs w:val="22"/>
          <w:lang w:val="en-US" w:eastAsia="zh-CN" w:bidi="ar"/>
        </w:rPr>
        <w:t>优先股的估值</w:t>
      </w:r>
    </w:p>
    <w:p>
      <w:pPr>
        <w:keepNext w:val="0"/>
        <w:keepLines w:val="0"/>
        <w:widowControl w:val="0"/>
        <w:suppressLineNumbers w:val="0"/>
        <w:spacing w:before="0" w:beforeAutospacing="0" w:after="0" w:afterAutospacing="0" w:line="360" w:lineRule="auto"/>
        <w:ind w:left="0" w:right="0" w:firstLine="440" w:firstLineChars="200"/>
        <w:jc w:val="both"/>
        <w:rPr>
          <w:rFonts w:hint="eastAsia" w:ascii="Arial" w:hAnsi="Arial" w:cs="Arial"/>
          <w:color w:val="0D0D0D"/>
          <w:sz w:val="22"/>
          <w:szCs w:val="22"/>
          <w:lang w:bidi="ar"/>
        </w:rPr>
      </w:pPr>
      <w:r>
        <w:rPr>
          <w:rFonts w:hint="eastAsia" w:ascii="Arial" w:hAnsi="Arial" w:eastAsia="宋体" w:cs="Arial"/>
          <w:color w:val="0D0D0D"/>
          <w:kern w:val="2"/>
          <w:sz w:val="22"/>
          <w:szCs w:val="22"/>
          <w:lang w:val="en-US" w:eastAsia="zh-CN" w:bidi="ar"/>
        </w:rPr>
        <w:t>优先股按第三方估值机构（中债、中证等）提供的估值数据进行估值；无第三方估值的，由管理人和托管人根据合理判断按反映产品公允价值的计量方案进行估值。</w:t>
      </w:r>
    </w:p>
    <w:p>
      <w:pPr>
        <w:pStyle w:val="7"/>
        <w:numPr>
          <w:ilvl w:val="0"/>
          <w:numId w:val="16"/>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结构性产品的估值</w:t>
      </w:r>
    </w:p>
    <w:p>
      <w:pPr>
        <w:spacing w:line="360" w:lineRule="auto"/>
        <w:ind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结构性产品以发行人提供的最新估值价格或管理人与托管人认可的估值技术进行估值。</w:t>
      </w:r>
    </w:p>
    <w:p>
      <w:pPr>
        <w:pStyle w:val="7"/>
        <w:numPr>
          <w:ilvl w:val="0"/>
          <w:numId w:val="16"/>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其他类资产的估值</w:t>
      </w:r>
    </w:p>
    <w:p>
      <w:pPr>
        <w:spacing w:line="360" w:lineRule="auto"/>
        <w:ind w:firstLine="440" w:firstLineChars="200"/>
        <w:rPr>
          <w:rFonts w:ascii="Arial" w:hAnsi="Arial" w:cs="Arial"/>
          <w:color w:val="0D0D0D"/>
          <w:sz w:val="22"/>
          <w:szCs w:val="22"/>
        </w:rPr>
      </w:pPr>
      <w:r>
        <w:rPr>
          <w:rFonts w:hint="eastAsia" w:ascii="Arial" w:hAnsi="Arial" w:cs="Arial"/>
          <w:color w:val="0D0D0D"/>
          <w:sz w:val="22"/>
          <w:szCs w:val="22"/>
          <w:lang w:bidi="ar"/>
        </w:rPr>
        <w:t>若本理财产品存续期间持有其他投资品种，以管理人和托管人共同认可的方法估值。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hint="eastAsia" w:ascii="Arial" w:hAnsi="Arial" w:cs="Arial"/>
          <w:color w:val="0D0D0D"/>
          <w:sz w:val="22"/>
          <w:szCs w:val="22"/>
          <w:lang w:bidi="ar"/>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1"/>
        <w:numPr>
          <w:ilvl w:val="0"/>
          <w:numId w:val="15"/>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1"/>
        <w:numPr>
          <w:ilvl w:val="0"/>
          <w:numId w:val="18"/>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1"/>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1"/>
        <w:numPr>
          <w:ilvl w:val="0"/>
          <w:numId w:val="15"/>
        </w:numPr>
        <w:spacing w:line="360" w:lineRule="auto"/>
        <w:ind w:firstLineChars="0"/>
        <w:jc w:val="left"/>
        <w:rPr>
          <w:rFonts w:ascii="Arial" w:hAnsi="Arial" w:cs="Arial"/>
          <w:b/>
          <w:sz w:val="22"/>
          <w:szCs w:val="22"/>
        </w:rPr>
      </w:pPr>
      <w:r>
        <w:rPr>
          <w:rFonts w:hint="eastAsia" w:ascii="Arial" w:hAnsi="Arial" w:cs="Arial"/>
          <w:b/>
          <w:spacing w:val="4"/>
          <w:sz w:val="22"/>
          <w:szCs w:val="22"/>
        </w:rPr>
        <w:t>估值错误的处理</w:t>
      </w:r>
    </w:p>
    <w:p>
      <w:pPr>
        <w:spacing w:line="360" w:lineRule="auto"/>
        <w:ind w:firstLine="440" w:firstLineChars="200"/>
        <w:rPr>
          <w:rFonts w:ascii="Arial" w:hAnsi="Arial" w:cs="Arial"/>
          <w:sz w:val="22"/>
          <w:szCs w:val="22"/>
        </w:rPr>
      </w:pPr>
      <w:r>
        <w:rPr>
          <w:rFonts w:hint="eastAsia" w:ascii="Arial" w:hAnsi="Arial" w:cs="Arial"/>
          <w:sz w:val="22"/>
          <w:szCs w:val="22"/>
        </w:rPr>
        <w:t>（1）估值错误处理原则</w:t>
      </w:r>
    </w:p>
    <w:p>
      <w:pPr>
        <w:spacing w:line="360" w:lineRule="auto"/>
        <w:ind w:firstLine="440" w:firstLineChars="20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40" w:firstLineChars="20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3）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spacing w:line="360" w:lineRule="auto"/>
        <w:ind w:firstLine="440" w:firstLineChars="20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5）按法律法规规定的其他原则处理估值错误。</w:t>
      </w:r>
    </w:p>
    <w:p>
      <w:pPr>
        <w:spacing w:line="360" w:lineRule="auto"/>
        <w:ind w:firstLine="440" w:firstLineChars="200"/>
        <w:rPr>
          <w:rFonts w:ascii="Arial" w:hAnsi="Arial" w:cs="Arial"/>
          <w:sz w:val="22"/>
          <w:szCs w:val="22"/>
        </w:rPr>
      </w:pPr>
      <w:r>
        <w:rPr>
          <w:rFonts w:hint="eastAsia" w:ascii="Arial" w:hAnsi="Arial" w:cs="Arial"/>
          <w:sz w:val="22"/>
          <w:szCs w:val="22"/>
        </w:rPr>
        <w:t>（2）估值错误处理程序</w:t>
      </w:r>
    </w:p>
    <w:p>
      <w:pPr>
        <w:spacing w:line="360" w:lineRule="auto"/>
        <w:ind w:firstLine="440" w:firstLineChars="20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spacing w:line="360" w:lineRule="auto"/>
        <w:ind w:firstLine="440" w:firstLineChars="20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spacing w:line="360" w:lineRule="auto"/>
        <w:ind w:firstLine="440" w:firstLineChars="20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spacing w:line="360" w:lineRule="auto"/>
        <w:ind w:firstLine="440" w:firstLineChars="20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spacing w:line="360" w:lineRule="auto"/>
        <w:ind w:firstLine="440" w:firstLineChars="20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spacing w:line="360" w:lineRule="auto"/>
        <w:ind w:firstLine="440" w:firstLineChars="200"/>
        <w:rPr>
          <w:rFonts w:ascii="Arial" w:hAnsi="Arial" w:cs="Arial"/>
          <w:sz w:val="22"/>
          <w:szCs w:val="22"/>
        </w:rPr>
      </w:pPr>
      <w:r>
        <w:rPr>
          <w:rFonts w:hint="eastAsia" w:ascii="Arial" w:hAnsi="Arial" w:cs="Arial"/>
          <w:sz w:val="22"/>
          <w:szCs w:val="22"/>
        </w:rPr>
        <w:t>（3）特殊情况的处理</w:t>
      </w:r>
    </w:p>
    <w:p>
      <w:pPr>
        <w:spacing w:line="360" w:lineRule="auto"/>
        <w:ind w:firstLine="440" w:firstLineChars="20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40" w:firstLineChars="20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1"/>
        <w:numPr>
          <w:ilvl w:val="0"/>
          <w:numId w:val="15"/>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spacing w:line="360" w:lineRule="auto"/>
        <w:ind w:firstLine="440" w:firstLineChars="200"/>
        <w:rPr>
          <w:rFonts w:ascii="Arial" w:hAnsi="Arial" w:cs="Arial"/>
          <w:sz w:val="22"/>
          <w:szCs w:val="22"/>
        </w:rPr>
      </w:pP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w:t>
      </w:r>
      <w:r>
        <w:rPr>
          <w:rFonts w:hint="eastAsia" w:ascii="Arial" w:hAnsi="Arial" w:cs="Arial"/>
          <w:color w:val="000000"/>
          <w:sz w:val="22"/>
          <w:szCs w:val="22"/>
        </w:rPr>
        <w:t>公告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w:t>
      </w:r>
      <w:r>
        <w:rPr>
          <w:rFonts w:hint="eastAsia" w:ascii="Arial" w:hAnsi="Arial" w:cs="Arial"/>
          <w:color w:val="000000"/>
          <w:sz w:val="22"/>
          <w:szCs w:val="22"/>
        </w:rPr>
        <w:t>本</w:t>
      </w:r>
      <w:r>
        <w:rPr>
          <w:rFonts w:hint="eastAsia" w:ascii="Arial" w:hAnsi="Arial" w:cs="Arial"/>
          <w:sz w:val="22"/>
          <w:szCs w:val="22"/>
        </w:rPr>
        <w:t>理财产品资产中列支。</w:t>
      </w:r>
    </w:p>
    <w:p>
      <w:pPr>
        <w:widowControl/>
        <w:numPr>
          <w:ilvl w:val="0"/>
          <w:numId w:val="20"/>
        </w:numPr>
        <w:autoSpaceDE w:val="0"/>
        <w:autoSpaceDN w:val="0"/>
        <w:adjustRightInd w:val="0"/>
        <w:spacing w:line="360" w:lineRule="auto"/>
        <w:ind w:left="0" w:firstLine="442" w:firstLineChars="200"/>
        <w:rPr>
          <w:rFonts w:ascii="Arial" w:hAnsi="Arial" w:cs="Arial"/>
          <w:b/>
          <w:sz w:val="22"/>
          <w:szCs w:val="22"/>
        </w:rPr>
      </w:pPr>
      <w:r>
        <w:rPr>
          <w:rFonts w:ascii="Arial" w:hAnsi="Arial" w:cs="Arial"/>
          <w:b/>
          <w:sz w:val="22"/>
          <w:szCs w:val="22"/>
        </w:rPr>
        <w:t>本理财产品的产品成立日不计提</w:t>
      </w:r>
      <w:r>
        <w:rPr>
          <w:rFonts w:hint="eastAsia" w:ascii="Arial" w:hAnsi="Arial" w:cs="Arial"/>
          <w:b/>
          <w:sz w:val="22"/>
          <w:szCs w:val="22"/>
        </w:rPr>
        <w:t>固定</w:t>
      </w:r>
      <w:r>
        <w:rPr>
          <w:rFonts w:ascii="Arial" w:hAnsi="Arial" w:cs="Arial"/>
          <w:b/>
          <w:sz w:val="22"/>
          <w:szCs w:val="22"/>
        </w:rPr>
        <w:t>费用。</w:t>
      </w:r>
    </w:p>
    <w:p>
      <w:pPr>
        <w:widowControl/>
        <w:numPr>
          <w:ilvl w:val="0"/>
          <w:numId w:val="20"/>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1"/>
        <w:widowControl/>
        <w:numPr>
          <w:ilvl w:val="0"/>
          <w:numId w:val="19"/>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1"/>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费用调整</w:t>
      </w:r>
    </w:p>
    <w:p>
      <w:pPr>
        <w:spacing w:line="360" w:lineRule="auto"/>
        <w:ind w:firstLine="440" w:firstLineChars="200"/>
        <w:rPr>
          <w:rFonts w:ascii="Arial" w:hAnsi="Arial" w:cs="Arial"/>
          <w:sz w:val="22"/>
          <w:szCs w:val="22"/>
        </w:rPr>
      </w:pPr>
      <w:bookmarkStart w:id="0" w:name="TCSignMonth"/>
      <w:bookmarkEnd w:id="0"/>
      <w:bookmarkStart w:id="1" w:name="TAttachment"/>
      <w:bookmarkEnd w:id="1"/>
      <w:bookmarkStart w:id="2" w:name="TCSignYear"/>
      <w:bookmarkEnd w:id="2"/>
      <w:bookmarkStart w:id="3" w:name="TCSignDay"/>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2"/>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2"/>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hint="eastAsia" w:ascii="Arial" w:hAnsi="Arial" w:cs="Arial"/>
          <w:color w:val="000000"/>
          <w:sz w:val="22"/>
          <w:szCs w:val="22"/>
        </w:rPr>
        <w:t>依据</w:t>
      </w:r>
      <w:r>
        <w:rPr>
          <w:rFonts w:hint="eastAsia" w:ascii="Arial" w:hAnsi="Arial" w:cs="Arial"/>
          <w:color w:val="000000"/>
          <w:kern w:val="0"/>
          <w:sz w:val="22"/>
          <w:szCs w:val="22"/>
        </w:rPr>
        <w:t>本</w:t>
      </w:r>
      <w:r>
        <w:rPr>
          <w:rFonts w:hint="eastAsia" w:ascii="Arial" w:hAnsi="Arial" w:cs="Arial"/>
          <w:color w:val="000000"/>
          <w:sz w:val="22"/>
          <w:szCs w:val="22"/>
        </w:rPr>
        <w:t>理财产品财产清算的分配方案，在理财产品终止日如</w:t>
      </w:r>
      <w:r>
        <w:rPr>
          <w:rFonts w:hint="eastAsia" w:ascii="Arial" w:hAnsi="Arial" w:cs="Arial"/>
          <w:color w:val="000000"/>
          <w:kern w:val="0"/>
          <w:sz w:val="22"/>
          <w:szCs w:val="22"/>
        </w:rPr>
        <w:t>本</w:t>
      </w:r>
      <w:r>
        <w:rPr>
          <w:rFonts w:hint="eastAsia" w:ascii="Arial" w:hAnsi="Arial" w:cs="Arial"/>
          <w:color w:val="000000"/>
          <w:sz w:val="22"/>
          <w:szCs w:val="22"/>
        </w:rPr>
        <w:t>理财产品项下资产全部变现，将</w:t>
      </w:r>
      <w:r>
        <w:rPr>
          <w:rFonts w:hint="eastAsia" w:ascii="Arial" w:hAnsi="Arial" w:cs="Arial"/>
          <w:color w:val="000000"/>
          <w:kern w:val="0"/>
          <w:sz w:val="22"/>
          <w:szCs w:val="22"/>
        </w:rPr>
        <w:t>本</w:t>
      </w:r>
      <w:r>
        <w:rPr>
          <w:rFonts w:hint="eastAsia" w:ascii="Arial" w:hAnsi="Arial" w:cs="Arial"/>
          <w:color w:val="000000"/>
          <w:sz w:val="22"/>
          <w:szCs w:val="22"/>
        </w:rPr>
        <w:t>理财产品财产清算后的全部剩余资产扣除</w:t>
      </w:r>
      <w:r>
        <w:rPr>
          <w:rFonts w:hint="eastAsia" w:ascii="Arial" w:hAnsi="Arial" w:cs="Arial"/>
          <w:color w:val="000000"/>
          <w:kern w:val="0"/>
          <w:sz w:val="22"/>
          <w:szCs w:val="22"/>
        </w:rPr>
        <w:t>本</w:t>
      </w:r>
      <w:r>
        <w:rPr>
          <w:rFonts w:hint="eastAsia" w:ascii="Arial" w:hAnsi="Arial" w:cs="Arial"/>
          <w:color w:val="000000"/>
          <w:sz w:val="22"/>
          <w:szCs w:val="22"/>
        </w:rPr>
        <w:t>理财产品财产清算费用、交纳所欠税款并清偿理财产品债务，按照“四、</w:t>
      </w:r>
      <w:r>
        <w:rPr>
          <w:rFonts w:hint="eastAsia" w:ascii="Arial" w:hAnsi="Arial" w:cs="Arial"/>
          <w:sz w:val="22"/>
          <w:szCs w:val="22"/>
        </w:rPr>
        <w:t>产品</w:t>
      </w:r>
      <w:r>
        <w:rPr>
          <w:rFonts w:hint="eastAsia" w:ascii="Arial" w:hAnsi="Arial" w:cs="Arial"/>
          <w:color w:val="000000"/>
          <w:sz w:val="22"/>
          <w:szCs w:val="22"/>
        </w:rPr>
        <w:t>交易规则”中的约定，计算各类份额的资产净值，并以各类份额资产净值为限，按照各投资者持有该类份额比例在</w:t>
      </w:r>
      <w:r>
        <w:rPr>
          <w:rFonts w:ascii="Arial" w:hAnsi="Arial" w:cs="Arial"/>
          <w:color w:val="000000"/>
          <w:sz w:val="22"/>
          <w:szCs w:val="22"/>
        </w:rPr>
        <w:t>5</w:t>
      </w:r>
      <w:r>
        <w:rPr>
          <w:rFonts w:hint="eastAsia" w:ascii="Arial" w:hAnsi="Arial" w:cs="Arial"/>
          <w:color w:val="000000"/>
          <w:sz w:val="22"/>
          <w:szCs w:val="22"/>
        </w:rPr>
        <w:t>个工作日内向投资者分配。如</w:t>
      </w:r>
      <w:r>
        <w:rPr>
          <w:rFonts w:hint="eastAsia" w:ascii="Arial" w:hAnsi="Arial" w:cs="Arial"/>
          <w:color w:val="000000"/>
          <w:kern w:val="0"/>
          <w:sz w:val="22"/>
          <w:szCs w:val="22"/>
        </w:rPr>
        <w:t>本</w:t>
      </w:r>
      <w:r>
        <w:rPr>
          <w:rFonts w:hint="eastAsia" w:ascii="Arial" w:hAnsi="Arial" w:cs="Arial"/>
          <w:color w:val="000000"/>
          <w:sz w:val="22"/>
          <w:szCs w:val="22"/>
        </w:rPr>
        <w:t>理财产品项下所投资的标的资产因市场风险、信用风险等原因不能全部变现，则管理人将现金类资产扣除应由</w:t>
      </w:r>
      <w:r>
        <w:rPr>
          <w:rFonts w:hint="eastAsia" w:ascii="Arial" w:hAnsi="Arial" w:cs="Arial"/>
          <w:color w:val="000000"/>
          <w:kern w:val="0"/>
          <w:sz w:val="22"/>
          <w:szCs w:val="22"/>
        </w:rPr>
        <w:t>本</w:t>
      </w:r>
      <w:r>
        <w:rPr>
          <w:rFonts w:hint="eastAsia" w:ascii="Arial" w:hAnsi="Arial" w:cs="Arial"/>
          <w:color w:val="000000"/>
          <w:sz w:val="22"/>
          <w:szCs w:val="22"/>
        </w:rPr>
        <w:t>理财产品清算承担的税费及费用（包括但不限于固定管理费、销售服务费、托管费、由管理人或第三方垫付的费用等，下同）后，参考“四、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交易规则”中的约定，计算各类份额对应的可分配资产净值，并按照各投资者持有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个工作日内向投资者分配。对于未变现资产部分，管理人以投资者利益最大化的原则，寻求未变现资产变现方式，在资产变现后，扣除应由</w:t>
      </w:r>
      <w:r>
        <w:rPr>
          <w:rFonts w:hint="eastAsia" w:ascii="Arial" w:hAnsi="Arial" w:cs="Arial"/>
          <w:color w:val="000000"/>
          <w:kern w:val="0"/>
          <w:sz w:val="22"/>
          <w:szCs w:val="22"/>
        </w:rPr>
        <w:t>本</w:t>
      </w:r>
      <w:r>
        <w:rPr>
          <w:rFonts w:hint="eastAsia" w:ascii="Arial" w:hAnsi="Arial" w:cs="Arial"/>
          <w:color w:val="000000"/>
          <w:sz w:val="22"/>
          <w:szCs w:val="22"/>
        </w:rPr>
        <w:t>理财产品承担的税费及费用，参考“四、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交易规则”中的约定，计算各类份额对应的剩余可分配资产净值，按照各投资者持有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bCs/>
          <w:snapToGrid w:val="0"/>
          <w:color w:val="000000"/>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8"/>
        </w:numPr>
        <w:spacing w:line="360" w:lineRule="auto"/>
        <w:ind w:firstLineChars="0"/>
        <w:rPr>
          <w:rFonts w:ascii="Arial" w:hAnsi="Arial" w:cs="Arial"/>
          <w:sz w:val="22"/>
          <w:szCs w:val="22"/>
        </w:rPr>
      </w:pPr>
      <w:r>
        <w:rPr>
          <w:rFonts w:ascii="Arial" w:hAnsi="Arial" w:cs="Arial"/>
          <w:sz w:val="22"/>
          <w:szCs w:val="22"/>
        </w:rPr>
        <w:t>发生管理人、托管人变更情形的，管理人将提前 5 个工作日以临时公告形式向投资者进行信息披露。</w:t>
      </w:r>
    </w:p>
    <w:p>
      <w:pPr>
        <w:pStyle w:val="21"/>
        <w:numPr>
          <w:ilvl w:val="0"/>
          <w:numId w:val="28"/>
        </w:numPr>
        <w:spacing w:line="360" w:lineRule="auto"/>
        <w:ind w:firstLineChars="0"/>
        <w:rPr>
          <w:rFonts w:ascii="Arial" w:hAnsi="Arial" w:cs="Arial"/>
          <w:sz w:val="22"/>
          <w:szCs w:val="22"/>
        </w:rPr>
      </w:pPr>
      <w:r>
        <w:rPr>
          <w:rFonts w:ascii="Arial" w:hAnsi="Arial" w:cs="Arial"/>
          <w:sz w:val="22"/>
          <w:szCs w:val="22"/>
        </w:rPr>
        <w:t>在本理财产品存续期间，管理人对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管理人的公告为准。投资者本金和收益（如有）将在赎回确认日后5个工作日内划转至投资者账户。逾期未赎回的视为投资者书面同意相关调整并继续持有本理财产品。</w:t>
      </w:r>
    </w:p>
    <w:p>
      <w:pPr>
        <w:pStyle w:val="21"/>
        <w:numPr>
          <w:ilvl w:val="0"/>
          <w:numId w:val="28"/>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1"/>
        <w:numPr>
          <w:ilvl w:val="0"/>
          <w:numId w:val="28"/>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理财产品存续期间，如果发生管理人认为可能影响产品运作的重大不利事项时，包括但不限于未按照产品说明书约定分配收益；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7"/>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ascii="Arial" w:hAnsi="Arial" w:cs="Arial"/>
          <w:sz w:val="22"/>
          <w:szCs w:val="22"/>
        </w:rPr>
        <w:t>管理人对本理财产品的本金和收益不提供保证承诺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平安理财启元添利日开30天持有9号固收类理财产品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1"/>
        <w:numPr>
          <w:ilvl w:val="0"/>
          <w:numId w:val="29"/>
        </w:numPr>
        <w:tabs>
          <w:tab w:val="left" w:pos="1276"/>
        </w:tabs>
        <w:spacing w:line="360" w:lineRule="auto"/>
        <w:ind w:left="709" w:hanging="283"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30"/>
        </w:numPr>
        <w:tabs>
          <w:tab w:val="left" w:pos="8647"/>
        </w:tabs>
        <w:adjustRightInd w:val="0"/>
        <w:snapToGrid w:val="0"/>
        <w:spacing w:line="360" w:lineRule="auto"/>
        <w:ind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由</w:t>
      </w:r>
      <w:r>
        <w:rPr>
          <w:rFonts w:ascii="Arial" w:hAnsi="Arial" w:cs="Arial"/>
          <w:b/>
          <w:snapToGrid w:val="0"/>
          <w:color w:val="000000"/>
          <w:sz w:val="22"/>
          <w:szCs w:val="22"/>
        </w:rPr>
        <w:t>于投资者原因导致管理人终止双方理财关系的情形</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由于投资者原因导致，在法律允许的范围内管理人认定必须终止与该投资者对于本理财产品的理财关系的其他情形。</w:t>
      </w:r>
    </w:p>
    <w:p>
      <w:pPr>
        <w:pStyle w:val="21"/>
        <w:numPr>
          <w:ilvl w:val="0"/>
          <w:numId w:val="30"/>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理</w:t>
      </w:r>
      <w:r>
        <w:rPr>
          <w:rFonts w:ascii="Arial" w:hAnsi="Arial" w:cs="Arial"/>
          <w:b/>
          <w:snapToGrid w:val="0"/>
          <w:color w:val="000000"/>
          <w:sz w:val="22"/>
          <w:szCs w:val="22"/>
        </w:rPr>
        <w:t>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32"/>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除销售服务机构或管理人外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造成损失，均由违约投资者承担经济赔偿责任；同时管理人有权代表本理财产品向责任方依法追偿，追偿所得在扣除追偿费用后计入本理财产品资产。</w:t>
      </w:r>
    </w:p>
    <w:p>
      <w:pPr>
        <w:pStyle w:val="21"/>
        <w:numPr>
          <w:ilvl w:val="0"/>
          <w:numId w:val="32"/>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numPr>
          <w:ilvl w:val="0"/>
          <w:numId w:val="30"/>
        </w:numPr>
        <w:tabs>
          <w:tab w:val="left" w:pos="8647"/>
        </w:tabs>
        <w:adjustRightInd w:val="0"/>
        <w:snapToGrid w:val="0"/>
        <w:spacing w:line="360" w:lineRule="auto"/>
        <w:ind w:left="0" w:leftChars="0" w:firstLine="442" w:firstLineChars="200"/>
        <w:jc w:val="left"/>
        <w:textAlignment w:val="center"/>
        <w:rPr>
          <w:rFonts w:ascii="Arial" w:hAnsi="Arial" w:cs="Arial"/>
          <w:b/>
          <w:snapToGrid w:val="0"/>
          <w:color w:val="000000"/>
          <w:sz w:val="22"/>
          <w:szCs w:val="22"/>
        </w:rPr>
      </w:pPr>
      <w:r>
        <w:rPr>
          <w:rFonts w:hint="eastAsia" w:ascii="Arial" w:hAnsi="Arial" w:cs="Arial"/>
          <w:b/>
          <w:snapToGrid w:val="0"/>
          <w:color w:val="000000"/>
          <w:sz w:val="22"/>
          <w:szCs w:val="22"/>
          <w:lang w:val="en-US" w:eastAsia="zh-CN"/>
        </w:rPr>
        <w:t xml:space="preserve"> </w:t>
      </w: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平安理财启元添利日开30天持有9号固收类理财产品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平安理财启元添利日开30天持有9号固收类理财产品</w:t>
      </w:r>
      <w:r>
        <w:rPr>
          <w:rFonts w:ascii="Arial" w:hAnsi="Arial" w:cs="Arial"/>
          <w:b/>
          <w:bCs/>
          <w:color w:val="000000"/>
          <w:kern w:val="0"/>
          <w:sz w:val="22"/>
          <w:szCs w:val="22"/>
        </w:rPr>
        <w:t>说明书》，</w:t>
      </w:r>
      <w:r>
        <w:rPr>
          <w:rFonts w:hint="eastAsia" w:ascii="Arial" w:hAnsi="Arial" w:cs="Arial"/>
          <w:b/>
          <w:bCs/>
          <w:color w:val="000000"/>
          <w:kern w:val="0"/>
          <w:sz w:val="22"/>
          <w:szCs w:val="22"/>
        </w:rPr>
        <w:t>充分了解本理财产品的收益和风险，自愿购买</w:t>
      </w:r>
      <w:r>
        <w:rPr>
          <w:rFonts w:ascii="Arial" w:hAnsi="Arial" w:cs="Arial"/>
          <w:b/>
          <w:bCs/>
          <w:color w:val="000000"/>
          <w:kern w:val="0"/>
          <w:sz w:val="22"/>
          <w:szCs w:val="22"/>
        </w:rPr>
        <w:t>。</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PUA">
    <w:panose1 w:val="02010600030101010101"/>
    <w:charset w:val="86"/>
    <w:family w:val="auto"/>
    <w:pitch w:val="default"/>
    <w:sig w:usb0="00000000" w:usb1="1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30</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5C7A8"/>
    <w:multiLevelType w:val="multilevel"/>
    <w:tmpl w:val="E775C7A8"/>
    <w:lvl w:ilvl="0" w:tentative="0">
      <w:start w:val="1"/>
      <w:numFmt w:val="decimal"/>
      <w:lvlText w:val="%1）"/>
      <w:lvlJc w:val="left"/>
      <w:pPr>
        <w:ind w:left="860" w:hanging="420"/>
      </w:pPr>
      <w:rPr>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1BA27EA"/>
    <w:multiLevelType w:val="singleLevel"/>
    <w:tmpl w:val="31BA27EA"/>
    <w:lvl w:ilvl="0" w:tentative="0">
      <w:start w:val="1"/>
      <w:numFmt w:val="decimal"/>
      <w:suff w:val="space"/>
      <w:lvlText w:val="%1."/>
      <w:lvlJc w:val="left"/>
    </w:lvl>
  </w:abstractNum>
  <w:abstractNum w:abstractNumId="14">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6">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7">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54686"/>
    <w:multiLevelType w:val="multilevel"/>
    <w:tmpl w:val="65A54686"/>
    <w:lvl w:ilvl="0" w:tentative="0">
      <w:start w:val="1"/>
      <w:numFmt w:val="decimal"/>
      <w:lvlText w:val="%1）"/>
      <w:lvlJc w:val="left"/>
      <w:pPr>
        <w:ind w:left="988"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8">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0">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BBB4690"/>
    <w:multiLevelType w:val="multilevel"/>
    <w:tmpl w:val="7BBB4690"/>
    <w:lvl w:ilvl="0" w:tentative="0">
      <w:start w:val="1"/>
      <w:numFmt w:val="decimal"/>
      <w:suff w:val="space"/>
      <w:lvlText w:val="（%1）"/>
      <w:lvlJc w:val="left"/>
      <w:pPr>
        <w:ind w:left="765" w:hanging="198"/>
        <w:textAlignment w:val="baseline"/>
      </w:pPr>
      <w:rPr>
        <w:rFonts w:ascii="Arial" w:hAnsi="Arial" w:eastAsia="宋体" w:cs="Arial"/>
        <w:b w:val="0"/>
        <w:i w:val="0"/>
        <w:strike w:val="0"/>
        <w:dstrike w:val="0"/>
        <w:color w:val="000000"/>
        <w:sz w:val="22"/>
        <w:szCs w:val="22"/>
        <w:u w:val="none" w:color="00000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16"/>
  </w:num>
  <w:num w:numId="2">
    <w:abstractNumId w:val="30"/>
  </w:num>
  <w:num w:numId="3">
    <w:abstractNumId w:val="14"/>
  </w:num>
  <w:num w:numId="4">
    <w:abstractNumId w:val="8"/>
  </w:num>
  <w:num w:numId="5">
    <w:abstractNumId w:val="24"/>
  </w:num>
  <w:num w:numId="6">
    <w:abstractNumId w:val="15"/>
  </w:num>
  <w:num w:numId="7">
    <w:abstractNumId w:val="6"/>
  </w:num>
  <w:num w:numId="8">
    <w:abstractNumId w:val="17"/>
  </w:num>
  <w:num w:numId="9">
    <w:abstractNumId w:val="7"/>
  </w:num>
  <w:num w:numId="10">
    <w:abstractNumId w:val="27"/>
  </w:num>
  <w:num w:numId="11">
    <w:abstractNumId w:val="26"/>
  </w:num>
  <w:num w:numId="12">
    <w:abstractNumId w:val="28"/>
  </w:num>
  <w:num w:numId="13">
    <w:abstractNumId w:val="2"/>
  </w:num>
  <w:num w:numId="14">
    <w:abstractNumId w:val="9"/>
  </w:num>
  <w:num w:numId="15">
    <w:abstractNumId w:val="25"/>
  </w:num>
  <w:num w:numId="16">
    <w:abstractNumId w:val="31"/>
  </w:num>
  <w:num w:numId="17">
    <w:abstractNumId w:val="0"/>
  </w:num>
  <w:num w:numId="18">
    <w:abstractNumId w:val="11"/>
  </w:num>
  <w:num w:numId="19">
    <w:abstractNumId w:val="18"/>
  </w:num>
  <w:num w:numId="20">
    <w:abstractNumId w:val="12"/>
  </w:num>
  <w:num w:numId="21">
    <w:abstractNumId w:val="22"/>
  </w:num>
  <w:num w:numId="22">
    <w:abstractNumId w:val="1"/>
  </w:num>
  <w:num w:numId="23">
    <w:abstractNumId w:val="4"/>
  </w:num>
  <w:num w:numId="24">
    <w:abstractNumId w:val="20"/>
  </w:num>
  <w:num w:numId="25">
    <w:abstractNumId w:val="19"/>
  </w:num>
  <w:num w:numId="26">
    <w:abstractNumId w:val="10"/>
  </w:num>
  <w:num w:numId="27">
    <w:abstractNumId w:val="29"/>
  </w:num>
  <w:num w:numId="28">
    <w:abstractNumId w:val="21"/>
  </w:num>
  <w:num w:numId="29">
    <w:abstractNumId w:val="23"/>
  </w:num>
  <w:num w:numId="30">
    <w:abstractNumId w:val="13"/>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10DC"/>
    <w:rsid w:val="000015E6"/>
    <w:rsid w:val="00001C00"/>
    <w:rsid w:val="00001C0F"/>
    <w:rsid w:val="00002185"/>
    <w:rsid w:val="0000286E"/>
    <w:rsid w:val="00003253"/>
    <w:rsid w:val="00003413"/>
    <w:rsid w:val="0000436A"/>
    <w:rsid w:val="00004EF9"/>
    <w:rsid w:val="00005769"/>
    <w:rsid w:val="00005827"/>
    <w:rsid w:val="0000637A"/>
    <w:rsid w:val="000066E6"/>
    <w:rsid w:val="00007724"/>
    <w:rsid w:val="00011778"/>
    <w:rsid w:val="0001178E"/>
    <w:rsid w:val="000124C9"/>
    <w:rsid w:val="00012EBB"/>
    <w:rsid w:val="000137B9"/>
    <w:rsid w:val="00013EB0"/>
    <w:rsid w:val="0001420A"/>
    <w:rsid w:val="00014595"/>
    <w:rsid w:val="0001520D"/>
    <w:rsid w:val="0001674A"/>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55F6"/>
    <w:rsid w:val="000364B8"/>
    <w:rsid w:val="000367BD"/>
    <w:rsid w:val="00036B7F"/>
    <w:rsid w:val="00036E2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D7F"/>
    <w:rsid w:val="00047EF8"/>
    <w:rsid w:val="00047FD6"/>
    <w:rsid w:val="00050C61"/>
    <w:rsid w:val="00050DBA"/>
    <w:rsid w:val="00051415"/>
    <w:rsid w:val="0005255E"/>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812"/>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37D7"/>
    <w:rsid w:val="00084B28"/>
    <w:rsid w:val="000858F6"/>
    <w:rsid w:val="00085955"/>
    <w:rsid w:val="00085EEF"/>
    <w:rsid w:val="00085FAA"/>
    <w:rsid w:val="000861E6"/>
    <w:rsid w:val="00086528"/>
    <w:rsid w:val="00090098"/>
    <w:rsid w:val="00090712"/>
    <w:rsid w:val="00091673"/>
    <w:rsid w:val="00092336"/>
    <w:rsid w:val="00092EB7"/>
    <w:rsid w:val="00094CA9"/>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BEF"/>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63B"/>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3F72"/>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299"/>
    <w:rsid w:val="000E264E"/>
    <w:rsid w:val="000E28F6"/>
    <w:rsid w:val="000E2BFC"/>
    <w:rsid w:val="000E314B"/>
    <w:rsid w:val="000E3BC6"/>
    <w:rsid w:val="000E3BD3"/>
    <w:rsid w:val="000E3C23"/>
    <w:rsid w:val="000E4AAD"/>
    <w:rsid w:val="000E54D3"/>
    <w:rsid w:val="000E5B51"/>
    <w:rsid w:val="000E5FF9"/>
    <w:rsid w:val="000E621B"/>
    <w:rsid w:val="000E6308"/>
    <w:rsid w:val="000E6552"/>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2817"/>
    <w:rsid w:val="00123139"/>
    <w:rsid w:val="00123383"/>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A90"/>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6B0"/>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2A27"/>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856BE"/>
    <w:rsid w:val="001907E8"/>
    <w:rsid w:val="00190E2C"/>
    <w:rsid w:val="00192311"/>
    <w:rsid w:val="0019286E"/>
    <w:rsid w:val="00192B8F"/>
    <w:rsid w:val="001931DF"/>
    <w:rsid w:val="00193333"/>
    <w:rsid w:val="00193425"/>
    <w:rsid w:val="00193624"/>
    <w:rsid w:val="001939AA"/>
    <w:rsid w:val="001939F3"/>
    <w:rsid w:val="0019450F"/>
    <w:rsid w:val="001949C3"/>
    <w:rsid w:val="00194D89"/>
    <w:rsid w:val="0019573F"/>
    <w:rsid w:val="00196084"/>
    <w:rsid w:val="00197340"/>
    <w:rsid w:val="0019756A"/>
    <w:rsid w:val="00197779"/>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0B50"/>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55F"/>
    <w:rsid w:val="001C1F6E"/>
    <w:rsid w:val="001C2476"/>
    <w:rsid w:val="001C289A"/>
    <w:rsid w:val="001C2C7B"/>
    <w:rsid w:val="001C35C8"/>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32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19"/>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37F"/>
    <w:rsid w:val="0026344D"/>
    <w:rsid w:val="002641A2"/>
    <w:rsid w:val="002649F4"/>
    <w:rsid w:val="00264E73"/>
    <w:rsid w:val="00265537"/>
    <w:rsid w:val="00266032"/>
    <w:rsid w:val="00266467"/>
    <w:rsid w:val="00266779"/>
    <w:rsid w:val="002667F1"/>
    <w:rsid w:val="00266BAB"/>
    <w:rsid w:val="00267010"/>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0A5"/>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322A"/>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D79E2"/>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40"/>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5780"/>
    <w:rsid w:val="00305F44"/>
    <w:rsid w:val="00307273"/>
    <w:rsid w:val="003076E3"/>
    <w:rsid w:val="00307BD0"/>
    <w:rsid w:val="00310C28"/>
    <w:rsid w:val="00310F03"/>
    <w:rsid w:val="00311197"/>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1DEB"/>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0DDA"/>
    <w:rsid w:val="0036107F"/>
    <w:rsid w:val="00361691"/>
    <w:rsid w:val="00362DFE"/>
    <w:rsid w:val="00363834"/>
    <w:rsid w:val="00363C0F"/>
    <w:rsid w:val="00363DBC"/>
    <w:rsid w:val="00363F97"/>
    <w:rsid w:val="00364037"/>
    <w:rsid w:val="003655CA"/>
    <w:rsid w:val="00366A4B"/>
    <w:rsid w:val="00366C83"/>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81B"/>
    <w:rsid w:val="00377B26"/>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0E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36"/>
    <w:rsid w:val="003D0352"/>
    <w:rsid w:val="003D1712"/>
    <w:rsid w:val="003D254B"/>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7E"/>
    <w:rsid w:val="003F25F1"/>
    <w:rsid w:val="003F2D84"/>
    <w:rsid w:val="003F40A1"/>
    <w:rsid w:val="003F4431"/>
    <w:rsid w:val="003F46C9"/>
    <w:rsid w:val="003F4705"/>
    <w:rsid w:val="003F47C2"/>
    <w:rsid w:val="003F4FC7"/>
    <w:rsid w:val="003F5581"/>
    <w:rsid w:val="003F5F58"/>
    <w:rsid w:val="003F6B3C"/>
    <w:rsid w:val="003F7336"/>
    <w:rsid w:val="003F7774"/>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628F"/>
    <w:rsid w:val="0041738A"/>
    <w:rsid w:val="004175F4"/>
    <w:rsid w:val="00420103"/>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099"/>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6B2B"/>
    <w:rsid w:val="00437479"/>
    <w:rsid w:val="00440E3E"/>
    <w:rsid w:val="00441391"/>
    <w:rsid w:val="004414BE"/>
    <w:rsid w:val="00441E42"/>
    <w:rsid w:val="00442835"/>
    <w:rsid w:val="004436E2"/>
    <w:rsid w:val="00443F59"/>
    <w:rsid w:val="004445EE"/>
    <w:rsid w:val="0044539A"/>
    <w:rsid w:val="00445F59"/>
    <w:rsid w:val="004460BF"/>
    <w:rsid w:val="00450006"/>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098"/>
    <w:rsid w:val="00473541"/>
    <w:rsid w:val="00474621"/>
    <w:rsid w:val="004746A0"/>
    <w:rsid w:val="004746D8"/>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3FE3"/>
    <w:rsid w:val="004844EB"/>
    <w:rsid w:val="004846F7"/>
    <w:rsid w:val="00484EF9"/>
    <w:rsid w:val="0048577A"/>
    <w:rsid w:val="0048594A"/>
    <w:rsid w:val="004859E6"/>
    <w:rsid w:val="004863D9"/>
    <w:rsid w:val="00486E64"/>
    <w:rsid w:val="00486FB7"/>
    <w:rsid w:val="00487416"/>
    <w:rsid w:val="0048746C"/>
    <w:rsid w:val="004904BE"/>
    <w:rsid w:val="00490936"/>
    <w:rsid w:val="004911E5"/>
    <w:rsid w:val="004919FE"/>
    <w:rsid w:val="00493279"/>
    <w:rsid w:val="0049337F"/>
    <w:rsid w:val="00493446"/>
    <w:rsid w:val="00493CAE"/>
    <w:rsid w:val="00494EFE"/>
    <w:rsid w:val="004954A7"/>
    <w:rsid w:val="0049597A"/>
    <w:rsid w:val="004959FD"/>
    <w:rsid w:val="00495FBC"/>
    <w:rsid w:val="00496D0C"/>
    <w:rsid w:val="00496E19"/>
    <w:rsid w:val="00497D54"/>
    <w:rsid w:val="00497E0B"/>
    <w:rsid w:val="004A03E0"/>
    <w:rsid w:val="004A0849"/>
    <w:rsid w:val="004A092A"/>
    <w:rsid w:val="004A1804"/>
    <w:rsid w:val="004A2084"/>
    <w:rsid w:val="004A2165"/>
    <w:rsid w:val="004A24E6"/>
    <w:rsid w:val="004A27AD"/>
    <w:rsid w:val="004A292F"/>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4E3B"/>
    <w:rsid w:val="004D5204"/>
    <w:rsid w:val="004D520E"/>
    <w:rsid w:val="004D5830"/>
    <w:rsid w:val="004D59BC"/>
    <w:rsid w:val="004D5B6A"/>
    <w:rsid w:val="004E0619"/>
    <w:rsid w:val="004E0A53"/>
    <w:rsid w:val="004E1A34"/>
    <w:rsid w:val="004E1E4A"/>
    <w:rsid w:val="004E39CE"/>
    <w:rsid w:val="004E3CA8"/>
    <w:rsid w:val="004E3EF0"/>
    <w:rsid w:val="004E3F9E"/>
    <w:rsid w:val="004E55E3"/>
    <w:rsid w:val="004E5E89"/>
    <w:rsid w:val="004E6142"/>
    <w:rsid w:val="004E693F"/>
    <w:rsid w:val="004E6E94"/>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50E"/>
    <w:rsid w:val="00501BD9"/>
    <w:rsid w:val="00501D5A"/>
    <w:rsid w:val="00501F60"/>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7BD"/>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E45"/>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10"/>
    <w:rsid w:val="00546563"/>
    <w:rsid w:val="005468A9"/>
    <w:rsid w:val="00546E19"/>
    <w:rsid w:val="005472C5"/>
    <w:rsid w:val="00547FF1"/>
    <w:rsid w:val="00550126"/>
    <w:rsid w:val="0055065F"/>
    <w:rsid w:val="00550D35"/>
    <w:rsid w:val="005513FD"/>
    <w:rsid w:val="0055170D"/>
    <w:rsid w:val="00551A28"/>
    <w:rsid w:val="005524B5"/>
    <w:rsid w:val="00552857"/>
    <w:rsid w:val="005538A7"/>
    <w:rsid w:val="00554A74"/>
    <w:rsid w:val="00555C60"/>
    <w:rsid w:val="00556234"/>
    <w:rsid w:val="00556591"/>
    <w:rsid w:val="005565E7"/>
    <w:rsid w:val="00556829"/>
    <w:rsid w:val="005600BC"/>
    <w:rsid w:val="00561216"/>
    <w:rsid w:val="00561295"/>
    <w:rsid w:val="00562B41"/>
    <w:rsid w:val="00562EA2"/>
    <w:rsid w:val="00563210"/>
    <w:rsid w:val="0056369A"/>
    <w:rsid w:val="00564015"/>
    <w:rsid w:val="00564194"/>
    <w:rsid w:val="00564B9C"/>
    <w:rsid w:val="00564D57"/>
    <w:rsid w:val="005654CB"/>
    <w:rsid w:val="005663E7"/>
    <w:rsid w:val="00566492"/>
    <w:rsid w:val="00566852"/>
    <w:rsid w:val="005674CB"/>
    <w:rsid w:val="005700E4"/>
    <w:rsid w:val="0057118B"/>
    <w:rsid w:val="005719BC"/>
    <w:rsid w:val="00571E57"/>
    <w:rsid w:val="00571FB8"/>
    <w:rsid w:val="005723CC"/>
    <w:rsid w:val="00572725"/>
    <w:rsid w:val="0057306D"/>
    <w:rsid w:val="00573089"/>
    <w:rsid w:val="005731BC"/>
    <w:rsid w:val="00573BA7"/>
    <w:rsid w:val="00574FA0"/>
    <w:rsid w:val="00575303"/>
    <w:rsid w:val="00575829"/>
    <w:rsid w:val="00576003"/>
    <w:rsid w:val="00576087"/>
    <w:rsid w:val="005760AD"/>
    <w:rsid w:val="0057677D"/>
    <w:rsid w:val="00576E5B"/>
    <w:rsid w:val="00577725"/>
    <w:rsid w:val="0057792A"/>
    <w:rsid w:val="0057794F"/>
    <w:rsid w:val="00577D45"/>
    <w:rsid w:val="00580132"/>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6EE4"/>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3EF"/>
    <w:rsid w:val="005C46D9"/>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7C8"/>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5E9D"/>
    <w:rsid w:val="005E6902"/>
    <w:rsid w:val="005E6E5E"/>
    <w:rsid w:val="005E7F5E"/>
    <w:rsid w:val="005F064B"/>
    <w:rsid w:val="005F0CA0"/>
    <w:rsid w:val="005F0CCD"/>
    <w:rsid w:val="005F17A8"/>
    <w:rsid w:val="005F20D8"/>
    <w:rsid w:val="005F3CE0"/>
    <w:rsid w:val="005F4507"/>
    <w:rsid w:val="005F4775"/>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99E"/>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3EFF"/>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4B"/>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D8E"/>
    <w:rsid w:val="00651E50"/>
    <w:rsid w:val="00652120"/>
    <w:rsid w:val="00652235"/>
    <w:rsid w:val="0065283A"/>
    <w:rsid w:val="00653571"/>
    <w:rsid w:val="00653B34"/>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794"/>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67E19"/>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BE5"/>
    <w:rsid w:val="006B1ED3"/>
    <w:rsid w:val="006B2365"/>
    <w:rsid w:val="006B2889"/>
    <w:rsid w:val="006B2CA6"/>
    <w:rsid w:val="006B3F80"/>
    <w:rsid w:val="006B4A08"/>
    <w:rsid w:val="006B4ED5"/>
    <w:rsid w:val="006B5109"/>
    <w:rsid w:val="006B5376"/>
    <w:rsid w:val="006B576C"/>
    <w:rsid w:val="006B577E"/>
    <w:rsid w:val="006B5B55"/>
    <w:rsid w:val="006B5E65"/>
    <w:rsid w:val="006B5F7E"/>
    <w:rsid w:val="006B6191"/>
    <w:rsid w:val="006B6280"/>
    <w:rsid w:val="006B6B9C"/>
    <w:rsid w:val="006B70C2"/>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68A"/>
    <w:rsid w:val="006C7874"/>
    <w:rsid w:val="006C78D6"/>
    <w:rsid w:val="006D06D5"/>
    <w:rsid w:val="006D08DE"/>
    <w:rsid w:val="006D0BD8"/>
    <w:rsid w:val="006D0F83"/>
    <w:rsid w:val="006D16CF"/>
    <w:rsid w:val="006D1C17"/>
    <w:rsid w:val="006D23FC"/>
    <w:rsid w:val="006D2C19"/>
    <w:rsid w:val="006D2F2C"/>
    <w:rsid w:val="006D35E2"/>
    <w:rsid w:val="006D43DB"/>
    <w:rsid w:val="006D4575"/>
    <w:rsid w:val="006D45DA"/>
    <w:rsid w:val="006D4CAE"/>
    <w:rsid w:val="006D4D48"/>
    <w:rsid w:val="006D559F"/>
    <w:rsid w:val="006D560C"/>
    <w:rsid w:val="006D5A2D"/>
    <w:rsid w:val="006D5D66"/>
    <w:rsid w:val="006D6520"/>
    <w:rsid w:val="006D6A5B"/>
    <w:rsid w:val="006D6B54"/>
    <w:rsid w:val="006D6C8A"/>
    <w:rsid w:val="006D767D"/>
    <w:rsid w:val="006D78AD"/>
    <w:rsid w:val="006E06F8"/>
    <w:rsid w:val="006E1318"/>
    <w:rsid w:val="006E1929"/>
    <w:rsid w:val="006E2055"/>
    <w:rsid w:val="006E2351"/>
    <w:rsid w:val="006E26FC"/>
    <w:rsid w:val="006E2AC4"/>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344D"/>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3B7"/>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9F0"/>
    <w:rsid w:val="00717C7E"/>
    <w:rsid w:val="00717C93"/>
    <w:rsid w:val="00717E52"/>
    <w:rsid w:val="00717EB0"/>
    <w:rsid w:val="0072082E"/>
    <w:rsid w:val="00720A78"/>
    <w:rsid w:val="00721987"/>
    <w:rsid w:val="00722094"/>
    <w:rsid w:val="00722136"/>
    <w:rsid w:val="0072244D"/>
    <w:rsid w:val="007229DE"/>
    <w:rsid w:val="007231F6"/>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20"/>
    <w:rsid w:val="00762C66"/>
    <w:rsid w:val="007635E0"/>
    <w:rsid w:val="00763A60"/>
    <w:rsid w:val="00764080"/>
    <w:rsid w:val="00765080"/>
    <w:rsid w:val="007650D8"/>
    <w:rsid w:val="0076574E"/>
    <w:rsid w:val="0076580D"/>
    <w:rsid w:val="00765D4E"/>
    <w:rsid w:val="00765F8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1C28"/>
    <w:rsid w:val="00782FD0"/>
    <w:rsid w:val="007830BB"/>
    <w:rsid w:val="0078334C"/>
    <w:rsid w:val="0078377E"/>
    <w:rsid w:val="00783CD4"/>
    <w:rsid w:val="0078462B"/>
    <w:rsid w:val="00784D0A"/>
    <w:rsid w:val="00784D6A"/>
    <w:rsid w:val="00785CF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6FE7"/>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424"/>
    <w:rsid w:val="007B7BB5"/>
    <w:rsid w:val="007B7F55"/>
    <w:rsid w:val="007C011D"/>
    <w:rsid w:val="007C05BB"/>
    <w:rsid w:val="007C09A1"/>
    <w:rsid w:val="007C11A7"/>
    <w:rsid w:val="007C138E"/>
    <w:rsid w:val="007C14A2"/>
    <w:rsid w:val="007C14B1"/>
    <w:rsid w:val="007C1AD5"/>
    <w:rsid w:val="007C2617"/>
    <w:rsid w:val="007C28D0"/>
    <w:rsid w:val="007C34CA"/>
    <w:rsid w:val="007C4132"/>
    <w:rsid w:val="007C43B0"/>
    <w:rsid w:val="007C46AD"/>
    <w:rsid w:val="007C49BC"/>
    <w:rsid w:val="007C4E0C"/>
    <w:rsid w:val="007C51E0"/>
    <w:rsid w:val="007C5350"/>
    <w:rsid w:val="007C543A"/>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72A"/>
    <w:rsid w:val="007E5B3F"/>
    <w:rsid w:val="007E678C"/>
    <w:rsid w:val="007E6982"/>
    <w:rsid w:val="007E6A61"/>
    <w:rsid w:val="007E6BBE"/>
    <w:rsid w:val="007F05C6"/>
    <w:rsid w:val="007F0915"/>
    <w:rsid w:val="007F0D07"/>
    <w:rsid w:val="007F1584"/>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740"/>
    <w:rsid w:val="00802BC6"/>
    <w:rsid w:val="008035C6"/>
    <w:rsid w:val="00803862"/>
    <w:rsid w:val="00804A25"/>
    <w:rsid w:val="008054A1"/>
    <w:rsid w:val="00805ABA"/>
    <w:rsid w:val="008060CB"/>
    <w:rsid w:val="00806534"/>
    <w:rsid w:val="00806573"/>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39FE"/>
    <w:rsid w:val="00834085"/>
    <w:rsid w:val="008353EA"/>
    <w:rsid w:val="0083555A"/>
    <w:rsid w:val="00835844"/>
    <w:rsid w:val="00835CE4"/>
    <w:rsid w:val="00836503"/>
    <w:rsid w:val="0083693A"/>
    <w:rsid w:val="00836D29"/>
    <w:rsid w:val="00837335"/>
    <w:rsid w:val="00837CC8"/>
    <w:rsid w:val="008400EE"/>
    <w:rsid w:val="00840F2D"/>
    <w:rsid w:val="00841021"/>
    <w:rsid w:val="00842A6C"/>
    <w:rsid w:val="00843A7F"/>
    <w:rsid w:val="008442E4"/>
    <w:rsid w:val="00844501"/>
    <w:rsid w:val="00844797"/>
    <w:rsid w:val="0084554B"/>
    <w:rsid w:val="00845726"/>
    <w:rsid w:val="008458C1"/>
    <w:rsid w:val="00845A81"/>
    <w:rsid w:val="00845B23"/>
    <w:rsid w:val="00846529"/>
    <w:rsid w:val="0084746D"/>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1A5"/>
    <w:rsid w:val="0086251B"/>
    <w:rsid w:val="00862809"/>
    <w:rsid w:val="00862D03"/>
    <w:rsid w:val="00862FC5"/>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97DAC"/>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62EC"/>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02C4"/>
    <w:rsid w:val="008D120A"/>
    <w:rsid w:val="008D12BA"/>
    <w:rsid w:val="008D1C44"/>
    <w:rsid w:val="008D200B"/>
    <w:rsid w:val="008D24F5"/>
    <w:rsid w:val="008D2A45"/>
    <w:rsid w:val="008D2D82"/>
    <w:rsid w:val="008D2E39"/>
    <w:rsid w:val="008D3B04"/>
    <w:rsid w:val="008D51B3"/>
    <w:rsid w:val="008D606C"/>
    <w:rsid w:val="008D62A0"/>
    <w:rsid w:val="008D6B6F"/>
    <w:rsid w:val="008D6D0D"/>
    <w:rsid w:val="008D7B7F"/>
    <w:rsid w:val="008D7C16"/>
    <w:rsid w:val="008D7ECA"/>
    <w:rsid w:val="008E01E3"/>
    <w:rsid w:val="008E028D"/>
    <w:rsid w:val="008E04CA"/>
    <w:rsid w:val="008E0B45"/>
    <w:rsid w:val="008E170B"/>
    <w:rsid w:val="008E1893"/>
    <w:rsid w:val="008E18A5"/>
    <w:rsid w:val="008E1AA7"/>
    <w:rsid w:val="008E1D6C"/>
    <w:rsid w:val="008E2BEC"/>
    <w:rsid w:val="008E30D3"/>
    <w:rsid w:val="008E335D"/>
    <w:rsid w:val="008E3C35"/>
    <w:rsid w:val="008E4A92"/>
    <w:rsid w:val="008E4C3D"/>
    <w:rsid w:val="008E5A3A"/>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33"/>
    <w:rsid w:val="00902D6A"/>
    <w:rsid w:val="00903235"/>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577"/>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56E8"/>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46B1A"/>
    <w:rsid w:val="00951966"/>
    <w:rsid w:val="00951A81"/>
    <w:rsid w:val="00951C51"/>
    <w:rsid w:val="00951D92"/>
    <w:rsid w:val="0095229E"/>
    <w:rsid w:val="0095287A"/>
    <w:rsid w:val="0095295A"/>
    <w:rsid w:val="00952AC9"/>
    <w:rsid w:val="00953EE5"/>
    <w:rsid w:val="00954ABC"/>
    <w:rsid w:val="0095622B"/>
    <w:rsid w:val="009565F5"/>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3FCC"/>
    <w:rsid w:val="00964CC6"/>
    <w:rsid w:val="0096593A"/>
    <w:rsid w:val="00966209"/>
    <w:rsid w:val="00966237"/>
    <w:rsid w:val="009673D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819"/>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1F8E"/>
    <w:rsid w:val="009A2AA5"/>
    <w:rsid w:val="009A3AB6"/>
    <w:rsid w:val="009A3B22"/>
    <w:rsid w:val="009A3E43"/>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19"/>
    <w:rsid w:val="009B486B"/>
    <w:rsid w:val="009B4A4B"/>
    <w:rsid w:val="009B4FE6"/>
    <w:rsid w:val="009B529E"/>
    <w:rsid w:val="009B57BB"/>
    <w:rsid w:val="009B6411"/>
    <w:rsid w:val="009B76AE"/>
    <w:rsid w:val="009C0452"/>
    <w:rsid w:val="009C06D9"/>
    <w:rsid w:val="009C0BE3"/>
    <w:rsid w:val="009C0E77"/>
    <w:rsid w:val="009C1283"/>
    <w:rsid w:val="009C1374"/>
    <w:rsid w:val="009C1B59"/>
    <w:rsid w:val="009C1C8B"/>
    <w:rsid w:val="009C1DAF"/>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7C7"/>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567F"/>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5D6D"/>
    <w:rsid w:val="00A26534"/>
    <w:rsid w:val="00A2657C"/>
    <w:rsid w:val="00A26788"/>
    <w:rsid w:val="00A26D6B"/>
    <w:rsid w:val="00A27B61"/>
    <w:rsid w:val="00A27F40"/>
    <w:rsid w:val="00A30349"/>
    <w:rsid w:val="00A315D0"/>
    <w:rsid w:val="00A32706"/>
    <w:rsid w:val="00A32A52"/>
    <w:rsid w:val="00A32B92"/>
    <w:rsid w:val="00A32E1D"/>
    <w:rsid w:val="00A34DEB"/>
    <w:rsid w:val="00A35CCA"/>
    <w:rsid w:val="00A35D5A"/>
    <w:rsid w:val="00A35F4E"/>
    <w:rsid w:val="00A361FE"/>
    <w:rsid w:val="00A3702B"/>
    <w:rsid w:val="00A37A45"/>
    <w:rsid w:val="00A37B7A"/>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751"/>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410"/>
    <w:rsid w:val="00A639BA"/>
    <w:rsid w:val="00A64251"/>
    <w:rsid w:val="00A64882"/>
    <w:rsid w:val="00A6492C"/>
    <w:rsid w:val="00A649E8"/>
    <w:rsid w:val="00A64E61"/>
    <w:rsid w:val="00A65260"/>
    <w:rsid w:val="00A6529A"/>
    <w:rsid w:val="00A65417"/>
    <w:rsid w:val="00A659A9"/>
    <w:rsid w:val="00A65F95"/>
    <w:rsid w:val="00A666C5"/>
    <w:rsid w:val="00A676BF"/>
    <w:rsid w:val="00A677AB"/>
    <w:rsid w:val="00A677E1"/>
    <w:rsid w:val="00A679CD"/>
    <w:rsid w:val="00A67BC7"/>
    <w:rsid w:val="00A70110"/>
    <w:rsid w:val="00A701F6"/>
    <w:rsid w:val="00A7029E"/>
    <w:rsid w:val="00A70923"/>
    <w:rsid w:val="00A71586"/>
    <w:rsid w:val="00A715E4"/>
    <w:rsid w:val="00A716C1"/>
    <w:rsid w:val="00A71BE1"/>
    <w:rsid w:val="00A721B8"/>
    <w:rsid w:val="00A721F2"/>
    <w:rsid w:val="00A72DCE"/>
    <w:rsid w:val="00A73238"/>
    <w:rsid w:val="00A7411C"/>
    <w:rsid w:val="00A7435B"/>
    <w:rsid w:val="00A74C22"/>
    <w:rsid w:val="00A74DAD"/>
    <w:rsid w:val="00A74F61"/>
    <w:rsid w:val="00A75066"/>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04C"/>
    <w:rsid w:val="00A90EC8"/>
    <w:rsid w:val="00A90FE7"/>
    <w:rsid w:val="00A91561"/>
    <w:rsid w:val="00A92194"/>
    <w:rsid w:val="00A92376"/>
    <w:rsid w:val="00A92579"/>
    <w:rsid w:val="00A929B7"/>
    <w:rsid w:val="00A92E93"/>
    <w:rsid w:val="00A9333E"/>
    <w:rsid w:val="00A9367E"/>
    <w:rsid w:val="00A93F4A"/>
    <w:rsid w:val="00A9448D"/>
    <w:rsid w:val="00A94695"/>
    <w:rsid w:val="00A94B00"/>
    <w:rsid w:val="00A95087"/>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9DC"/>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4C00"/>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2E95"/>
    <w:rsid w:val="00B43413"/>
    <w:rsid w:val="00B44280"/>
    <w:rsid w:val="00B45B3E"/>
    <w:rsid w:val="00B45CC3"/>
    <w:rsid w:val="00B46F23"/>
    <w:rsid w:val="00B474BE"/>
    <w:rsid w:val="00B47520"/>
    <w:rsid w:val="00B476A3"/>
    <w:rsid w:val="00B501AF"/>
    <w:rsid w:val="00B51284"/>
    <w:rsid w:val="00B513E9"/>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1E90"/>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995"/>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73"/>
    <w:rsid w:val="00B905AE"/>
    <w:rsid w:val="00B90BC1"/>
    <w:rsid w:val="00B90BDB"/>
    <w:rsid w:val="00B90DD6"/>
    <w:rsid w:val="00B910BD"/>
    <w:rsid w:val="00B91166"/>
    <w:rsid w:val="00B91652"/>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9773B"/>
    <w:rsid w:val="00BA023A"/>
    <w:rsid w:val="00BA0420"/>
    <w:rsid w:val="00BA0FDB"/>
    <w:rsid w:val="00BA118D"/>
    <w:rsid w:val="00BA1FEE"/>
    <w:rsid w:val="00BA20EE"/>
    <w:rsid w:val="00BA2677"/>
    <w:rsid w:val="00BA2849"/>
    <w:rsid w:val="00BA2ADC"/>
    <w:rsid w:val="00BA3B0B"/>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868"/>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380B"/>
    <w:rsid w:val="00BF46DB"/>
    <w:rsid w:val="00BF4732"/>
    <w:rsid w:val="00BF50C7"/>
    <w:rsid w:val="00BF540F"/>
    <w:rsid w:val="00BF6550"/>
    <w:rsid w:val="00BF7035"/>
    <w:rsid w:val="00BF70C2"/>
    <w:rsid w:val="00BF77A5"/>
    <w:rsid w:val="00BF7828"/>
    <w:rsid w:val="00C004CE"/>
    <w:rsid w:val="00C00862"/>
    <w:rsid w:val="00C00C22"/>
    <w:rsid w:val="00C01C27"/>
    <w:rsid w:val="00C0330F"/>
    <w:rsid w:val="00C03D5D"/>
    <w:rsid w:val="00C04000"/>
    <w:rsid w:val="00C0443C"/>
    <w:rsid w:val="00C05E37"/>
    <w:rsid w:val="00C06123"/>
    <w:rsid w:val="00C06AC5"/>
    <w:rsid w:val="00C0720F"/>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AFB"/>
    <w:rsid w:val="00C15BED"/>
    <w:rsid w:val="00C16471"/>
    <w:rsid w:val="00C164B7"/>
    <w:rsid w:val="00C17441"/>
    <w:rsid w:val="00C17A30"/>
    <w:rsid w:val="00C20C5F"/>
    <w:rsid w:val="00C20C95"/>
    <w:rsid w:val="00C21706"/>
    <w:rsid w:val="00C21A75"/>
    <w:rsid w:val="00C22331"/>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AE5"/>
    <w:rsid w:val="00C34EC1"/>
    <w:rsid w:val="00C3526B"/>
    <w:rsid w:val="00C35D58"/>
    <w:rsid w:val="00C364D6"/>
    <w:rsid w:val="00C36DDA"/>
    <w:rsid w:val="00C37236"/>
    <w:rsid w:val="00C3726A"/>
    <w:rsid w:val="00C37855"/>
    <w:rsid w:val="00C40583"/>
    <w:rsid w:val="00C409FE"/>
    <w:rsid w:val="00C40D07"/>
    <w:rsid w:val="00C41416"/>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3EE8"/>
    <w:rsid w:val="00C74042"/>
    <w:rsid w:val="00C74109"/>
    <w:rsid w:val="00C741DB"/>
    <w:rsid w:val="00C7484F"/>
    <w:rsid w:val="00C75D2D"/>
    <w:rsid w:val="00C766B2"/>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A37"/>
    <w:rsid w:val="00C84A8C"/>
    <w:rsid w:val="00C84BA3"/>
    <w:rsid w:val="00C8514D"/>
    <w:rsid w:val="00C86174"/>
    <w:rsid w:val="00C863C1"/>
    <w:rsid w:val="00C864CC"/>
    <w:rsid w:val="00C86F64"/>
    <w:rsid w:val="00C87CAD"/>
    <w:rsid w:val="00C90585"/>
    <w:rsid w:val="00C905D9"/>
    <w:rsid w:val="00C90672"/>
    <w:rsid w:val="00C90822"/>
    <w:rsid w:val="00C91184"/>
    <w:rsid w:val="00C91A47"/>
    <w:rsid w:val="00C91CB9"/>
    <w:rsid w:val="00C92270"/>
    <w:rsid w:val="00C92DB6"/>
    <w:rsid w:val="00C93039"/>
    <w:rsid w:val="00C94571"/>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055"/>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37A"/>
    <w:rsid w:val="00CC5A14"/>
    <w:rsid w:val="00CC5A5C"/>
    <w:rsid w:val="00CC6142"/>
    <w:rsid w:val="00CC698B"/>
    <w:rsid w:val="00CC75EA"/>
    <w:rsid w:val="00CC7680"/>
    <w:rsid w:val="00CD071E"/>
    <w:rsid w:val="00CD1C57"/>
    <w:rsid w:val="00CD216E"/>
    <w:rsid w:val="00CD259B"/>
    <w:rsid w:val="00CD29DB"/>
    <w:rsid w:val="00CD3040"/>
    <w:rsid w:val="00CD3794"/>
    <w:rsid w:val="00CD39BC"/>
    <w:rsid w:val="00CD3A3F"/>
    <w:rsid w:val="00CD3F92"/>
    <w:rsid w:val="00CD48EB"/>
    <w:rsid w:val="00CD4953"/>
    <w:rsid w:val="00CD4BE1"/>
    <w:rsid w:val="00CD5712"/>
    <w:rsid w:val="00CD5A53"/>
    <w:rsid w:val="00CD6239"/>
    <w:rsid w:val="00CD6760"/>
    <w:rsid w:val="00CD73A9"/>
    <w:rsid w:val="00CD783F"/>
    <w:rsid w:val="00CE01A8"/>
    <w:rsid w:val="00CE020E"/>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9E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385"/>
    <w:rsid w:val="00D009C1"/>
    <w:rsid w:val="00D00A13"/>
    <w:rsid w:val="00D01A5D"/>
    <w:rsid w:val="00D01D8B"/>
    <w:rsid w:val="00D02AD7"/>
    <w:rsid w:val="00D035AA"/>
    <w:rsid w:val="00D0365C"/>
    <w:rsid w:val="00D03B6A"/>
    <w:rsid w:val="00D04795"/>
    <w:rsid w:val="00D04A27"/>
    <w:rsid w:val="00D04D43"/>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27912"/>
    <w:rsid w:val="00D304D4"/>
    <w:rsid w:val="00D30A53"/>
    <w:rsid w:val="00D30B33"/>
    <w:rsid w:val="00D30C1F"/>
    <w:rsid w:val="00D3100E"/>
    <w:rsid w:val="00D311FF"/>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405"/>
    <w:rsid w:val="00D4166E"/>
    <w:rsid w:val="00D4187B"/>
    <w:rsid w:val="00D41D4B"/>
    <w:rsid w:val="00D43609"/>
    <w:rsid w:val="00D43717"/>
    <w:rsid w:val="00D43FC4"/>
    <w:rsid w:val="00D43FDB"/>
    <w:rsid w:val="00D44337"/>
    <w:rsid w:val="00D44F2C"/>
    <w:rsid w:val="00D4543E"/>
    <w:rsid w:val="00D45C6B"/>
    <w:rsid w:val="00D4688C"/>
    <w:rsid w:val="00D470E4"/>
    <w:rsid w:val="00D47564"/>
    <w:rsid w:val="00D47EFC"/>
    <w:rsid w:val="00D50C77"/>
    <w:rsid w:val="00D50D0A"/>
    <w:rsid w:val="00D511D7"/>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E65"/>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362B"/>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6E4"/>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5ED6"/>
    <w:rsid w:val="00DD6BB6"/>
    <w:rsid w:val="00DD7BE9"/>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0583"/>
    <w:rsid w:val="00DF1099"/>
    <w:rsid w:val="00DF1646"/>
    <w:rsid w:val="00DF1962"/>
    <w:rsid w:val="00DF1DD6"/>
    <w:rsid w:val="00DF26AE"/>
    <w:rsid w:val="00DF298D"/>
    <w:rsid w:val="00DF2C8C"/>
    <w:rsid w:val="00DF30AE"/>
    <w:rsid w:val="00DF3211"/>
    <w:rsid w:val="00DF4033"/>
    <w:rsid w:val="00DF432E"/>
    <w:rsid w:val="00DF4C2B"/>
    <w:rsid w:val="00DF5815"/>
    <w:rsid w:val="00DF5991"/>
    <w:rsid w:val="00DF6119"/>
    <w:rsid w:val="00DF61B8"/>
    <w:rsid w:val="00DF61D6"/>
    <w:rsid w:val="00DF6583"/>
    <w:rsid w:val="00DF74E2"/>
    <w:rsid w:val="00DF7B5A"/>
    <w:rsid w:val="00E000CE"/>
    <w:rsid w:val="00E001AC"/>
    <w:rsid w:val="00E00ECD"/>
    <w:rsid w:val="00E01A1B"/>
    <w:rsid w:val="00E01EFA"/>
    <w:rsid w:val="00E0226A"/>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3C"/>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1E5D"/>
    <w:rsid w:val="00E222E9"/>
    <w:rsid w:val="00E22F93"/>
    <w:rsid w:val="00E23954"/>
    <w:rsid w:val="00E23BFF"/>
    <w:rsid w:val="00E253CB"/>
    <w:rsid w:val="00E265D8"/>
    <w:rsid w:val="00E26CFB"/>
    <w:rsid w:val="00E2735B"/>
    <w:rsid w:val="00E27960"/>
    <w:rsid w:val="00E27A64"/>
    <w:rsid w:val="00E27E33"/>
    <w:rsid w:val="00E311C2"/>
    <w:rsid w:val="00E31BA0"/>
    <w:rsid w:val="00E324C5"/>
    <w:rsid w:val="00E32782"/>
    <w:rsid w:val="00E330D1"/>
    <w:rsid w:val="00E333FD"/>
    <w:rsid w:val="00E33FB1"/>
    <w:rsid w:val="00E34241"/>
    <w:rsid w:val="00E34CEB"/>
    <w:rsid w:val="00E35721"/>
    <w:rsid w:val="00E35BA0"/>
    <w:rsid w:val="00E35D61"/>
    <w:rsid w:val="00E362EB"/>
    <w:rsid w:val="00E36B8E"/>
    <w:rsid w:val="00E37153"/>
    <w:rsid w:val="00E37B40"/>
    <w:rsid w:val="00E4021D"/>
    <w:rsid w:val="00E4112B"/>
    <w:rsid w:val="00E4186D"/>
    <w:rsid w:val="00E41DAE"/>
    <w:rsid w:val="00E4253D"/>
    <w:rsid w:val="00E42CAA"/>
    <w:rsid w:val="00E43641"/>
    <w:rsid w:val="00E43733"/>
    <w:rsid w:val="00E452D6"/>
    <w:rsid w:val="00E468E5"/>
    <w:rsid w:val="00E4728C"/>
    <w:rsid w:val="00E472DB"/>
    <w:rsid w:val="00E4745F"/>
    <w:rsid w:val="00E478ED"/>
    <w:rsid w:val="00E47959"/>
    <w:rsid w:val="00E47FB3"/>
    <w:rsid w:val="00E50380"/>
    <w:rsid w:val="00E50690"/>
    <w:rsid w:val="00E50852"/>
    <w:rsid w:val="00E50BB4"/>
    <w:rsid w:val="00E50BE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4AE3"/>
    <w:rsid w:val="00E657B3"/>
    <w:rsid w:val="00E65E18"/>
    <w:rsid w:val="00E6627D"/>
    <w:rsid w:val="00E665B2"/>
    <w:rsid w:val="00E66CEC"/>
    <w:rsid w:val="00E6709D"/>
    <w:rsid w:val="00E674D1"/>
    <w:rsid w:val="00E676A0"/>
    <w:rsid w:val="00E678DA"/>
    <w:rsid w:val="00E67DFA"/>
    <w:rsid w:val="00E70A51"/>
    <w:rsid w:val="00E714C5"/>
    <w:rsid w:val="00E719EB"/>
    <w:rsid w:val="00E72960"/>
    <w:rsid w:val="00E73207"/>
    <w:rsid w:val="00E738FD"/>
    <w:rsid w:val="00E73CFE"/>
    <w:rsid w:val="00E73D0A"/>
    <w:rsid w:val="00E744AF"/>
    <w:rsid w:val="00E7450E"/>
    <w:rsid w:val="00E74A55"/>
    <w:rsid w:val="00E7552C"/>
    <w:rsid w:val="00E75727"/>
    <w:rsid w:val="00E76117"/>
    <w:rsid w:val="00E761D5"/>
    <w:rsid w:val="00E763C1"/>
    <w:rsid w:val="00E7688A"/>
    <w:rsid w:val="00E76A4F"/>
    <w:rsid w:val="00E7732B"/>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39"/>
    <w:rsid w:val="00EB0DE7"/>
    <w:rsid w:val="00EB2440"/>
    <w:rsid w:val="00EB2584"/>
    <w:rsid w:val="00EB3A34"/>
    <w:rsid w:val="00EB492A"/>
    <w:rsid w:val="00EB512D"/>
    <w:rsid w:val="00EB527C"/>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C7E0C"/>
    <w:rsid w:val="00ED01E9"/>
    <w:rsid w:val="00ED0523"/>
    <w:rsid w:val="00ED19AF"/>
    <w:rsid w:val="00ED1A0A"/>
    <w:rsid w:val="00ED1D3A"/>
    <w:rsid w:val="00ED1DD7"/>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316"/>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EFF"/>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BE6"/>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2E8C"/>
    <w:rsid w:val="00F43C48"/>
    <w:rsid w:val="00F442FC"/>
    <w:rsid w:val="00F44662"/>
    <w:rsid w:val="00F4496E"/>
    <w:rsid w:val="00F45DD3"/>
    <w:rsid w:val="00F45F30"/>
    <w:rsid w:val="00F465A6"/>
    <w:rsid w:val="00F472FF"/>
    <w:rsid w:val="00F475E3"/>
    <w:rsid w:val="00F479BD"/>
    <w:rsid w:val="00F50E15"/>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8EA"/>
    <w:rsid w:val="00F61ED7"/>
    <w:rsid w:val="00F631A3"/>
    <w:rsid w:val="00F6345B"/>
    <w:rsid w:val="00F63548"/>
    <w:rsid w:val="00F637FA"/>
    <w:rsid w:val="00F642EF"/>
    <w:rsid w:val="00F650AD"/>
    <w:rsid w:val="00F651C6"/>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01D4"/>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10"/>
    <w:rsid w:val="00F963EA"/>
    <w:rsid w:val="00F96DC7"/>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624C"/>
    <w:rsid w:val="00FD715D"/>
    <w:rsid w:val="00FD7273"/>
    <w:rsid w:val="00FD75CD"/>
    <w:rsid w:val="00FD7885"/>
    <w:rsid w:val="00FD7D71"/>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6B73"/>
    <w:rsid w:val="00FE7B9B"/>
    <w:rsid w:val="00FE7D54"/>
    <w:rsid w:val="00FE7F82"/>
    <w:rsid w:val="00FF0216"/>
    <w:rsid w:val="00FF076D"/>
    <w:rsid w:val="00FF0EF3"/>
    <w:rsid w:val="00FF1488"/>
    <w:rsid w:val="00FF18D1"/>
    <w:rsid w:val="00FF1CCD"/>
    <w:rsid w:val="00FF1DD4"/>
    <w:rsid w:val="00FF2233"/>
    <w:rsid w:val="00FF345C"/>
    <w:rsid w:val="00FF356C"/>
    <w:rsid w:val="00FF3802"/>
    <w:rsid w:val="00FF3AF6"/>
    <w:rsid w:val="00FF3B48"/>
    <w:rsid w:val="00FF4330"/>
    <w:rsid w:val="00FF47AA"/>
    <w:rsid w:val="00FF50FC"/>
    <w:rsid w:val="00FF55D2"/>
    <w:rsid w:val="00FF5742"/>
    <w:rsid w:val="00FF57A6"/>
    <w:rsid w:val="00FF57D0"/>
    <w:rsid w:val="00FF5842"/>
    <w:rsid w:val="00FF5EB0"/>
    <w:rsid w:val="00FF6857"/>
    <w:rsid w:val="00FF7859"/>
    <w:rsid w:val="00FF78D5"/>
    <w:rsid w:val="00FF7AC1"/>
    <w:rsid w:val="0121717C"/>
    <w:rsid w:val="0239249B"/>
    <w:rsid w:val="033038A5"/>
    <w:rsid w:val="03370FD5"/>
    <w:rsid w:val="0AA260AF"/>
    <w:rsid w:val="0E1C75B7"/>
    <w:rsid w:val="12035256"/>
    <w:rsid w:val="14D13E30"/>
    <w:rsid w:val="14FB089D"/>
    <w:rsid w:val="1DA340AC"/>
    <w:rsid w:val="1EF31A14"/>
    <w:rsid w:val="21A07B0E"/>
    <w:rsid w:val="226B4005"/>
    <w:rsid w:val="237A33CF"/>
    <w:rsid w:val="27D85F67"/>
    <w:rsid w:val="280777BA"/>
    <w:rsid w:val="2A116A44"/>
    <w:rsid w:val="2B3B2A87"/>
    <w:rsid w:val="2C046D45"/>
    <w:rsid w:val="2D800C1D"/>
    <w:rsid w:val="31326DA1"/>
    <w:rsid w:val="314B272C"/>
    <w:rsid w:val="33B20FDF"/>
    <w:rsid w:val="33FB140C"/>
    <w:rsid w:val="36981F39"/>
    <w:rsid w:val="38A80D66"/>
    <w:rsid w:val="39935196"/>
    <w:rsid w:val="3A744120"/>
    <w:rsid w:val="3B6D698D"/>
    <w:rsid w:val="3C671D8D"/>
    <w:rsid w:val="3D0956A6"/>
    <w:rsid w:val="40027E81"/>
    <w:rsid w:val="4106298B"/>
    <w:rsid w:val="42A945E7"/>
    <w:rsid w:val="464E62F8"/>
    <w:rsid w:val="47906990"/>
    <w:rsid w:val="4A893E18"/>
    <w:rsid w:val="4B6D2BF4"/>
    <w:rsid w:val="4ED31EF2"/>
    <w:rsid w:val="532B2EF4"/>
    <w:rsid w:val="57B72336"/>
    <w:rsid w:val="58263379"/>
    <w:rsid w:val="59064358"/>
    <w:rsid w:val="593C02D8"/>
    <w:rsid w:val="5A3D0E9A"/>
    <w:rsid w:val="5A51384B"/>
    <w:rsid w:val="5A5D5937"/>
    <w:rsid w:val="5AD52E24"/>
    <w:rsid w:val="5C225B9A"/>
    <w:rsid w:val="5E665BC3"/>
    <w:rsid w:val="60D40E9A"/>
    <w:rsid w:val="675F18B0"/>
    <w:rsid w:val="697042FC"/>
    <w:rsid w:val="6B265F08"/>
    <w:rsid w:val="6D4353A0"/>
    <w:rsid w:val="6D452375"/>
    <w:rsid w:val="6DC2513E"/>
    <w:rsid w:val="6ECA76D0"/>
    <w:rsid w:val="6F27519B"/>
    <w:rsid w:val="6F502B50"/>
    <w:rsid w:val="6FAA628B"/>
    <w:rsid w:val="70402933"/>
    <w:rsid w:val="75E8756B"/>
    <w:rsid w:val="76D176C8"/>
    <w:rsid w:val="77FF083E"/>
    <w:rsid w:val="78694F62"/>
    <w:rsid w:val="788C3D53"/>
    <w:rsid w:val="7BF5494B"/>
    <w:rsid w:val="7D4E5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semiHidden/>
    <w:qFormat/>
    <w:uiPriority w:val="0"/>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msolistparagraph"/>
    <w:basedOn w:val="1"/>
    <w:qFormat/>
    <w:uiPriority w:val="0"/>
    <w:pPr>
      <w:ind w:firstLine="420" w:firstLineChars="200"/>
    </w:pPr>
  </w:style>
  <w:style w:type="paragraph" w:customStyle="1" w:styleId="2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74219-3689-4BC0-93BA-AA073C04726E}">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11412</Words>
  <Characters>11528</Characters>
  <Lines>443</Lines>
  <Paragraphs>417</Paragraphs>
  <TotalTime>1</TotalTime>
  <ScaleCrop>false</ScaleCrop>
  <LinksUpToDate>false</LinksUpToDate>
  <CharactersWithSpaces>22523</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2024-03-22T05:27:00Z</dcterms:created>
  <dc:creator>PingAn</dc:creator>
  <cp:lastModifiedBy>EX-ZHAOWEI183</cp:lastModifiedBy>
  <cp:lastPrinted>2020-10-23T02:40:00Z</cp:lastPrinted>
  <dcterms:modified xsi:type="dcterms:W3CDTF">2024-09-30T02:38:31Z</dcterms:modified>
  <dc:title>平安理财启元稳利（30天持有）2号固收类理财产品说明书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CC5B9CC8FE6040FFB91673A6FAA1E9D0</vt:lpwstr>
  </property>
</Properties>
</file>