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permStart w:id="0" w:edGrp="everyone"/>
      <w:r>
        <w:rPr>
          <w:rStyle w:val="27"/>
          <w:rFonts w:hint="eastAsia" w:ascii="黑体" w:hAnsi="黑体" w:eastAsia="黑体"/>
          <w:sz w:val="44"/>
          <w:szCs w:val="44"/>
        </w:rPr>
        <w:t>兴银理财【稳添利最短持有期日开固收类</w:t>
      </w:r>
      <w:r>
        <w:rPr>
          <w:rStyle w:val="27"/>
          <w:rFonts w:hint="eastAsia" w:ascii="黑体" w:hAnsi="黑体" w:eastAsia="黑体"/>
          <w:sz w:val="44"/>
          <w:szCs w:val="44"/>
          <w:lang w:eastAsia="zh-CN"/>
        </w:rPr>
        <w:t>】</w:t>
      </w:r>
      <w:r>
        <w:rPr>
          <w:rStyle w:val="27"/>
          <w:rFonts w:hint="eastAsia" w:ascii="黑体" w:hAnsi="黑体" w:eastAsia="黑体"/>
          <w:sz w:val="44"/>
          <w:szCs w:val="44"/>
        </w:rPr>
        <w:t>理财产品</w:t>
      </w:r>
      <w:permEnd w:id="0"/>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【2025】年【12】月</w:t>
      </w:r>
      <w:permEnd w:id="1"/>
    </w:p>
    <w:p>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permStart w:id="2" w:edGrp="everyone"/>
          <w:bookmarkStart w:id="0" w:name="_Toc78276587"/>
          <w:r>
            <w:rPr>
              <w:lang w:val="zh-CN"/>
            </w:rPr>
            <w:t>目录</w:t>
          </w:r>
        </w:p>
        <w:p>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"_Toc32762"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_Toc32762 \h </w:instrText>
          </w:r>
          <w:r>
            <w:fldChar w:fldCharType="separate"/>
          </w:r>
          <w:r>
            <w:t>3</w:t>
          </w:r>
          <w:r>
            <w:fldChar w:fldCharType="end"/>
          </w:r>
          <w:r>
            <w:fldChar w:fldCharType="end"/>
          </w:r>
        </w:p>
        <w:p>
          <w:pPr>
            <w:pStyle w:val="16"/>
            <w:tabs>
              <w:tab w:val="right" w:leader="dot" w:pos="8306"/>
            </w:tabs>
          </w:pPr>
          <w:r>
            <w:fldChar w:fldCharType="begin"/>
          </w:r>
          <w:r>
            <w:instrText xml:space="preserve"> HYPERLINK \l "_Toc1693" </w:instrText>
          </w:r>
          <w:r>
            <w:fldChar w:fldCharType="separate"/>
          </w:r>
          <w:r>
            <w:rPr>
              <w:rFonts w:hint="eastAsia" w:hAnsi="宋体"/>
              <w:szCs w:val="28"/>
            </w:rPr>
            <w:t xml:space="preserve">第二条  理财产品基本情况 </w:t>
          </w:r>
          <w:r>
            <w:tab/>
          </w:r>
          <w:r>
            <w:fldChar w:fldCharType="begin"/>
          </w:r>
          <w:r>
            <w:instrText xml:space="preserve"> PAGEREF _Toc1693 \h </w:instrText>
          </w:r>
          <w:r>
            <w:fldChar w:fldCharType="separate"/>
          </w:r>
          <w:r>
            <w:t>8</w:t>
          </w:r>
          <w:r>
            <w:fldChar w:fldCharType="end"/>
          </w:r>
          <w:r>
            <w:fldChar w:fldCharType="end"/>
          </w:r>
        </w:p>
        <w:p>
          <w:pPr>
            <w:pStyle w:val="16"/>
            <w:tabs>
              <w:tab w:val="right" w:leader="dot" w:pos="8306"/>
            </w:tabs>
          </w:pPr>
          <w:r>
            <w:fldChar w:fldCharType="begin"/>
          </w:r>
          <w:r>
            <w:instrText xml:space="preserve"> HYPERLINK \l "_Toc10659"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_Toc10659 \h </w:instrText>
          </w:r>
          <w:r>
            <w:fldChar w:fldCharType="separate"/>
          </w:r>
          <w:r>
            <w:t>14</w:t>
          </w:r>
          <w:r>
            <w:fldChar w:fldCharType="end"/>
          </w:r>
          <w:r>
            <w:fldChar w:fldCharType="end"/>
          </w:r>
        </w:p>
        <w:p>
          <w:pPr>
            <w:pStyle w:val="16"/>
            <w:tabs>
              <w:tab w:val="right" w:leader="dot" w:pos="8306"/>
            </w:tabs>
          </w:pPr>
          <w:r>
            <w:fldChar w:fldCharType="begin"/>
          </w:r>
          <w:r>
            <w:instrText xml:space="preserve"> HYPERLINK \l "_Toc32177"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_Toc32177 \h </w:instrText>
          </w:r>
          <w:r>
            <w:fldChar w:fldCharType="separate"/>
          </w:r>
          <w:r>
            <w:t>16</w:t>
          </w:r>
          <w:r>
            <w:fldChar w:fldCharType="end"/>
          </w:r>
          <w:r>
            <w:fldChar w:fldCharType="end"/>
          </w:r>
        </w:p>
        <w:p>
          <w:pPr>
            <w:pStyle w:val="16"/>
            <w:tabs>
              <w:tab w:val="right" w:leader="dot" w:pos="8306"/>
            </w:tabs>
          </w:pPr>
          <w:r>
            <w:fldChar w:fldCharType="begin"/>
          </w:r>
          <w:r>
            <w:instrText xml:space="preserve"> HYPERLINK \l "_Toc25685"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_Toc25685 \h </w:instrText>
          </w:r>
          <w:r>
            <w:fldChar w:fldCharType="separate"/>
          </w:r>
          <w:r>
            <w:t>20</w:t>
          </w:r>
          <w:r>
            <w:fldChar w:fldCharType="end"/>
          </w:r>
          <w:r>
            <w:fldChar w:fldCharType="end"/>
          </w:r>
        </w:p>
        <w:p>
          <w:pPr>
            <w:pStyle w:val="16"/>
            <w:tabs>
              <w:tab w:val="right" w:leader="dot" w:pos="8306"/>
            </w:tabs>
          </w:pPr>
          <w:r>
            <w:fldChar w:fldCharType="begin"/>
          </w:r>
          <w:r>
            <w:instrText xml:space="preserve"> HYPERLINK \l "_Toc31087"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_Toc31087 \h </w:instrText>
          </w:r>
          <w:r>
            <w:fldChar w:fldCharType="separate"/>
          </w:r>
          <w:r>
            <w:t>23</w:t>
          </w:r>
          <w:r>
            <w:fldChar w:fldCharType="end"/>
          </w:r>
          <w:r>
            <w:fldChar w:fldCharType="end"/>
          </w:r>
        </w:p>
        <w:p>
          <w:pPr>
            <w:pStyle w:val="16"/>
            <w:tabs>
              <w:tab w:val="right" w:leader="dot" w:pos="8306"/>
            </w:tabs>
          </w:pPr>
          <w:r>
            <w:fldChar w:fldCharType="begin"/>
          </w:r>
          <w:r>
            <w:instrText xml:space="preserve"> HYPERLINK \l "_Toc19132"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_Toc19132 \h </w:instrText>
          </w:r>
          <w:r>
            <w:fldChar w:fldCharType="separate"/>
          </w:r>
          <w:r>
            <w:t>24</w:t>
          </w:r>
          <w:r>
            <w:fldChar w:fldCharType="end"/>
          </w:r>
          <w:r>
            <w:fldChar w:fldCharType="end"/>
          </w:r>
        </w:p>
        <w:p>
          <w:pPr>
            <w:pStyle w:val="16"/>
            <w:tabs>
              <w:tab w:val="right" w:leader="dot" w:pos="8306"/>
            </w:tabs>
          </w:pPr>
          <w:r>
            <w:fldChar w:fldCharType="begin"/>
          </w:r>
          <w:r>
            <w:instrText xml:space="preserve"> HYPERLINK \l "_Toc8695"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_Toc8695 \h </w:instrText>
          </w:r>
          <w:r>
            <w:fldChar w:fldCharType="separate"/>
          </w:r>
          <w:r>
            <w:t>28</w:t>
          </w:r>
          <w:r>
            <w:fldChar w:fldCharType="end"/>
          </w:r>
          <w:r>
            <w:fldChar w:fldCharType="end"/>
          </w:r>
        </w:p>
        <w:p>
          <w:pPr>
            <w:pStyle w:val="16"/>
            <w:tabs>
              <w:tab w:val="right" w:leader="dot" w:pos="8306"/>
            </w:tabs>
          </w:pPr>
          <w:r>
            <w:fldChar w:fldCharType="begin"/>
          </w:r>
          <w:r>
            <w:instrText xml:space="preserve"> HYPERLINK \l "_Toc1043"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_Toc1043 \h </w:instrText>
          </w:r>
          <w:r>
            <w:fldChar w:fldCharType="separate"/>
          </w:r>
          <w:r>
            <w:t>29</w:t>
          </w:r>
          <w:r>
            <w:fldChar w:fldCharType="end"/>
          </w:r>
          <w:r>
            <w:fldChar w:fldCharType="end"/>
          </w:r>
        </w:p>
        <w:p>
          <w:pPr>
            <w:pStyle w:val="16"/>
            <w:tabs>
              <w:tab w:val="right" w:leader="dot" w:pos="8306"/>
            </w:tabs>
          </w:pPr>
          <w:r>
            <w:fldChar w:fldCharType="begin"/>
          </w:r>
          <w:r>
            <w:instrText xml:space="preserve"> HYPERLINK \l "_Toc2757"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_Toc2757 \h </w:instrText>
          </w:r>
          <w:r>
            <w:fldChar w:fldCharType="separate"/>
          </w:r>
          <w:r>
            <w:t>32</w:t>
          </w:r>
          <w:r>
            <w:fldChar w:fldCharType="end"/>
          </w:r>
          <w:r>
            <w:fldChar w:fldCharType="end"/>
          </w:r>
        </w:p>
        <w:p>
          <w:pPr>
            <w:pStyle w:val="16"/>
            <w:tabs>
              <w:tab w:val="right" w:leader="dot" w:pos="8306"/>
            </w:tabs>
          </w:pPr>
          <w:r>
            <w:fldChar w:fldCharType="begin"/>
          </w:r>
          <w:r>
            <w:instrText xml:space="preserve"> HYPERLINK \l "_Toc593"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_Toc593 \h </w:instrText>
          </w:r>
          <w:r>
            <w:fldChar w:fldCharType="separate"/>
          </w:r>
          <w:r>
            <w:t>34</w:t>
          </w:r>
          <w:r>
            <w:fldChar w:fldCharType="end"/>
          </w:r>
          <w:r>
            <w:fldChar w:fldCharType="end"/>
          </w:r>
        </w:p>
        <w:p>
          <w:pPr>
            <w:pStyle w:val="16"/>
            <w:tabs>
              <w:tab w:val="right" w:leader="dot" w:pos="8306"/>
            </w:tabs>
          </w:pPr>
          <w:r>
            <w:fldChar w:fldCharType="begin"/>
          </w:r>
          <w:r>
            <w:instrText xml:space="preserve"> HYPERLINK \l "_Toc184"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_Toc184 \h </w:instrText>
          </w:r>
          <w:r>
            <w:fldChar w:fldCharType="separate"/>
          </w:r>
          <w:r>
            <w:t>36</w:t>
          </w:r>
          <w:r>
            <w:fldChar w:fldCharType="end"/>
          </w:r>
          <w:r>
            <w:fldChar w:fldCharType="end"/>
          </w:r>
        </w:p>
        <w:p>
          <w:pPr>
            <w:spacing w:line="360" w:lineRule="auto"/>
          </w:pPr>
          <w:r>
            <w:fldChar w:fldCharType="end"/>
          </w:r>
        </w:p>
      </w:sdtContent>
    </w:sdt>
    <w:permEnd w:id="2"/>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26572"/>
      <w:bookmarkStart w:id="2" w:name="_Toc92377130"/>
      <w:bookmarkStart w:id="3" w:name="_Toc29814"/>
      <w:bookmarkStart w:id="4" w:name="_Toc32762"/>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bookmarkEnd w:id="3"/>
      <w:bookmarkEnd w:id="4"/>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中国工商银行股份有限公司（以下简称“工商银行”）。工商银行成立于1984年，于1998年开展资产托管业务，具备理财产品托管资格。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国家金融监督管理总局</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w:t>
      </w:r>
      <w:permStart w:id="4" w:edGrp="everyone"/>
      <w:r>
        <w:rPr>
          <w:rFonts w:hint="eastAsia" w:asciiTheme="majorEastAsia" w:hAnsiTheme="majorEastAsia" w:eastAsiaTheme="majorEastAsia"/>
          <w:bCs/>
          <w:sz w:val="18"/>
          <w:szCs w:val="18"/>
          <w:lang w:eastAsia="zh-CN"/>
        </w:rPr>
        <w:t>兴银理财【稳添利最短持有期日开固收类】理财产品</w:t>
      </w:r>
      <w:permEnd w:id="4"/>
      <w:r>
        <w:rPr>
          <w:rFonts w:hint="eastAsia" w:asciiTheme="majorEastAsia" w:hAnsiTheme="majorEastAsia" w:eastAsiaTheme="majorEastAsia"/>
          <w:bCs/>
          <w:sz w:val="18"/>
          <w:szCs w:val="18"/>
        </w:rPr>
        <w:t>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w:t>
      </w:r>
      <w:permStart w:id="5" w:edGrp="everyone"/>
      <w:r>
        <w:rPr>
          <w:rFonts w:hint="eastAsia" w:asciiTheme="majorEastAsia" w:hAnsiTheme="majorEastAsia" w:eastAsiaTheme="majorEastAsia"/>
          <w:bCs/>
          <w:sz w:val="18"/>
          <w:szCs w:val="18"/>
          <w:lang w:eastAsia="zh-CN"/>
        </w:rPr>
        <w:t>兴银理财【稳添利最短持有期日开固收类】理财产品</w:t>
      </w:r>
      <w:permEnd w:id="5"/>
      <w:r>
        <w:rPr>
          <w:rFonts w:hint="eastAsia" w:asciiTheme="majorEastAsia" w:hAnsiTheme="majorEastAsia" w:eastAsiaTheme="majorEastAsia"/>
          <w:bCs/>
          <w:sz w:val="18"/>
          <w:szCs w:val="18"/>
        </w:rPr>
        <w:t>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w:t>
      </w:r>
      <w:permStart w:id="6" w:edGrp="everyone"/>
      <w:r>
        <w:rPr>
          <w:rFonts w:hint="eastAsia" w:asciiTheme="majorEastAsia" w:hAnsiTheme="majorEastAsia" w:eastAsiaTheme="majorEastAsia"/>
          <w:bCs/>
          <w:sz w:val="18"/>
          <w:szCs w:val="18"/>
          <w:lang w:eastAsia="zh-CN"/>
        </w:rPr>
        <w:t>兴银理财【稳添利最短持有期日开固收类】理财产品</w:t>
      </w:r>
      <w:permEnd w:id="6"/>
      <w:r>
        <w:rPr>
          <w:rFonts w:hint="eastAsia" w:asciiTheme="majorEastAsia" w:hAnsiTheme="majorEastAsia" w:eastAsiaTheme="majorEastAsia"/>
          <w:bCs/>
          <w:sz w:val="18"/>
          <w:szCs w:val="18"/>
        </w:rPr>
        <w:t>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w:t>
      </w:r>
      <w:permStart w:id="7" w:edGrp="everyone"/>
      <w:r>
        <w:rPr>
          <w:rFonts w:hint="eastAsia" w:asciiTheme="majorEastAsia" w:hAnsiTheme="majorEastAsia" w:eastAsiaTheme="majorEastAsia"/>
          <w:bCs/>
          <w:sz w:val="18"/>
          <w:szCs w:val="18"/>
          <w:lang w:eastAsia="zh-CN"/>
        </w:rPr>
        <w:t>兴银理财【稳添利最短持有期日开固收类】理财产品</w:t>
      </w:r>
      <w:permEnd w:id="7"/>
      <w:r>
        <w:rPr>
          <w:rFonts w:hint="eastAsia" w:asciiTheme="majorEastAsia" w:hAnsiTheme="majorEastAsia" w:eastAsiaTheme="majorEastAsia"/>
          <w:bCs/>
          <w:sz w:val="18"/>
          <w:szCs w:val="18"/>
        </w:rPr>
        <w:t>（代理）销售协议书》或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w:t>
      </w:r>
      <w:permStart w:id="8" w:edGrp="everyone"/>
      <w:r>
        <w:rPr>
          <w:rFonts w:hint="eastAsia" w:asciiTheme="majorEastAsia" w:hAnsiTheme="majorEastAsia" w:eastAsiaTheme="majorEastAsia"/>
          <w:bCs/>
          <w:sz w:val="18"/>
          <w:szCs w:val="18"/>
          <w:lang w:eastAsia="zh-CN"/>
        </w:rPr>
        <w:t>兴银理财【稳添利最短持有期日开固收类】理财产品</w:t>
      </w:r>
      <w:permEnd w:id="8"/>
      <w:r>
        <w:rPr>
          <w:rFonts w:hint="eastAsia" w:asciiTheme="majorEastAsia" w:hAnsiTheme="majorEastAsia" w:eastAsiaTheme="majorEastAsia"/>
          <w:bCs/>
          <w:sz w:val="18"/>
          <w:szCs w:val="18"/>
        </w:rPr>
        <w:t>（代理）销售协议书》（文件名称以代理销售机构实际编制为准），以及对该文件的有效修改或补充。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w:t>
      </w:r>
      <w:permStart w:id="9" w:edGrp="everyone"/>
      <w:r>
        <w:rPr>
          <w:rFonts w:hint="eastAsia" w:asciiTheme="majorEastAsia" w:hAnsiTheme="majorEastAsia" w:eastAsiaTheme="majorEastAsia"/>
          <w:bCs/>
          <w:sz w:val="18"/>
          <w:szCs w:val="18"/>
          <w:lang w:eastAsia="zh-CN"/>
        </w:rPr>
        <w:t>兴银理财【稳添利最短持有期日开固收类】理财产品</w:t>
      </w:r>
      <w:permEnd w:id="9"/>
      <w:r>
        <w:rPr>
          <w:rFonts w:hint="eastAsia" w:asciiTheme="majorEastAsia" w:hAnsiTheme="majorEastAsia" w:eastAsiaTheme="majorEastAsia"/>
          <w:bCs/>
          <w:sz w:val="18"/>
          <w:szCs w:val="18"/>
        </w:rPr>
        <w:t>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w:t>
      </w:r>
      <w:permStart w:id="10" w:edGrp="everyone"/>
      <w:r>
        <w:rPr>
          <w:rFonts w:hint="eastAsia" w:asciiTheme="majorEastAsia" w:hAnsiTheme="majorEastAsia" w:eastAsiaTheme="majorEastAsia"/>
          <w:bCs/>
          <w:sz w:val="18"/>
          <w:szCs w:val="18"/>
          <w:lang w:eastAsia="zh-CN"/>
        </w:rPr>
        <w:t>兴银理财【稳添利最短持有期日开固收类】理财产品</w:t>
      </w:r>
      <w:permEnd w:id="10"/>
      <w:r>
        <w:rPr>
          <w:rFonts w:hint="eastAsia" w:asciiTheme="majorEastAsia" w:hAnsiTheme="majorEastAsia" w:eastAsiaTheme="majorEastAsia"/>
          <w:bCs/>
          <w:sz w:val="18"/>
          <w:szCs w:val="18"/>
        </w:rPr>
        <w:t>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w:t>
      </w:r>
      <w:permStart w:id="11" w:edGrp="everyone"/>
      <w:r>
        <w:rPr>
          <w:rFonts w:hint="eastAsia" w:asciiTheme="majorEastAsia" w:hAnsiTheme="majorEastAsia" w:eastAsiaTheme="majorEastAsia"/>
          <w:bCs/>
          <w:sz w:val="18"/>
          <w:szCs w:val="18"/>
          <w:lang w:eastAsia="zh-CN"/>
        </w:rPr>
        <w:t>兴银理财【稳添利最短持有期日开固收类】理财产品</w:t>
      </w:r>
      <w:permEnd w:id="11"/>
      <w:r>
        <w:rPr>
          <w:rFonts w:hint="eastAsia" w:asciiTheme="majorEastAsia" w:hAnsiTheme="majorEastAsia" w:eastAsiaTheme="majorEastAsia"/>
          <w:bCs/>
          <w:sz w:val="18"/>
          <w:szCs w:val="18"/>
        </w:rPr>
        <w:t>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w:t>
      </w:r>
      <w:permStart w:id="12" w:edGrp="everyone"/>
      <w:r>
        <w:rPr>
          <w:rFonts w:hint="eastAsia" w:asciiTheme="majorEastAsia" w:hAnsiTheme="majorEastAsia" w:eastAsiaTheme="majorEastAsia"/>
          <w:bCs/>
          <w:sz w:val="18"/>
          <w:szCs w:val="18"/>
          <w:lang w:eastAsia="zh-CN"/>
        </w:rPr>
        <w:t>兴银理财【稳添利最短持有期日开固收类】理财产品</w:t>
      </w:r>
      <w:permEnd w:id="12"/>
      <w:r>
        <w:rPr>
          <w:rFonts w:hint="eastAsia" w:asciiTheme="majorEastAsia" w:hAnsiTheme="majorEastAsia" w:eastAsiaTheme="majorEastAsia"/>
          <w:bCs/>
          <w:sz w:val="18"/>
          <w:szCs w:val="18"/>
        </w:rPr>
        <w:t>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销售服务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工作日：指除中国法定节假日和公休日外的其他日。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5" w:name="_Toc79154665"/>
      <w:bookmarkStart w:id="6" w:name="_Toc92377131"/>
      <w:bookmarkStart w:id="7" w:name="_Toc30087"/>
      <w:bookmarkStart w:id="8" w:name="_Toc14559"/>
      <w:bookmarkStart w:id="9" w:name="_Toc1693"/>
      <w:r>
        <w:rPr>
          <w:rFonts w:hint="eastAsia" w:hAnsi="宋体"/>
          <w:sz w:val="28"/>
          <w:szCs w:val="28"/>
        </w:rPr>
        <w:t>第二条  理财产品基本情况</w:t>
      </w:r>
      <w:bookmarkEnd w:id="5"/>
      <w:bookmarkEnd w:id="6"/>
      <w:r>
        <w:rPr>
          <w:rFonts w:hint="eastAsia" w:hAnsi="宋体"/>
          <w:sz w:val="28"/>
          <w:szCs w:val="28"/>
        </w:rPr>
        <w:t xml:space="preserve"> </w:t>
      </w:r>
      <w:bookmarkEnd w:id="7"/>
      <w:bookmarkEnd w:id="8"/>
      <w:bookmarkEnd w:id="9"/>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sz w:val="18"/>
                <w:szCs w:val="18"/>
              </w:rPr>
              <w:t>【兴银理财稳添利季盈75号(3个月最短持有期)日开固收类理财产品】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vAlign w:val="top"/>
          </w:tcPr>
          <w:p>
            <w:pPr>
              <w:keepNext w:val="0"/>
              <w:keepLines w:val="0"/>
              <w:suppressLineNumbers w:val="0"/>
              <w:spacing w:before="0" w:beforeAutospacing="0" w:after="0" w:afterAutospacing="0" w:line="360" w:lineRule="auto"/>
              <w:ind w:left="0" w:leftChars="0" w:right="0" w:rightChars="0"/>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vAlign w:val="top"/>
          </w:tcPr>
          <w:p>
            <w:pPr>
              <w:keepNext w:val="0"/>
              <w:keepLines w:val="0"/>
              <w:widowControl/>
              <w:suppressLineNumbers w:val="0"/>
              <w:spacing w:before="0" w:beforeAutospacing="0" w:after="0" w:afterAutospacing="0" w:line="360" w:lineRule="auto"/>
              <w:ind w:left="0" w:leftChars="0" w:right="0" w:rightChars="0"/>
              <w:jc w:val="left"/>
              <w:rPr>
                <w:rFonts w:ascii="宋体" w:hAnsi="宋体"/>
                <w:kern w:val="0"/>
                <w:sz w:val="22"/>
              </w:rPr>
            </w:pPr>
            <w:r>
              <w:rPr>
                <w:rFonts w:hint="eastAsia" w:asciiTheme="majorEastAsia" w:hAnsiTheme="majorEastAsia" w:eastAsiaTheme="majorEastAsia"/>
                <w:bCs/>
                <w:kern w:val="0"/>
                <w:sz w:val="18"/>
                <w:szCs w:val="18"/>
              </w:rPr>
              <w:t>【兴银稳添利季盈75号B】 (适用【B】类份额)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top"/>
          </w:tcPr>
          <w:p>
            <w:pPr>
              <w:keepNext w:val="0"/>
              <w:keepLines w:val="0"/>
              <w:suppressLineNumbers w:val="0"/>
              <w:spacing w:before="0" w:beforeAutospacing="0" w:after="0" w:afterAutospacing="0" w:line="360" w:lineRule="auto"/>
              <w:ind w:left="0" w:leftChars="0" w:right="0" w:rightChars="0"/>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vAlign w:val="top"/>
          </w:tcPr>
          <w:p>
            <w:pPr>
              <w:keepNext w:val="0"/>
              <w:keepLines w:val="0"/>
              <w:suppressLineNumbers w:val="0"/>
              <w:spacing w:before="0" w:beforeAutospacing="0" w:after="0" w:afterAutospacing="0" w:line="360" w:lineRule="auto"/>
              <w:ind w:left="0" w:leftChars="0" w:right="0" w:rightChars="0"/>
              <w:jc w:val="left"/>
              <w:rPr>
                <w:rFonts w:ascii="宋体" w:hAnsi="宋体"/>
                <w:b/>
                <w:sz w:val="18"/>
                <w:szCs w:val="18"/>
              </w:rPr>
            </w:pPr>
            <w:r>
              <w:rPr>
                <w:rFonts w:hint="eastAsia" w:asciiTheme="minorEastAsia" w:hAnsiTheme="minorEastAsia"/>
                <w:sz w:val="18"/>
                <w:szCs w:val="18"/>
              </w:rPr>
              <w:t>【Z7002025001629】</w:t>
            </w:r>
            <w:r>
              <w:rPr>
                <w:rFonts w:hint="eastAsia" w:asciiTheme="majorEastAsia" w:hAnsiTheme="majorEastAsia" w:eastAsiaTheme="majorEastAsia"/>
                <w:sz w:val="18"/>
                <w:szCs w:val="18"/>
              </w:rPr>
              <w:t>投资者可依据理财产品登记编码在中国理财网</w:t>
            </w:r>
            <w:r>
              <w:rPr>
                <w:rFonts w:hint="default" w:asciiTheme="majorEastAsia" w:hAnsiTheme="majorEastAsia" w:eastAsiaTheme="majorEastAsia"/>
                <w:sz w:val="18"/>
                <w:szCs w:val="18"/>
              </w:rPr>
              <w:t>(</w:t>
            </w:r>
            <w:r>
              <w:rPr>
                <w:rFonts w:hint="default"/>
              </w:rPr>
              <w:fldChar w:fldCharType="begin"/>
            </w:r>
            <w:r>
              <w:rPr>
                <w:rFonts w:hint="default"/>
              </w:rPr>
              <w:instrText xml:space="preserve"> HYPERLINK "http://www.chinawealth.com.cn" </w:instrText>
            </w:r>
            <w:r>
              <w:rPr>
                <w:rFonts w:hint="default"/>
              </w:rPr>
              <w:fldChar w:fldCharType="separate"/>
            </w:r>
            <w:r>
              <w:rPr>
                <w:rFonts w:hint="default" w:asciiTheme="majorEastAsia" w:hAnsiTheme="majorEastAsia" w:eastAsiaTheme="majorEastAsia"/>
                <w:sz w:val="18"/>
                <w:szCs w:val="18"/>
              </w:rPr>
              <w:t>www.chinawealth.com.cn</w:t>
            </w:r>
            <w:r>
              <w:rPr>
                <w:rFonts w:hint="default" w:asciiTheme="majorEastAsia" w:hAnsiTheme="majorEastAsia" w:eastAsiaTheme="majorEastAsia"/>
                <w:sz w:val="18"/>
                <w:szCs w:val="18"/>
              </w:rPr>
              <w:fldChar w:fldCharType="end"/>
            </w:r>
            <w:r>
              <w:rPr>
                <w:rFonts w:hint="default"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keepNext w:val="0"/>
              <w:keepLines w:val="0"/>
              <w:suppressLineNumbers w:val="0"/>
              <w:spacing w:before="0" w:beforeAutospacing="0" w:after="0" w:afterAutospacing="0" w:line="360" w:lineRule="auto"/>
              <w:ind w:left="0" w:leftChars="0" w:right="0" w:rightChars="0"/>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keepNext w:val="0"/>
              <w:keepLines w:val="0"/>
              <w:suppressLineNumbers w:val="0"/>
              <w:spacing w:before="0" w:beforeAutospacing="0" w:after="0" w:afterAutospacing="0" w:line="360" w:lineRule="auto"/>
              <w:ind w:left="0" w:leftChars="0" w:right="0" w:rightChars="0"/>
              <w:jc w:val="left"/>
              <w:rPr>
                <w:rFonts w:ascii="宋体" w:hAnsi="宋体"/>
                <w:bCs/>
                <w:sz w:val="18"/>
                <w:szCs w:val="18"/>
              </w:rPr>
            </w:pPr>
            <w:r>
              <w:rPr>
                <w:rFonts w:hint="default" w:ascii="宋体" w:hAnsi="宋体"/>
                <w:bCs/>
                <w:sz w:val="18"/>
                <w:szCs w:val="18"/>
              </w:rPr>
              <w:t>【</w:t>
            </w:r>
            <w:r>
              <w:rPr>
                <w:rFonts w:hint="eastAsia" w:ascii="宋体" w:hAnsi="宋体"/>
                <w:bCs/>
                <w:sz w:val="18"/>
                <w:szCs w:val="18"/>
              </w:rPr>
              <w:t>9K450750】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top"/>
          </w:tcPr>
          <w:p>
            <w:pPr>
              <w:keepNext w:val="0"/>
              <w:keepLines w:val="0"/>
              <w:suppressLineNumbers w:val="0"/>
              <w:spacing w:before="0" w:beforeAutospacing="0" w:after="0" w:afterAutospacing="0" w:line="360" w:lineRule="auto"/>
              <w:ind w:left="0" w:leftChars="0" w:right="0" w:rightChars="0"/>
              <w:jc w:val="left"/>
              <w:rPr>
                <w:rFonts w:hAnsi="宋体"/>
                <w:b/>
                <w:sz w:val="18"/>
                <w:szCs w:val="18"/>
              </w:rPr>
            </w:pPr>
            <w:r>
              <w:rPr>
                <w:rFonts w:hint="eastAsia" w:hAnsi="宋体"/>
                <w:b/>
                <w:sz w:val="18"/>
                <w:szCs w:val="18"/>
              </w:rPr>
              <w:t>★销售代码</w:t>
            </w:r>
          </w:p>
        </w:tc>
        <w:tc>
          <w:tcPr>
            <w:tcW w:w="7704" w:type="dxa"/>
            <w:shd w:val="solid" w:color="FFFFFF" w:fill="FFFFFF"/>
            <w:vAlign w:val="top"/>
          </w:tcPr>
          <w:p>
            <w:pPr>
              <w:keepNext w:val="0"/>
              <w:keepLines w:val="0"/>
              <w:suppressLineNumbers w:val="0"/>
              <w:spacing w:before="0" w:beforeAutospacing="0" w:after="0" w:afterAutospacing="0" w:line="360" w:lineRule="auto"/>
              <w:ind w:left="0" w:leftChars="0" w:right="0" w:rightChars="0"/>
              <w:jc w:val="left"/>
              <w:rPr>
                <w:rFonts w:hAnsi="宋体"/>
                <w:sz w:val="18"/>
                <w:szCs w:val="18"/>
              </w:rPr>
            </w:pPr>
            <w:r>
              <w:rPr>
                <w:rFonts w:hint="eastAsia" w:hAnsi="宋体"/>
                <w:sz w:val="18"/>
                <w:szCs w:val="18"/>
              </w:rPr>
              <w:t>【9K45075B】 (适用【B】类份额)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黑体" w:hAnsi="黑体" w:eastAsia="黑体"/>
                <w:bCs/>
                <w:sz w:val="18"/>
                <w:szCs w:val="18"/>
              </w:rPr>
            </w:pPr>
            <w:r>
              <w:rPr>
                <w:rFonts w:hint="eastAsia" w:ascii="黑体" w:hAnsi="黑体" w:eastAsia="黑体"/>
                <w:sz w:val="18"/>
                <w:szCs w:val="18"/>
              </w:rPr>
              <w:t>公募</w:t>
            </w:r>
            <w:r>
              <w:rPr>
                <w:rFonts w:hint="eastAsia" w:ascii="黑体" w:hAnsi="黑体" w:eastAsia="黑体"/>
                <w:bCs/>
                <w:sz w:val="18"/>
                <w:szCs w:val="18"/>
              </w:rPr>
              <w:t>、开放式、固定收益类、非保本浮动</w:t>
            </w:r>
            <w:r>
              <w:rPr>
                <w:rFonts w:ascii="黑体" w:hAnsi="黑体" w:eastAsia="黑体"/>
                <w:bCs/>
                <w:sz w:val="18"/>
                <w:szCs w:val="18"/>
              </w:rPr>
              <w:t>收益</w:t>
            </w:r>
            <w:r>
              <w:rPr>
                <w:rFonts w:hint="eastAsia" w:ascii="黑体" w:hAnsi="黑体" w:eastAsia="黑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固定收益类</w:t>
            </w:r>
          </w:p>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w:t>
            </w:r>
            <w:r>
              <w:rPr>
                <w:rFonts w:ascii="黑体" w:hAnsi="黑体" w:eastAsia="黑体"/>
                <w:bCs/>
                <w:sz w:val="18"/>
                <w:szCs w:val="18"/>
              </w:rPr>
              <w:t>收益</w:t>
            </w:r>
            <w:r>
              <w:rPr>
                <w:rFonts w:hint="eastAsia" w:ascii="黑体" w:hAnsi="黑体" w:eastAsia="黑体"/>
                <w:bCs/>
                <w:sz w:val="18"/>
                <w:szCs w:val="18"/>
              </w:rPr>
              <w:t>类</w:t>
            </w:r>
            <w:r>
              <w:rPr>
                <w:rFonts w:ascii="黑体" w:hAnsi="黑体" w:eastAsia="黑体"/>
                <w:bCs/>
                <w:sz w:val="18"/>
                <w:szCs w:val="18"/>
              </w:rPr>
              <w:t>产品是指根据监管</w:t>
            </w:r>
            <w:r>
              <w:rPr>
                <w:rFonts w:hint="eastAsia" w:ascii="黑体" w:hAnsi="黑体" w:eastAsia="黑体"/>
                <w:bCs/>
                <w:sz w:val="18"/>
                <w:szCs w:val="18"/>
              </w:rPr>
              <w:t>相关规定</w:t>
            </w:r>
            <w:r>
              <w:rPr>
                <w:rFonts w:ascii="黑体" w:hAnsi="黑体" w:eastAsia="黑体"/>
                <w:bCs/>
                <w:sz w:val="18"/>
                <w:szCs w:val="18"/>
              </w:rPr>
              <w:t>，投资于债权类资产的</w:t>
            </w:r>
            <w:r>
              <w:rPr>
                <w:rFonts w:hint="eastAsia" w:ascii="黑体" w:hAnsi="黑体" w:eastAsia="黑体"/>
                <w:bCs/>
                <w:sz w:val="18"/>
                <w:szCs w:val="18"/>
              </w:rPr>
              <w:t>比例</w:t>
            </w:r>
            <w:r>
              <w:rPr>
                <w:rFonts w:ascii="黑体" w:hAnsi="黑体" w:eastAsia="黑体"/>
                <w:bCs/>
                <w:sz w:val="18"/>
                <w:szCs w:val="18"/>
              </w:rPr>
              <w:t>不低于80%的产品</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非保本浮动收益</w:t>
            </w:r>
          </w:p>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黑体" w:hAnsi="黑体" w:eastAsia="黑体" w:cs="黑体"/>
                <w:bCs/>
                <w:sz w:val="18"/>
                <w:szCs w:val="18"/>
              </w:rPr>
              <w:t>本产品属于□ R1、■ R2、□ R3、□ R4、□ R5理财产品。</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hint="eastAsia" w:asciiTheme="majorEastAsia" w:hAnsiTheme="majorEastAsia" w:eastAsiaTheme="majorEastAsia"/>
                <w:bCs/>
                <w:color w:val="000000" w:themeColor="text1"/>
                <w:sz w:val="18"/>
                <w:szCs w:val="18"/>
                <w:lang w:eastAsia="zh-CN"/>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r>
              <w:rPr>
                <w:rFonts w:hint="eastAsia" w:asciiTheme="majorEastAsia" w:hAnsiTheme="majorEastAsia" w:eastAsiaTheme="majorEastAsia"/>
                <w:bCs/>
                <w:color w:val="000000" w:themeColor="text1"/>
                <w:sz w:val="18"/>
                <w:szCs w:val="18"/>
                <w:lang w:eastAsia="zh-CN"/>
                <w14:textFill>
                  <w14:solidFill>
                    <w14:schemeClr w14:val="tx1"/>
                  </w14:solidFill>
                </w14:textFill>
              </w:rPr>
              <w:t>（</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适用【B】类份额</w:t>
            </w:r>
            <w:r>
              <w:rPr>
                <w:rFonts w:hint="eastAsia" w:asciiTheme="majorEastAsia" w:hAnsiTheme="majorEastAsia" w:eastAsiaTheme="majorEastAsia"/>
                <w:bCs/>
                <w:color w:val="000000" w:themeColor="text1"/>
                <w:sz w:val="18"/>
                <w:szCs w:val="18"/>
                <w:lang w:eastAsia="zh-CN"/>
                <w14:textFill>
                  <w14:solidFill>
                    <w14:schemeClr w14:val="tx1"/>
                  </w14:solidFill>
                </w14:textFill>
              </w:rPr>
              <w:t>）</w:t>
            </w:r>
          </w:p>
          <w:p>
            <w:pPr>
              <w:keepNext w:val="0"/>
              <w:keepLines w:val="0"/>
              <w:suppressLineNumbers w:val="0"/>
              <w:spacing w:before="0" w:beforeAutospacing="0" w:after="0" w:afterAutospacing="0" w:line="360" w:lineRule="auto"/>
              <w:ind w:left="0" w:right="0"/>
              <w:rPr>
                <w:rFonts w:hint="eastAsia"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黑体" w:hAnsi="黑体" w:eastAsia="黑体" w:cs="黑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中国工商银行股份有限公司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1</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w:t>
            </w:r>
          </w:p>
          <w:p>
            <w:pPr>
              <w:keepNext w:val="0"/>
              <w:keepLines w:val="0"/>
              <w:suppressLineNumbers w:val="0"/>
              <w:spacing w:before="0" w:beforeAutospacing="0" w:after="0" w:afterAutospacing="0" w:line="360" w:lineRule="auto"/>
              <w:ind w:left="0" w:right="0"/>
              <w:rPr>
                <w:rFonts w:hint="default"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ascii="宋体" w:hAnsi="宋体" w:eastAsia="宋体" w:cs="宋体"/>
                <w:kern w:val="2"/>
                <w:sz w:val="18"/>
                <w:szCs w:val="18"/>
                <w:lang w:val="en-US" w:eastAsia="zh-CN" w:bidi="ar"/>
              </w:rPr>
              <w:t>【2026年01月08日】【09:00】至【2026年01月08日】【17:00】</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认购期/募集期内资金产生的利息（如有）不计入本金份额</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ascii="宋体" w:hAnsi="宋体" w:eastAsia="宋体" w:cs="宋体"/>
                <w:kern w:val="2"/>
                <w:sz w:val="18"/>
                <w:szCs w:val="18"/>
                <w:lang w:val="en-US" w:eastAsia="zh-CN" w:bidi="ar"/>
              </w:rPr>
              <w:t>2026年01月09日</w:t>
            </w:r>
            <w:r>
              <w:rPr>
                <w:rFonts w:hint="eastAsia" w:cs="Times New Roman" w:asciiTheme="minorEastAsia" w:hAnsiTheme="minorEastAsia"/>
                <w:sz w:val="18"/>
                <w:szCs w:val="18"/>
              </w:rPr>
              <w:t>】（遇节假日顺延）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inorEastAsia" w:hAnsiTheme="minorEastAsia"/>
                <w:b/>
                <w:bCs/>
                <w:sz w:val="18"/>
                <w:szCs w:val="18"/>
              </w:rPr>
            </w:pPr>
            <w:r>
              <w:rPr>
                <w:rFonts w:hint="eastAsia" w:asciiTheme="minorEastAsia" w:hAnsiTheme="minorEastAsia"/>
                <w:b/>
                <w:bCs/>
                <w:sz w:val="18"/>
                <w:szCs w:val="18"/>
              </w:rPr>
              <w:t>终止日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w:t>
            </w:r>
            <w:r>
              <w:rPr>
                <w:rFonts w:hint="eastAsia" w:asciiTheme="minorEastAsia" w:hAnsiTheme="minorEastAsia"/>
                <w:sz w:val="18"/>
                <w:szCs w:val="18"/>
                <w:lang w:val="en-US" w:eastAsia="zh-CN"/>
              </w:rPr>
              <w:t>自成立日</w:t>
            </w:r>
            <w:r>
              <w:rPr>
                <w:rFonts w:hint="eastAsia" w:asciiTheme="minorEastAsia" w:hAnsiTheme="minorEastAsia"/>
                <w:sz w:val="18"/>
                <w:szCs w:val="18"/>
              </w:rPr>
              <w:t>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inorEastAsia" w:hAnsiTheme="minorEastAsia"/>
                <w:sz w:val="18"/>
                <w:szCs w:val="18"/>
              </w:rPr>
              <w:t>本产品最短持有期为【90】个自然日。</w:t>
            </w:r>
            <w:r>
              <w:rPr>
                <w:rFonts w:hint="eastAsia" w:asciiTheme="majorEastAsia" w:hAnsiTheme="majorEastAsia" w:eastAsiaTheme="majorEastAsia"/>
                <w:bCs/>
                <w:sz w:val="18"/>
                <w:szCs w:val="18"/>
              </w:rPr>
              <w:t>自产品成立日/申购确认日起第</w:t>
            </w:r>
            <w:r>
              <w:rPr>
                <w:rFonts w:hint="eastAsia" w:asciiTheme="minorEastAsia" w:hAnsiTheme="minorEastAsia"/>
                <w:sz w:val="18"/>
                <w:szCs w:val="18"/>
              </w:rPr>
              <w:t>【90】</w:t>
            </w:r>
            <w:r>
              <w:rPr>
                <w:rFonts w:hint="eastAsia" w:asciiTheme="majorEastAsia" w:hAnsiTheme="majorEastAsia" w:eastAsiaTheme="majorEastAsia"/>
                <w:bCs/>
                <w:sz w:val="18"/>
                <w:szCs w:val="18"/>
              </w:rPr>
              <w:t>个自然日内（不含当日）投资者不能赎回该产品份额，自产品成立日/申购确认日起第</w:t>
            </w:r>
            <w:r>
              <w:rPr>
                <w:rFonts w:hint="eastAsia" w:asciiTheme="minorEastAsia" w:hAnsiTheme="minorEastAsia"/>
                <w:sz w:val="18"/>
                <w:szCs w:val="18"/>
              </w:rPr>
              <w:t>【90】</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inorEastAsia" w:hAnsiTheme="minorEastAsia"/>
                <w:sz w:val="18"/>
                <w:szCs w:val="18"/>
                <w:lang w:val="en-US" w:eastAsia="zh-CN"/>
              </w:rPr>
              <w:t>申请</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w:t>
            </w:r>
            <w:r>
              <w:rPr>
                <w:rFonts w:hint="eastAsia" w:asciiTheme="minorEastAsia" w:hAnsiTheme="minorEastAsia" w:eastAsiaTheme="minorEastAsia"/>
                <w:sz w:val="18"/>
                <w:szCs w:val="18"/>
                <w:lang w:eastAsia="zh-CN"/>
              </w:rPr>
              <w:t>【工作日】</w:t>
            </w:r>
            <w:r>
              <w:rPr>
                <w:rFonts w:hint="eastAsia" w:cs="Times New Roman" w:asciiTheme="minorEastAsia" w:hAnsiTheme="minorEastAsia"/>
                <w:sz w:val="18"/>
                <w:szCs w:val="18"/>
              </w:rPr>
              <w:t>【17:00】</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w:t>
            </w:r>
            <w:r>
              <w:rPr>
                <w:rFonts w:hint="eastAsia" w:asciiTheme="minorEastAsia" w:hAnsiTheme="minorEastAsia" w:eastAsiaTheme="minorEastAsia"/>
                <w:sz w:val="18"/>
                <w:szCs w:val="18"/>
                <w:lang w:eastAsia="zh-CN"/>
              </w:rPr>
              <w:t>【工作日】</w:t>
            </w:r>
            <w:r>
              <w:rPr>
                <w:rFonts w:hint="eastAsia" w:cs="Times New Roman" w:asciiTheme="minorEastAsia" w:hAnsiTheme="minorEastAsia"/>
                <w:sz w:val="18"/>
                <w:szCs w:val="18"/>
              </w:rPr>
              <w:t>【17:00】</w:t>
            </w:r>
            <w:r>
              <w:rPr>
                <w:rFonts w:hint="eastAsia" w:asciiTheme="minorEastAsia" w:hAnsiTheme="minorEastAsia" w:eastAsiaTheme="minorEastAsia"/>
                <w:sz w:val="18"/>
                <w:szCs w:val="18"/>
              </w:rPr>
              <w:t>后提交申购申请的，下一个</w:t>
            </w:r>
            <w:r>
              <w:rPr>
                <w:rFonts w:hint="eastAsia" w:asciiTheme="minorEastAsia" w:hAnsiTheme="minorEastAsia" w:eastAsiaTheme="minorEastAsia"/>
                <w:sz w:val="18"/>
                <w:szCs w:val="18"/>
                <w:lang w:eastAsia="zh-CN"/>
              </w:rPr>
              <w:t>【工作日】</w:t>
            </w:r>
            <w:r>
              <w:rPr>
                <w:rFonts w:hint="eastAsia" w:asciiTheme="minorEastAsia" w:hAnsiTheme="minorEastAsia" w:eastAsiaTheme="minorEastAsia"/>
                <w:sz w:val="18"/>
                <w:szCs w:val="18"/>
              </w:rPr>
              <w:t>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w:t>
            </w:r>
            <w:r>
              <w:rPr>
                <w:rFonts w:hint="eastAsia" w:asciiTheme="minorEastAsia" w:hAnsiTheme="minorEastAsia" w:eastAsiaTheme="minorEastAsia"/>
                <w:sz w:val="18"/>
                <w:szCs w:val="18"/>
                <w:lang w:eastAsia="zh-CN"/>
              </w:rPr>
              <w:t>【工作日】</w:t>
            </w:r>
            <w:r>
              <w:rPr>
                <w:rFonts w:hint="eastAsia" w:asciiTheme="minorEastAsia" w:hAnsiTheme="minorEastAsia" w:eastAsiaTheme="minorEastAsia"/>
                <w:sz w:val="18"/>
                <w:szCs w:val="18"/>
              </w:rPr>
              <w:t>提交申购申请的，下一个</w:t>
            </w:r>
            <w:r>
              <w:rPr>
                <w:rFonts w:hint="eastAsia" w:asciiTheme="minorEastAsia" w:hAnsiTheme="minorEastAsia" w:eastAsiaTheme="minorEastAsia"/>
                <w:sz w:val="18"/>
                <w:szCs w:val="18"/>
                <w:lang w:eastAsia="zh-CN"/>
              </w:rPr>
              <w:t>【工作日】</w:t>
            </w:r>
            <w:r>
              <w:rPr>
                <w:rFonts w:hint="eastAsia" w:asciiTheme="minorEastAsia" w:hAnsiTheme="minorEastAsia" w:eastAsiaTheme="minorEastAsia"/>
                <w:sz w:val="18"/>
                <w:szCs w:val="18"/>
              </w:rPr>
              <w:t>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w:t>
            </w:r>
            <w:r>
              <w:rPr>
                <w:rFonts w:hint="eastAsia" w:asciiTheme="minorEastAsia" w:hAnsiTheme="minorEastAsia" w:eastAsiaTheme="minorEastAsia"/>
                <w:sz w:val="18"/>
                <w:szCs w:val="18"/>
                <w:lang w:eastAsia="zh-CN"/>
              </w:rPr>
              <w:t>【工作日】</w:t>
            </w:r>
            <w:r>
              <w:rPr>
                <w:rFonts w:hint="eastAsia" w:cs="Times New Roman" w:asciiTheme="minorEastAsia" w:hAnsiTheme="minorEastAsia" w:eastAsiaTheme="minorEastAsia"/>
                <w:bCs/>
                <w:sz w:val="18"/>
                <w:szCs w:val="18"/>
              </w:rPr>
              <w:t>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w:t>
            </w:r>
            <w:r>
              <w:rPr>
                <w:rFonts w:hint="eastAsia" w:asciiTheme="minorEastAsia" w:hAnsiTheme="minorEastAsia" w:eastAsiaTheme="minorEastAsia"/>
                <w:sz w:val="18"/>
                <w:szCs w:val="18"/>
                <w:lang w:eastAsia="zh-CN"/>
              </w:rPr>
              <w:t>【工作日】</w:t>
            </w:r>
            <w:r>
              <w:rPr>
                <w:rFonts w:hint="eastAsia" w:cs="Times New Roman" w:asciiTheme="minorEastAsia" w:hAnsiTheme="minorEastAsia"/>
                <w:sz w:val="18"/>
                <w:szCs w:val="18"/>
              </w:rPr>
              <w:t>【17:00】</w:t>
            </w:r>
            <w:r>
              <w:rPr>
                <w:rFonts w:hint="eastAsia" w:asciiTheme="minorEastAsia" w:hAnsiTheme="minorEastAsia" w:eastAsiaTheme="minorEastAsia"/>
                <w:sz w:val="18"/>
                <w:szCs w:val="18"/>
              </w:rPr>
              <w:t>前提交赎回申请的，提交当日为赎回日。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w:t>
            </w:r>
            <w:r>
              <w:rPr>
                <w:rFonts w:hint="eastAsia" w:asciiTheme="minorEastAsia" w:hAnsiTheme="minorEastAsia" w:eastAsiaTheme="minorEastAsia"/>
                <w:sz w:val="18"/>
                <w:szCs w:val="18"/>
                <w:lang w:eastAsia="zh-CN"/>
              </w:rPr>
              <w:t>【工作日】</w:t>
            </w:r>
            <w:r>
              <w:rPr>
                <w:rFonts w:hint="eastAsia" w:cs="Times New Roman" w:asciiTheme="minorEastAsia" w:hAnsiTheme="minorEastAsia"/>
                <w:sz w:val="18"/>
                <w:szCs w:val="18"/>
              </w:rPr>
              <w:t>【17:00】</w:t>
            </w:r>
            <w:r>
              <w:rPr>
                <w:rFonts w:hint="eastAsia" w:asciiTheme="minorEastAsia" w:hAnsiTheme="minorEastAsia" w:eastAsiaTheme="minorEastAsia"/>
                <w:sz w:val="18"/>
                <w:szCs w:val="18"/>
              </w:rPr>
              <w:t>后提交赎回申请的，下一个</w:t>
            </w:r>
            <w:r>
              <w:rPr>
                <w:rFonts w:hint="eastAsia" w:asciiTheme="minorEastAsia" w:hAnsiTheme="minorEastAsia" w:eastAsiaTheme="minorEastAsia"/>
                <w:sz w:val="18"/>
                <w:szCs w:val="18"/>
                <w:lang w:eastAsia="zh-CN"/>
              </w:rPr>
              <w:t>【工作日】</w:t>
            </w:r>
            <w:r>
              <w:rPr>
                <w:rFonts w:hint="eastAsia" w:asciiTheme="minorEastAsia" w:hAnsiTheme="minorEastAsia" w:eastAsiaTheme="minorEastAsia"/>
                <w:sz w:val="18"/>
                <w:szCs w:val="18"/>
              </w:rPr>
              <w:t>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w:t>
            </w:r>
            <w:r>
              <w:rPr>
                <w:rFonts w:hint="eastAsia" w:asciiTheme="minorEastAsia" w:hAnsiTheme="minorEastAsia" w:eastAsiaTheme="minorEastAsia"/>
                <w:sz w:val="18"/>
                <w:szCs w:val="18"/>
                <w:lang w:eastAsia="zh-CN"/>
              </w:rPr>
              <w:t>【工作日】</w:t>
            </w:r>
            <w:r>
              <w:rPr>
                <w:rFonts w:hint="eastAsia" w:asciiTheme="minorEastAsia" w:hAnsiTheme="minorEastAsia" w:eastAsiaTheme="minorEastAsia"/>
                <w:sz w:val="18"/>
                <w:szCs w:val="18"/>
              </w:rPr>
              <w:t>提交赎回申请的，下一个</w:t>
            </w:r>
            <w:r>
              <w:rPr>
                <w:rFonts w:hint="eastAsia" w:asciiTheme="minorEastAsia" w:hAnsiTheme="minorEastAsia" w:eastAsiaTheme="minorEastAsia"/>
                <w:sz w:val="18"/>
                <w:szCs w:val="18"/>
                <w:lang w:eastAsia="zh-CN"/>
              </w:rPr>
              <w:t>【工作日】</w:t>
            </w:r>
            <w:r>
              <w:rPr>
                <w:rFonts w:hint="eastAsia" w:asciiTheme="minorEastAsia" w:hAnsiTheme="minorEastAsia" w:eastAsiaTheme="minorEastAsia"/>
                <w:sz w:val="18"/>
                <w:szCs w:val="18"/>
              </w:rPr>
              <w:t>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w:t>
            </w:r>
            <w:r>
              <w:rPr>
                <w:rFonts w:hint="eastAsia" w:asciiTheme="minorEastAsia" w:hAnsiTheme="minorEastAsia" w:eastAsiaTheme="minorEastAsia"/>
                <w:sz w:val="18"/>
                <w:szCs w:val="18"/>
                <w:lang w:eastAsia="zh-CN"/>
              </w:rPr>
              <w:t>【工作日】</w:t>
            </w:r>
            <w:r>
              <w:rPr>
                <w:rFonts w:hint="eastAsia" w:cs="Times New Roman" w:asciiTheme="minorEastAsia" w:hAnsiTheme="minorEastAsia" w:eastAsiaTheme="minorEastAsia"/>
                <w:bCs/>
                <w:sz w:val="18"/>
                <w:szCs w:val="18"/>
              </w:rPr>
              <w:t>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w:t>
            </w:r>
            <w:r>
              <w:rPr>
                <w:rFonts w:hint="eastAsia" w:ascii="黑体" w:hAnsi="黑体" w:eastAsia="黑体" w:cs="黑体"/>
                <w:kern w:val="0"/>
                <w:sz w:val="18"/>
                <w:lang w:val="en-US" w:eastAsia="zh-CN"/>
              </w:rPr>
              <w:t>3</w:t>
            </w:r>
            <w:r>
              <w:rPr>
                <w:rFonts w:hint="eastAsia" w:ascii="黑体" w:hAnsi="黑体" w:eastAsia="黑体" w:cs="黑体"/>
                <w:kern w:val="0"/>
                <w:sz w:val="18"/>
              </w:rPr>
              <w:t>】个</w:t>
            </w:r>
            <w:r>
              <w:rPr>
                <w:rFonts w:hint="eastAsia" w:asciiTheme="minorEastAsia" w:hAnsiTheme="minorEastAsia" w:eastAsiaTheme="minorEastAsia"/>
                <w:sz w:val="18"/>
                <w:szCs w:val="18"/>
                <w:lang w:eastAsia="zh-CN"/>
              </w:rPr>
              <w:t>【工作日】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keepNext w:val="0"/>
              <w:keepLines w:val="0"/>
              <w:suppressLineNumbers w:val="0"/>
              <w:spacing w:before="0" w:beforeAutospacing="0" w:after="0" w:afterAutospacing="0" w:line="360" w:lineRule="auto"/>
              <w:ind w:left="0" w:right="0"/>
              <w:rPr>
                <w:rFonts w:asciiTheme="majorEastAsia" w:hAnsiTheme="majorEastAsia" w:eastAsiaTheme="majorEastAsia"/>
                <w:bCs/>
                <w:sz w:val="18"/>
                <w:szCs w:val="18"/>
              </w:rPr>
            </w:pPr>
            <w:r>
              <w:rPr>
                <w:rFonts w:hint="eastAsia" w:asciiTheme="majorEastAsia" w:hAnsiTheme="majorEastAsia" w:eastAsiaTheme="majorEastAsia"/>
                <w:sz w:val="18"/>
                <w:szCs w:val="18"/>
              </w:rPr>
              <w:t>每笔购买起点金额为【1】元; 超出起点金额的部分以【0.01】元的整数倍递增。（适用【B】类份额)
</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34"/>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4.理财产品份额净值四舍五入保留5位小数。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keepNext w:val="0"/>
              <w:keepLines w:val="0"/>
              <w:suppressLineNumbers w:val="0"/>
              <w:autoSpaceDE w:val="0"/>
              <w:autoSpaceDN w:val="0"/>
              <w:adjustRightInd w:val="0"/>
              <w:spacing w:before="0" w:beforeAutospacing="0" w:after="0" w:afterAutospacing="0" w:line="360" w:lineRule="auto"/>
              <w:ind w:left="0" w:right="0"/>
              <w:jc w:val="left"/>
              <w:rPr>
                <w:rFonts w:hint="eastAsia" w:asciiTheme="majorEastAsia" w:hAnsiTheme="majorEastAsia" w:eastAsiaTheme="majorEastAsia"/>
                <w:bCs/>
                <w:kern w:val="0"/>
                <w:sz w:val="18"/>
                <w:szCs w:val="18"/>
              </w:rPr>
            </w:pPr>
            <w:r>
              <w:rPr>
                <w:rFonts w:ascii="宋体" w:hAnsi="宋体" w:eastAsia="宋体" w:cs="宋体"/>
                <w:sz w:val="18"/>
              </w:rPr>
              <w:t>1.业绩比较基准的设置</w:t>
            </w:r>
            <w:r>
              <w:rPr>
                <w:rFonts w:ascii="宋体" w:hAnsi="宋体" w:eastAsia="宋体" w:cs="宋体"/>
                <w:sz w:val="18"/>
              </w:rPr>
              <w:br w:type="textWrapping"/>
            </w:r>
            <w:r>
              <w:rPr>
                <w:rFonts w:ascii="宋体" w:hAnsi="宋体" w:eastAsia="宋体" w:cs="宋体"/>
                <w:sz w:val="18"/>
              </w:rPr>
              <w:t>■ 产品管理人设置业绩比较基准。</w:t>
            </w:r>
            <w:r>
              <w:rPr>
                <w:rFonts w:ascii="宋体" w:hAnsi="宋体" w:eastAsia="宋体" w:cs="宋体"/>
                <w:sz w:val="18"/>
              </w:rPr>
              <w:br w:type="textWrapping"/>
            </w:r>
            <w:r>
              <w:rPr>
                <w:rFonts w:ascii="宋体" w:hAnsi="宋体" w:eastAsia="宋体" w:cs="宋体"/>
                <w:sz w:val="18"/>
              </w:rPr>
              <w:t>（1）业绩比较基准的说明：【基于当前对未来市场的判断，根据拟投资债权类资产的信用利差、久期敞口以及流动性溢价，预判组合的波动幅度。】。</w:t>
            </w:r>
            <w:r>
              <w:rPr>
                <w:rFonts w:ascii="宋体" w:hAnsi="宋体" w:eastAsia="宋体" w:cs="宋体"/>
                <w:sz w:val="18"/>
              </w:rPr>
              <w:br w:type="textWrapping"/>
            </w:r>
            <w:r>
              <w:rPr>
                <w:rFonts w:ascii="宋体" w:hAnsi="宋体" w:eastAsia="宋体" w:cs="宋体"/>
                <w:sz w:val="18"/>
              </w:rPr>
              <w:t>（2）业绩比较基准的设定：管理人对本产品设定业绩比较基准：年化【1.3%-2.3%】。（适用【B】类份额)</w:t>
            </w:r>
            <w:r>
              <w:rPr>
                <w:rFonts w:ascii="宋体" w:hAnsi="宋体" w:eastAsia="宋体" w:cs="宋体"/>
                <w:sz w:val="18"/>
              </w:rPr>
              <w:br w:type="textWrapping"/>
            </w:r>
            <w:r>
              <w:rPr>
                <w:rFonts w:ascii="宋体" w:hAnsi="宋体" w:eastAsia="宋体" w:cs="宋体"/>
                <w:sz w:val="18"/>
              </w:rPr>
              <w:t>□ 产品管理人不设置业绩比较基准。</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w:t>
            </w:r>
            <w:r>
              <w:rPr>
                <w:rFonts w:hint="eastAsia" w:ascii="黑体" w:hAnsi="黑体" w:eastAsia="黑体" w:cs="黑体"/>
                <w:bCs/>
                <w:sz w:val="18"/>
              </w:rPr>
              <w:t>业绩比较基准</w:t>
            </w:r>
            <w:r>
              <w:rPr>
                <w:rFonts w:hint="eastAsia" w:ascii="黑体" w:hAnsi="黑体" w:eastAsia="黑体" w:cs="黑体"/>
                <w:bCs/>
                <w:sz w:val="18"/>
                <w:szCs w:val="18"/>
              </w:rPr>
              <w:t>不是预期收益率，</w:t>
            </w:r>
            <w:r>
              <w:rPr>
                <w:rFonts w:hint="eastAsia" w:ascii="黑体" w:hAnsi="黑体" w:eastAsia="黑体" w:cs="黑体"/>
                <w:bCs/>
                <w:sz w:val="18"/>
              </w:rPr>
              <w:t>不代表产品</w:t>
            </w:r>
            <w:r>
              <w:rPr>
                <w:rFonts w:hint="eastAsia" w:ascii="黑体" w:hAnsi="黑体" w:eastAsia="黑体" w:cs="黑体"/>
                <w:bCs/>
                <w:sz w:val="18"/>
                <w:szCs w:val="18"/>
              </w:rPr>
              <w:t>的</w:t>
            </w:r>
            <w:r>
              <w:rPr>
                <w:rFonts w:hint="eastAsia" w:ascii="黑体" w:hAnsi="黑体" w:eastAsia="黑体" w:cs="黑体"/>
                <w:bCs/>
                <w:sz w:val="18"/>
              </w:rPr>
              <w:t>未来表现</w:t>
            </w:r>
            <w:r>
              <w:rPr>
                <w:rFonts w:hint="eastAsia" w:ascii="黑体" w:hAnsi="黑体" w:eastAsia="黑体" w:cs="黑体"/>
                <w:bCs/>
                <w:sz w:val="18"/>
                <w:szCs w:val="18"/>
              </w:rPr>
              <w:t>和</w:t>
            </w:r>
            <w:r>
              <w:rPr>
                <w:rFonts w:hint="eastAsia" w:ascii="黑体" w:hAnsi="黑体" w:eastAsia="黑体" w:cs="黑体"/>
                <w:bCs/>
                <w:sz w:val="18"/>
              </w:rPr>
              <w:t>实际收益，不</w:t>
            </w:r>
            <w:r>
              <w:rPr>
                <w:rFonts w:hint="eastAsia" w:ascii="黑体" w:hAnsi="黑体" w:eastAsia="黑体" w:cs="黑体"/>
                <w:bCs/>
                <w:sz w:val="18"/>
                <w:szCs w:val="18"/>
              </w:rPr>
              <w:t>构成对</w:t>
            </w:r>
            <w:r>
              <w:rPr>
                <w:rFonts w:hint="eastAsia" w:ascii="黑体" w:hAnsi="黑体" w:eastAsia="黑体" w:cs="黑体"/>
                <w:bCs/>
                <w:sz w:val="18"/>
              </w:rPr>
              <w:t>产品收益的</w:t>
            </w:r>
            <w:r>
              <w:rPr>
                <w:rFonts w:hint="eastAsia" w:ascii="黑体" w:hAnsi="黑体" w:eastAsia="黑体" w:cs="黑体"/>
                <w:bCs/>
                <w:sz w:val="18"/>
                <w:szCs w:val="18"/>
              </w:rPr>
              <w:t>承诺</w:t>
            </w:r>
            <w:r>
              <w:rPr>
                <w:rFonts w:hint="eastAsia" w:ascii="黑体" w:hAnsi="黑体" w:eastAsia="黑体" w:cs="黑体"/>
                <w:bCs/>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kern w:val="0"/>
                <w:sz w:val="18"/>
                <w:szCs w:val="18"/>
              </w:rPr>
              <w:t>如果今后法律法规发生变化，或者有其他代表性更强、更科学客观的业绩比较基准适用于本产品时，经产品管理人和产品托管人协商一致后，本产品可以变更业绩比较基准并按照本产品说明书“理财产品的信息披露”条款约定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keepNext w:val="0"/>
              <w:keepLines w:val="0"/>
              <w:widowControl w:val="0"/>
              <w:suppressLineNumbers w:val="0"/>
              <w:spacing w:before="0" w:beforeAutospacing="0" w:after="0" w:afterAutospacing="0" w:line="360" w:lineRule="auto"/>
              <w:ind w:left="0" w:right="0"/>
              <w:jc w:val="left"/>
              <w:rPr>
                <w:rFonts w:hint="eastAsia" w:ascii="Calibri" w:hAnsi="宋体" w:eastAsia="宋体" w:cs="宋体"/>
                <w:bCs/>
                <w:kern w:val="2"/>
                <w:sz w:val="18"/>
                <w:szCs w:val="18"/>
              </w:rPr>
            </w:pPr>
            <w:r>
              <w:rPr>
                <w:rFonts w:ascii="宋体" w:hAnsi="宋体" w:eastAsia="宋体" w:cs="宋体"/>
                <w:sz w:val="18"/>
              </w:rPr>
              <w:t>1.业绩报酬计提基准的设置</w:t>
            </w:r>
            <w:r>
              <w:rPr>
                <w:rFonts w:ascii="宋体" w:hAnsi="宋体" w:eastAsia="宋体" w:cs="宋体"/>
                <w:sz w:val="18"/>
              </w:rPr>
              <w:br w:type="textWrapping"/>
            </w:r>
            <w:r>
              <w:rPr>
                <w:rFonts w:ascii="宋体" w:hAnsi="宋体" w:eastAsia="宋体" w:cs="宋体"/>
                <w:sz w:val="18"/>
              </w:rPr>
              <w:t>□ 产品管理人设置业绩报酬计提基准。</w:t>
            </w:r>
            <w:r>
              <w:rPr>
                <w:rFonts w:ascii="宋体" w:hAnsi="宋体" w:eastAsia="宋体" w:cs="宋体"/>
                <w:sz w:val="18"/>
              </w:rPr>
              <w:br w:type="textWrapping"/>
            </w:r>
            <w:r>
              <w:rPr>
                <w:rFonts w:ascii="宋体" w:hAnsi="宋体" w:eastAsia="宋体" w:cs="宋体"/>
                <w:sz w:val="18"/>
              </w:rPr>
              <w:t>业绩报酬计提基准的设定：管理人对本产品设定业绩报酬计提基准：【</w:t>
            </w:r>
            <w:r>
              <w:rPr>
                <w:rFonts w:hint="eastAsia" w:ascii="宋体" w:hAnsi="宋体" w:cs="宋体"/>
                <w:sz w:val="18"/>
                <w:lang w:val="en-US" w:eastAsia="zh-CN"/>
              </w:rPr>
              <w:t>/</w:t>
            </w:r>
            <w:r>
              <w:rPr>
                <w:rFonts w:ascii="宋体" w:hAnsi="宋体" w:eastAsia="宋体" w:cs="宋体"/>
                <w:sz w:val="18"/>
              </w:rPr>
              <w:t>】。（适用【B】类份额)</w:t>
            </w:r>
            <w:r>
              <w:rPr>
                <w:rFonts w:ascii="宋体" w:hAnsi="宋体" w:eastAsia="宋体" w:cs="宋体"/>
                <w:sz w:val="18"/>
              </w:rPr>
              <w:br w:type="textWrapping"/>
            </w:r>
            <w:r>
              <w:rPr>
                <w:rFonts w:ascii="宋体" w:hAnsi="宋体" w:eastAsia="宋体" w:cs="宋体"/>
                <w:sz w:val="18"/>
              </w:rPr>
              <w:t>■ 产品管理人不设置业绩报酬计提基准。</w:t>
            </w:r>
          </w:p>
          <w:p>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pPr>
              <w:autoSpaceDE w:val="0"/>
              <w:autoSpaceDN w:val="0"/>
              <w:adjustRightInd w:val="0"/>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按照本产品说明书“理财产品的信息披露”条款约定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keepNext w:val="0"/>
              <w:keepLines w:val="0"/>
              <w:suppressLineNumbers w:val="0"/>
              <w:spacing w:before="0" w:beforeAutospacing="0" w:after="0" w:afterAutospacing="0" w:line="360" w:lineRule="auto"/>
              <w:ind w:left="0" w:right="0"/>
              <w:rPr>
                <w:rFonts w:hint="eastAsia" w:ascii="黑体" w:hAnsi="黑体" w:eastAsia="黑体" w:cs="黑体"/>
                <w:bCs/>
                <w:sz w:val="18"/>
                <w:szCs w:val="18"/>
              </w:rPr>
            </w:pPr>
            <w:r>
              <w:rPr>
                <w:rFonts w:ascii="黑体" w:hAnsi="黑体" w:eastAsia="黑体" w:cs="黑体"/>
                <w:sz w:val="18"/>
              </w:rPr>
              <w:t>1.理财产品的费率标准</w:t>
            </w:r>
            <w:r>
              <w:rPr>
                <w:rFonts w:ascii="黑体" w:hAnsi="黑体" w:eastAsia="黑体" w:cs="黑体"/>
                <w:sz w:val="18"/>
              </w:rPr>
              <w:br w:type="textWrapping"/>
            </w:r>
            <w:r>
              <w:rPr>
                <w:rFonts w:ascii="黑体" w:hAnsi="黑体" w:eastAsia="黑体" w:cs="黑体"/>
                <w:sz w:val="18"/>
              </w:rPr>
              <w:t>（1）认购费：【/】。（适用【B】类份额）</w:t>
            </w:r>
            <w:r>
              <w:rPr>
                <w:rFonts w:ascii="黑体" w:hAnsi="黑体" w:eastAsia="黑体" w:cs="黑体"/>
                <w:sz w:val="18"/>
              </w:rPr>
              <w:br w:type="textWrapping"/>
            </w:r>
            <w:r>
              <w:rPr>
                <w:rFonts w:ascii="黑体" w:hAnsi="黑体" w:eastAsia="黑体" w:cs="黑体"/>
                <w:sz w:val="18"/>
              </w:rPr>
              <w:t>（2）申购费：【/】。（适用【B】类份额）</w:t>
            </w:r>
            <w:r>
              <w:rPr>
                <w:rFonts w:ascii="黑体" w:hAnsi="黑体" w:eastAsia="黑体" w:cs="黑体"/>
                <w:sz w:val="18"/>
              </w:rPr>
              <w:br w:type="textWrapping"/>
            </w:r>
            <w:r>
              <w:rPr>
                <w:rFonts w:ascii="黑体" w:hAnsi="黑体" w:eastAsia="黑体" w:cs="黑体"/>
                <w:sz w:val="18"/>
              </w:rPr>
              <w:t>（3）赎回费：【/】。（适用【B】类份额）</w:t>
            </w:r>
            <w:r>
              <w:rPr>
                <w:rFonts w:ascii="黑体" w:hAnsi="黑体" w:eastAsia="黑体" w:cs="黑体"/>
                <w:sz w:val="18"/>
              </w:rPr>
              <w:br w:type="textWrapping"/>
            </w:r>
            <w:r>
              <w:rPr>
                <w:rFonts w:ascii="黑体" w:hAnsi="黑体" w:eastAsia="黑体" w:cs="黑体"/>
                <w:sz w:val="18"/>
              </w:rPr>
              <w:t>（4）销售服务费：年化费率【0.4%】。（适用【B】类份额）</w:t>
            </w:r>
            <w:r>
              <w:rPr>
                <w:rFonts w:ascii="黑体" w:hAnsi="黑体" w:eastAsia="黑体" w:cs="黑体"/>
                <w:sz w:val="18"/>
              </w:rPr>
              <w:br w:type="textWrapping"/>
            </w:r>
            <w:r>
              <w:rPr>
                <w:rFonts w:ascii="黑体" w:hAnsi="黑体" w:eastAsia="黑体" w:cs="黑体"/>
                <w:sz w:val="18"/>
              </w:rPr>
              <w:t>（5）投资管理费：年化费率【0.3%】</w:t>
            </w:r>
            <w:r>
              <w:rPr>
                <w:rFonts w:ascii="黑体" w:hAnsi="黑体" w:eastAsia="黑体" w:cs="黑体"/>
                <w:sz w:val="18"/>
              </w:rPr>
              <w:br w:type="textWrapping"/>
            </w:r>
            <w:r>
              <w:rPr>
                <w:rFonts w:ascii="黑体" w:hAnsi="黑体" w:eastAsia="黑体" w:cs="黑体"/>
                <w:sz w:val="18"/>
              </w:rPr>
              <w:t>（6）产品托管费：年化费率【0.03%】</w:t>
            </w:r>
            <w:r>
              <w:rPr>
                <w:rFonts w:ascii="黑体" w:hAnsi="黑体" w:eastAsia="黑体" w:cs="黑体"/>
                <w:sz w:val="18"/>
              </w:rPr>
              <w:br w:type="textWrapping"/>
            </w:r>
            <w:r>
              <w:rPr>
                <w:rFonts w:ascii="黑体" w:hAnsi="黑体" w:eastAsia="黑体" w:cs="黑体"/>
                <w:sz w:val="18"/>
              </w:rPr>
              <w:t>（7）超额业绩报酬：</w:t>
            </w:r>
            <w:r>
              <w:rPr>
                <w:rFonts w:ascii="黑体" w:hAnsi="黑体" w:eastAsia="黑体" w:cs="黑体"/>
                <w:sz w:val="18"/>
              </w:rPr>
              <w:br w:type="textWrapping"/>
            </w:r>
            <w:r>
              <w:rPr>
                <w:rFonts w:ascii="黑体" w:hAnsi="黑体" w:eastAsia="黑体" w:cs="黑体"/>
                <w:sz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作为超额业绩报酬。</w:t>
            </w:r>
          </w:p>
          <w:p>
            <w:pPr>
              <w:spacing w:line="360" w:lineRule="auto"/>
              <w:rPr>
                <w:rFonts w:hint="eastAsia" w:ascii="黑体" w:hAnsi="黑体" w:eastAsia="黑体" w:cs="黑体"/>
                <w:bCs/>
                <w:sz w:val="18"/>
                <w:szCs w:val="18"/>
              </w:rPr>
            </w:pPr>
            <w:r>
              <w:rPr>
                <w:rFonts w:hint="eastAsia" w:ascii="黑体" w:hAnsi="黑体" w:eastAsia="黑体" w:cs="黑体"/>
                <w:bCs/>
                <w:sz w:val="18"/>
                <w:szCs w:val="18"/>
              </w:rPr>
              <w:t>2.以上费用金额均按照四舍五入方法，保留到小数点后2位。</w:t>
            </w:r>
          </w:p>
          <w:p>
            <w:pPr>
              <w:spacing w:line="360" w:lineRule="auto"/>
              <w:rPr>
                <w:rFonts w:ascii="黑体" w:hAnsi="黑体" w:eastAsia="黑体"/>
                <w:bCs/>
                <w:sz w:val="18"/>
                <w:szCs w:val="18"/>
              </w:rPr>
            </w:pPr>
            <w:r>
              <w:rPr>
                <w:rFonts w:hint="eastAsia" w:ascii="黑体" w:hAnsi="黑体" w:eastAsia="黑体" w:cs="黑体"/>
                <w:bCs/>
                <w:sz w:val="18"/>
                <w:szCs w:val="18"/>
              </w:rPr>
              <w:t>3.产品管理人有权根据相关法律和国家政策规定，对理财产品费用的收费项目、收费条件、收费标准和收费方式等进行调整。产品管理人对费用的调整将依本产品说明书的“理财产品的信息披露”条款约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10" w:name="_Toc21959"/>
      <w:bookmarkStart w:id="11" w:name="_Toc4403"/>
      <w:bookmarkStart w:id="12" w:name="_Toc92377132"/>
      <w:bookmarkStart w:id="13" w:name="_Toc10659"/>
      <w:bookmarkStart w:id="14" w:name="_Toc79154666"/>
      <w:r>
        <w:rPr>
          <w:rFonts w:ascii="Times New Roman"/>
          <w:sz w:val="30"/>
        </w:rPr>
        <w:t>第</w:t>
      </w:r>
      <w:r>
        <w:rPr>
          <w:rFonts w:hint="eastAsia" w:ascii="Times New Roman"/>
          <w:sz w:val="30"/>
        </w:rPr>
        <w:t>三条</w:t>
      </w:r>
      <w:r>
        <w:rPr>
          <w:rFonts w:ascii="Times New Roman"/>
          <w:sz w:val="30"/>
        </w:rPr>
        <w:t xml:space="preserve">  </w:t>
      </w:r>
      <w:bookmarkStart w:id="15" w:name="_Toc79392573"/>
      <w:r>
        <w:rPr>
          <w:rFonts w:hint="eastAsia" w:ascii="Times New Roman"/>
          <w:sz w:val="30"/>
        </w:rPr>
        <w:t>理财产品的认购</w:t>
      </w:r>
      <w:bookmarkEnd w:id="10"/>
      <w:bookmarkEnd w:id="11"/>
      <w:bookmarkEnd w:id="12"/>
      <w:bookmarkEnd w:id="13"/>
      <w:bookmarkEnd w:id="14"/>
    </w:p>
    <w:p>
      <w:pPr>
        <w:spacing w:line="360" w:lineRule="auto"/>
        <w:ind w:firstLine="361" w:firstLineChars="200"/>
        <w:rPr>
          <w:rFonts w:asciiTheme="minorEastAsia" w:hAnsiTheme="minorEastAsia"/>
          <w:b/>
          <w:bCs/>
          <w:sz w:val="18"/>
          <w:szCs w:val="18"/>
        </w:rPr>
      </w:pPr>
      <w:bookmarkStart w:id="16" w:name="_Hlt88031774"/>
      <w:bookmarkEnd w:id="16"/>
      <w:bookmarkStart w:id="17"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申请并不代表认购成功，产品管理人将在认购确认日确认投资者是否认购成功，是否成功以管理人的确认结果为准</w:t>
      </w:r>
      <w:r>
        <w:rPr>
          <w:rFonts w:hint="eastAsia" w:asciiTheme="minorEastAsia" w:hAnsiTheme="minorEastAsia" w:eastAsiaTheme="minorEastAsia"/>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认购期/募集期内资金产生的利息（如有），不计入本金份额。</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18" w:name="_Toc79154667"/>
      <w:bookmarkStart w:id="19" w:name="_Toc92377133"/>
      <w:bookmarkStart w:id="20" w:name="_Toc32177"/>
      <w:bookmarkStart w:id="21" w:name="_Toc29856"/>
      <w:bookmarkStart w:id="22" w:name="_Toc6529"/>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8"/>
      <w:bookmarkEnd w:id="19"/>
      <w:bookmarkEnd w:id="20"/>
      <w:bookmarkEnd w:id="21"/>
      <w:bookmarkEnd w:id="22"/>
    </w:p>
    <w:bookmarkEnd w:id="17"/>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15"/>
    <w:p>
      <w:pPr>
        <w:pStyle w:val="2"/>
        <w:spacing w:before="0" w:after="0" w:line="360" w:lineRule="auto"/>
        <w:jc w:val="center"/>
        <w:rPr>
          <w:rFonts w:ascii="Times New Roman"/>
          <w:sz w:val="30"/>
        </w:rPr>
      </w:pPr>
      <w:bookmarkStart w:id="23" w:name="_Toc7151"/>
      <w:bookmarkStart w:id="24" w:name="_Toc90742688"/>
      <w:bookmarkStart w:id="25" w:name="_Toc90742321"/>
      <w:bookmarkStart w:id="26" w:name="_Toc15203"/>
      <w:bookmarkStart w:id="27" w:name="_Toc22074"/>
      <w:bookmarkStart w:id="28" w:name="_Toc74065741"/>
      <w:bookmarkStart w:id="29" w:name="_Toc12517"/>
      <w:bookmarkStart w:id="30" w:name="_Toc92377134"/>
      <w:bookmarkStart w:id="31" w:name="_Toc23413"/>
      <w:bookmarkStart w:id="32" w:name="_Toc3266"/>
      <w:bookmarkStart w:id="33" w:name="_Toc27189"/>
      <w:bookmarkStart w:id="34" w:name="_Toc27226"/>
      <w:bookmarkStart w:id="35" w:name="_Toc79154668"/>
      <w:bookmarkStart w:id="36" w:name="_Toc6714"/>
      <w:bookmarkStart w:id="37" w:name="_Toc25685"/>
      <w:bookmarkStart w:id="38" w:name="_Toc29948"/>
      <w:bookmarkStart w:id="39" w:name="_Toc29784"/>
      <w:bookmarkStart w:id="40" w:name="_Toc16265"/>
      <w:bookmarkStart w:id="41" w:name="_Toc90742390"/>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4" w:edGrp="everyone"/>
      <w:r>
        <w:rPr>
          <w:rFonts w:hint="eastAsia" w:asciiTheme="majorEastAsia" w:hAnsiTheme="majorEastAsia" w:eastAsiaTheme="majorEastAsia"/>
          <w:bCs/>
          <w:color w:val="auto"/>
          <w:sz w:val="18"/>
          <w:szCs w:val="18"/>
        </w:rPr>
        <w:t>【在严格控制组合风险的前提下，通过不断优化组合，力争实现超越业绩比较基准的收益。】</w:t>
      </w:r>
    </w:p>
    <w:permEnd w:id="14"/>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ascii="宋体" w:hAnsi="宋体" w:eastAsia="宋体" w:cs="宋体"/>
          <w:sz w:val="18"/>
        </w:rPr>
      </w:pPr>
      <w:permStart w:id="15" w:edGrp="everyone"/>
      <w:r>
        <w:rPr>
          <w:rFonts w:ascii="宋体" w:hAnsi="宋体" w:eastAsia="宋体" w:cs="宋体"/>
          <w:sz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宋体" w:hAnsi="宋体" w:eastAsia="宋体" w:cs="宋体"/>
          <w:sz w:val="18"/>
        </w:rPr>
      </w:pPr>
      <w:r>
        <w:rPr>
          <w:rFonts w:ascii="宋体" w:hAnsi="宋体" w:eastAsia="宋体" w:cs="宋体"/>
          <w:sz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宋体" w:hAnsi="宋体" w:eastAsia="宋体" w:cs="宋体"/>
          <w:sz w:val="18"/>
        </w:rPr>
      </w:pPr>
      <w:r>
        <w:rPr>
          <w:rFonts w:ascii="宋体" w:hAnsi="宋体" w:eastAsia="宋体" w:cs="宋体"/>
          <w:sz w:val="18"/>
        </w:rPr>
        <w:t>（3）国债期货、利率互换、债券借贷。</w:t>
      </w:r>
    </w:p>
    <w:p>
      <w:pPr>
        <w:autoSpaceDE w:val="0"/>
        <w:autoSpaceDN w:val="0"/>
        <w:adjustRightInd w:val="0"/>
        <w:spacing w:line="360" w:lineRule="auto"/>
        <w:ind w:firstLine="360" w:firstLineChars="200"/>
        <w:jc w:val="left"/>
        <w:rPr>
          <w:rFonts w:ascii="宋体" w:hAnsi="宋体" w:eastAsia="宋体" w:cs="宋体"/>
          <w:sz w:val="18"/>
        </w:rPr>
      </w:pPr>
      <w:r>
        <w:rPr>
          <w:rFonts w:ascii="宋体" w:hAnsi="宋体" w:eastAsia="宋体" w:cs="宋体"/>
          <w:sz w:val="18"/>
        </w:rPr>
        <w:t>（4）投资于上述资产的符合监管要求的公募基金、基金公司或子公司资产管理计划、证券公司资产管理计划、保险资产管理计划及信托计划等。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ascii="宋体" w:hAnsi="宋体" w:eastAsia="宋体" w:cs="宋体"/>
          <w:sz w:val="18"/>
        </w:rPr>
        <w:t>（5）其他风险不高于前述资产的资产。</w:t>
      </w:r>
    </w:p>
    <w:permEnd w:id="15"/>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keepNext w:val="0"/>
        <w:keepLines w:val="0"/>
        <w:widowControl w:val="0"/>
        <w:suppressLineNumbers w:val="0"/>
        <w:autoSpaceDE w:val="0"/>
        <w:autoSpaceDN w:val="0"/>
        <w:adjustRightInd w:val="0"/>
        <w:spacing w:before="0" w:beforeAutospacing="0" w:after="0" w:afterAutospacing="0" w:line="360" w:lineRule="auto"/>
        <w:ind w:left="0" w:right="0" w:firstLine="360" w:firstLineChars="200"/>
        <w:jc w:val="left"/>
        <w:rPr>
          <w:rFonts w:hint="eastAsia" w:asciiTheme="majorEastAsia" w:hAnsiTheme="majorEastAsia" w:eastAsiaTheme="majorEastAsia"/>
          <w:bCs/>
          <w:kern w:val="0"/>
          <w:sz w:val="18"/>
          <w:szCs w:val="18"/>
        </w:rPr>
      </w:pPr>
      <w:permStart w:id="16" w:edGrp="everyone"/>
      <w:r>
        <w:rPr>
          <w:rFonts w:hint="eastAsia" w:ascii="宋体" w:hAnsi="宋体" w:eastAsia="宋体" w:cs="宋体"/>
          <w:bCs/>
          <w:kern w:val="0"/>
          <w:sz w:val="18"/>
          <w:szCs w:val="18"/>
          <w:lang w:val="en-US" w:eastAsia="zh-CN" w:bidi="ar"/>
        </w:rPr>
        <w:t>【（1）本产品投资于债权类资产的比例不低于产品总资产的80%。 】</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非因管理人主观因素导致突破前款规定比例限制的，产品管理人在流动性受限资产可出售、可转让或者恢复交易的15个交易日内调整至符合要求，监管机构规定的特殊情形除外。</w:t>
      </w:r>
    </w:p>
    <w:permEnd w:id="16"/>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spacing w:line="360" w:lineRule="auto"/>
        <w:ind w:firstLine="360" w:firstLineChars="200"/>
        <w:rPr>
          <w:rFonts w:asciiTheme="majorEastAsia" w:hAnsiTheme="majorEastAsia" w:eastAsiaTheme="majorEastAsia"/>
          <w:bCs/>
          <w:kern w:val="0"/>
          <w:sz w:val="18"/>
          <w:szCs w:val="18"/>
        </w:rPr>
      </w:pPr>
      <w:permStart w:id="18" w:edGrp="everyone"/>
      <w:r>
        <w:rPr>
          <w:rFonts w:hint="eastAsia" w:asciiTheme="majorEastAsia" w:hAnsiTheme="majorEastAsia" w:eastAsiaTheme="majorEastAsia"/>
          <w:bCs/>
          <w:kern w:val="0"/>
          <w:sz w:val="18"/>
          <w:szCs w:val="18"/>
        </w:rPr>
        <w:t>（1）每只公募理财产品投资单只证券或者单只公募证券投资基金的市值不得超过该理财产品净资产的10%。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（4）全部开放式公募理财产品投资单一上市公司发行的股票不得超过该上市公司可流通股票的15%。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监管部门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（8）本产品因为流动性需要可开展存单质押、债券正回购等融资业务，本产品总资产不超过净资产的140%。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permStart w:id="19" w:edGrp="everyone"/>
      <w:r>
        <w:rPr>
          <w:rFonts w:ascii="宋体" w:hAnsi="宋体" w:eastAsia="宋体" w:cs="宋体"/>
          <w:sz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ermEnd w:id="19"/>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42" w:name="_Toc26986"/>
      <w:bookmarkStart w:id="43" w:name="_Toc139991735"/>
      <w:bookmarkStart w:id="44" w:name="_Toc27967"/>
      <w:bookmarkStart w:id="45" w:name="_Toc141703885"/>
      <w:bookmarkStart w:id="46" w:name="_Toc31087"/>
      <w:bookmarkStart w:id="47" w:name="_Toc74065742"/>
      <w:bookmarkStart w:id="48" w:name="_Toc18526"/>
      <w:bookmarkStart w:id="49" w:name="_Toc21988"/>
      <w:bookmarkStart w:id="50" w:name="_Toc4741"/>
      <w:bookmarkStart w:id="51" w:name="_Toc5702"/>
      <w:bookmarkStart w:id="52" w:name="_Toc1823"/>
      <w:bookmarkStart w:id="53" w:name="_Toc92377135"/>
      <w:bookmarkStart w:id="54" w:name="_Toc17912"/>
      <w:bookmarkStart w:id="55" w:name="_Toc18329"/>
      <w:bookmarkStart w:id="56" w:name="_Toc7848"/>
      <w:bookmarkStart w:id="57" w:name="_Toc79154669"/>
      <w:bookmarkStart w:id="58" w:name="_Toc18797"/>
      <w:bookmarkStart w:id="59" w:name="_Toc14893"/>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pPr>
        <w:pStyle w:val="34"/>
        <w:spacing w:line="360" w:lineRule="auto"/>
        <w:ind w:firstLine="361" w:firstLineChars="200"/>
        <w:rPr>
          <w:rFonts w:asciiTheme="majorEastAsia" w:hAnsiTheme="majorEastAsia" w:eastAsiaTheme="majorEastAsia"/>
          <w:b/>
          <w:color w:val="auto"/>
          <w:sz w:val="18"/>
          <w:szCs w:val="18"/>
        </w:rPr>
      </w:pPr>
      <w:bookmarkStart w:id="60"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60"/>
    <w:p>
      <w:pPr>
        <w:pStyle w:val="2"/>
        <w:spacing w:before="0" w:after="0" w:line="360" w:lineRule="auto"/>
        <w:jc w:val="center"/>
        <w:rPr>
          <w:rFonts w:ascii="Times New Roman"/>
          <w:sz w:val="28"/>
          <w:szCs w:val="28"/>
        </w:rPr>
      </w:pPr>
      <w:bookmarkStart w:id="61" w:name="_Toc13903"/>
      <w:bookmarkStart w:id="62" w:name="_Toc19132"/>
      <w:bookmarkStart w:id="63" w:name="_Toc92377136"/>
      <w:bookmarkStart w:id="64" w:name="_Toc11152"/>
      <w:bookmarkStart w:id="65" w:name="_Toc83391971"/>
      <w:bookmarkStart w:id="66" w:name="_Toc79392606"/>
      <w:bookmarkStart w:id="67" w:name="_Toc23822"/>
      <w:bookmarkStart w:id="68" w:name="_Toc123051452"/>
      <w:bookmarkStart w:id="69" w:name="_Toc123102453"/>
      <w:bookmarkStart w:id="70" w:name="_Toc1427"/>
      <w:bookmarkStart w:id="71" w:name="_Toc1270"/>
      <w:bookmarkStart w:id="72" w:name="_Toc7920"/>
      <w:bookmarkStart w:id="73" w:name="_Toc23261"/>
      <w:bookmarkStart w:id="74" w:name="_Toc17244"/>
      <w:bookmarkStart w:id="75" w:name="_Toc20733"/>
      <w:bookmarkStart w:id="76" w:name="_Toc123112234"/>
      <w:bookmarkStart w:id="77" w:name="_Toc48649707"/>
      <w:bookmarkStart w:id="78" w:name="_Toc610"/>
      <w:bookmarkStart w:id="79" w:name="_Toc141703886"/>
      <w:bookmarkStart w:id="80" w:name="_Toc79154670"/>
      <w:bookmarkStart w:id="81" w:name="_Toc4003"/>
      <w:bookmarkStart w:id="82" w:name="_Toc10463"/>
      <w:bookmarkStart w:id="83" w:name="_Toc74065743"/>
      <w:bookmarkStart w:id="84" w:name="_Toc139991736"/>
      <w:bookmarkStart w:id="85" w:name="_Toc98560352"/>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61"/>
      <w:bookmarkEnd w:id="62"/>
      <w:bookmarkEnd w:id="63"/>
      <w:bookmarkEnd w:id="64"/>
      <w:bookmarkEnd w:id="65"/>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permStart w:id="20" w:edGrp="everyone"/>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，每个开放日进行一次估值</w:t>
      </w:r>
      <w:r>
        <w:rPr>
          <w:rFonts w:hint="eastAsia" w:asciiTheme="minorEastAsia" w:hAnsiTheme="minorEastAsia" w:eastAsiaTheme="minorEastAsia"/>
          <w:color w:val="2E3033"/>
          <w:sz w:val="18"/>
          <w:szCs w:val="18"/>
        </w:rPr>
        <w:t>。</w:t>
      </w:r>
    </w:p>
    <w:permEnd w:id="20"/>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w:t>
      </w:r>
      <w:r>
        <w:rPr>
          <w:rFonts w:hint="eastAsia" w:asciiTheme="minorEastAsia" w:hAnsiTheme="minorEastAsia" w:eastAsiaTheme="minorEastAsia"/>
          <w:bCs/>
          <w:color w:val="auto"/>
          <w:sz w:val="18"/>
          <w:szCs w:val="18"/>
        </w:rPr>
        <w:t>标准化债权类资产估值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标准化债权类</w:t>
      </w:r>
      <w:r>
        <w:rPr>
          <w:rFonts w:asciiTheme="majorEastAsia" w:hAnsiTheme="majorEastAsia" w:eastAsiaTheme="majorEastAsia"/>
          <w:bCs/>
          <w:color w:val="auto"/>
          <w:sz w:val="18"/>
          <w:szCs w:val="18"/>
        </w:rPr>
        <w:t>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34"/>
        <w:spacing w:line="360" w:lineRule="auto"/>
        <w:ind w:firstLine="360" w:firstLineChars="200"/>
        <w:rPr>
          <w:rFonts w:hAnsi="宋体"/>
          <w:sz w:val="18"/>
          <w:szCs w:val="18"/>
        </w:rPr>
      </w:pPr>
      <w:r>
        <w:rPr>
          <w:rFonts w:hint="eastAsia" w:hAnsi="宋体"/>
          <w:sz w:val="18"/>
          <w:szCs w:val="18"/>
        </w:rPr>
        <w:t>（2）对已发行但未上市流通，且第三方估值机构未提供估值数据的标准化债权类资产，</w:t>
      </w:r>
      <w:r>
        <w:rPr>
          <w:rFonts w:hint="eastAsia" w:asciiTheme="majorEastAsia" w:hAnsiTheme="majorEastAsia" w:eastAsiaTheme="majorEastAsia"/>
          <w:bCs/>
          <w:color w:val="auto"/>
          <w:sz w:val="18"/>
          <w:szCs w:val="18"/>
        </w:rPr>
        <w:t>采用当前情况下适用并且有足够可利用数据和其他信息支持的估值技术确定其公允价值。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对于</w:t>
      </w:r>
      <w:r>
        <w:rPr>
          <w:rFonts w:asciiTheme="majorEastAsia" w:hAnsiTheme="majorEastAsia" w:eastAsiaTheme="majorEastAsia"/>
          <w:bCs/>
          <w:color w:val="auto"/>
          <w:sz w:val="18"/>
          <w:szCs w:val="18"/>
        </w:rPr>
        <w:t>同时在多个不同市场交易的标准化债权类资产，</w:t>
      </w:r>
      <w:r>
        <w:rPr>
          <w:rFonts w:hint="eastAsia" w:asciiTheme="majorEastAsia" w:hAnsiTheme="majorEastAsia" w:eastAsiaTheme="majorEastAsia"/>
          <w:bCs/>
          <w:color w:val="auto"/>
          <w:sz w:val="18"/>
          <w:szCs w:val="18"/>
        </w:rPr>
        <w:t>按照其</w:t>
      </w:r>
      <w:r>
        <w:rPr>
          <w:rFonts w:asciiTheme="majorEastAsia" w:hAnsiTheme="majorEastAsia" w:eastAsiaTheme="majorEastAsia"/>
          <w:bCs/>
          <w:color w:val="auto"/>
          <w:sz w:val="18"/>
          <w:szCs w:val="18"/>
        </w:rPr>
        <w:t>所处的市场及相应的估值标准，分别进行估值。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bCs/>
          <w:color w:val="auto"/>
          <w:sz w:val="18"/>
        </w:rPr>
        <w:t>2.</w:t>
      </w:r>
      <w:r>
        <w:rPr>
          <w:rFonts w:hint="eastAsia" w:asciiTheme="majorEastAsia" w:hAnsiTheme="majorEastAsia" w:eastAsiaTheme="majorEastAsia"/>
          <w:bCs/>
          <w:color w:val="auto"/>
          <w:sz w:val="18"/>
          <w:szCs w:val="18"/>
        </w:rPr>
        <w:t>境外债券</w:t>
      </w:r>
    </w:p>
    <w:p>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3.非标准化债权类资产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4.上市公司股票</w:t>
      </w:r>
      <w:r>
        <w:rPr>
          <w:rFonts w:hint="eastAsia" w:asciiTheme="majorEastAsia" w:hAnsiTheme="majorEastAsia" w:eastAsiaTheme="majorEastAsia"/>
          <w:color w:val="auto"/>
          <w:sz w:val="18"/>
          <w:szCs w:val="18"/>
        </w:rPr>
        <w:t>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5.未上市公司股权</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r>
        <w:rPr>
          <w:rFonts w:hAnsi="宋体"/>
          <w:sz w:val="18"/>
          <w:szCs w:val="18"/>
        </w:rPr>
        <w:t>；或采用第三方估值机构提供的价格数据确认公允价值</w:t>
      </w:r>
      <w:r>
        <w:rPr>
          <w:rFonts w:hint="eastAsia"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6.</w:t>
      </w:r>
      <w:r>
        <w:rPr>
          <w:rFonts w:hint="eastAsia" w:asciiTheme="minorEastAsia" w:hAnsiTheme="minorEastAsia" w:eastAsiaTheme="minorEastAsia"/>
          <w:bCs/>
          <w:color w:val="auto"/>
          <w:sz w:val="18"/>
          <w:szCs w:val="18"/>
        </w:rPr>
        <w:t>优先股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7.</w:t>
      </w:r>
      <w:r>
        <w:rPr>
          <w:rFonts w:hint="eastAsia" w:asciiTheme="minorEastAsia" w:hAnsiTheme="minorEastAsia" w:eastAsiaTheme="minorEastAsia"/>
          <w:bCs/>
          <w:color w:val="auto"/>
          <w:sz w:val="18"/>
          <w:szCs w:val="18"/>
        </w:rPr>
        <w:t>证券投资基金估值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1)本产品投资的境内非货币市场基金，按所投资基金估值日的基金份额净值估值；估值日基金净值未公布的，以基金管理人最近公布的基金份额净值计算。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r>
        <w:rPr>
          <w:rFonts w:hint="eastAsia" w:asciiTheme="minorEastAsia" w:hAnsiTheme="minorEastAsia" w:eastAsiaTheme="minorEastAsia"/>
          <w:color w:val="auto"/>
          <w:sz w:val="18"/>
          <w:szCs w:val="18"/>
        </w:rPr>
        <w:t>；若前一估值日后至估值日期间（含节假日）基金万份收益未公布的，以基金管理人公布的最近一个估值日基金万份收益计算。</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2)本产品投资的境内上市开放式基金（LOF），按所投资基金估值日的基金份额净值估值；估值日基金净值未公布的，以基金管理人最近公布的基金份额净值计算。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w:t>
      </w:r>
      <w:r>
        <w:rPr>
          <w:rFonts w:hint="eastAsia" w:asciiTheme="minorEastAsia" w:hAnsiTheme="minorEastAsia" w:eastAsiaTheme="minorEastAsia"/>
          <w:color w:val="auto"/>
          <w:sz w:val="18"/>
          <w:szCs w:val="18"/>
        </w:rPr>
        <w:t>若估值日基金份额净值未公布的，以基金管理人最近公布的基金份额净值计算</w:t>
      </w:r>
      <w:r>
        <w:rPr>
          <w:rFonts w:asciiTheme="minorEastAsia" w:hAnsiTheme="minorEastAsia" w:eastAsiaTheme="minorEastAsia"/>
          <w:color w:val="auto"/>
          <w:sz w:val="18"/>
          <w:szCs w:val="18"/>
        </w:rPr>
        <w:t>；如所投资基金披露万份（百份）收益，则按所投资基金前一估值日后至估值日期间（含节假日）的万份（百份）收益计提估值日基金收益</w:t>
      </w:r>
      <w:r>
        <w:rPr>
          <w:rFonts w:hint="eastAsia" w:asciiTheme="minorEastAsia" w:hAnsiTheme="minorEastAsia" w:eastAsiaTheme="minorEastAsia"/>
          <w:color w:val="auto"/>
          <w:sz w:val="18"/>
          <w:szCs w:val="18"/>
        </w:rPr>
        <w:t>，若前一估值日后至估值日期间（含节假日）的万份（百份）收益未公布的，则按最新万份（百份）收益计提估值日基金收益</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8.</w:t>
      </w:r>
      <w:r>
        <w:rPr>
          <w:rFonts w:hint="eastAsia" w:asciiTheme="minorEastAsia" w:hAnsiTheme="minorEastAsia" w:eastAsiaTheme="minorEastAsia"/>
          <w:bCs/>
          <w:color w:val="auto"/>
          <w:sz w:val="18"/>
          <w:szCs w:val="18"/>
        </w:rPr>
        <w:t>其他资产管理产品的估值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信托公司、证券公司、证券公司子公司、基金管理公司、基金管理子公司、期货公司、期货公司子公司、保险资产管理机构、金融资产投资公司发行的资产管理产品。其他资产管理产品以估值日资产管理人提供的单位净值进行估值；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9.衍生金融工具估值</w:t>
      </w:r>
    </w:p>
    <w:p>
      <w:pPr>
        <w:pStyle w:val="34"/>
        <w:spacing w:line="360" w:lineRule="auto"/>
        <w:ind w:firstLine="360" w:firstLineChars="200"/>
        <w:rPr>
          <w:rFonts w:asciiTheme="minorEastAsia" w:hAnsiTheme="minorEastAsia" w:eastAsiaTheme="minorEastAsia"/>
          <w:bCs/>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1</w:t>
      </w:r>
      <w:r>
        <w:rPr>
          <w:rFonts w:hint="eastAsia" w:asciiTheme="minorEastAsia" w:hAnsiTheme="minorEastAsia" w:eastAsiaTheme="minorEastAsia"/>
          <w:bCs/>
          <w:sz w:val="18"/>
          <w:szCs w:val="18"/>
        </w:rPr>
        <w:t>）对于交易所交易的衍生金融工具，一般以估值日交易所公布的当日结算价估值；估值日无交易且最近交易日后未发生影响公允价值计量的重大事件的，按最近交易日的结算价估值；如最近交易日后发生影响公允价值计量的重大事件的，应采取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2</w:t>
      </w:r>
      <w:r>
        <w:rPr>
          <w:rFonts w:hint="eastAsia" w:asciiTheme="minorEastAsia" w:hAnsiTheme="minorEastAsia" w:eastAsiaTheme="minorEastAsia"/>
          <w:bCs/>
          <w:sz w:val="18"/>
          <w:szCs w:val="18"/>
        </w:rPr>
        <w:t>）对于非交易所交易的衍生金融工具，可依据第三方机构提供的价格数据或采取相应衍生金融工具估值模型确定公允价值。</w:t>
      </w:r>
      <w:r>
        <w:rPr>
          <w:rFonts w:asciiTheme="minorEastAsia" w:hAnsiTheme="minorEastAsia" w:eastAsiaTheme="minorEastAsia"/>
          <w:color w:val="auto"/>
          <w:sz w:val="18"/>
          <w:szCs w:val="18"/>
        </w:rPr>
        <w:t xml:space="preserve"> </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10.</w:t>
      </w:r>
      <w:r>
        <w:rPr>
          <w:rFonts w:hint="eastAsia" w:asciiTheme="minorEastAsia" w:hAnsiTheme="minorEastAsia" w:eastAsiaTheme="minorEastAsia"/>
          <w:bCs/>
          <w:color w:val="auto"/>
          <w:sz w:val="18"/>
          <w:szCs w:val="18"/>
        </w:rPr>
        <w:t>存款、拆借、回购等货币市场工具的估值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Pr>
        <w:pStyle w:val="2"/>
        <w:spacing w:before="0" w:after="0" w:line="360" w:lineRule="auto"/>
        <w:ind w:left="60" w:firstLine="10"/>
        <w:jc w:val="center"/>
        <w:rPr>
          <w:rFonts w:ascii="Times New Roman"/>
          <w:sz w:val="30"/>
        </w:rPr>
      </w:pPr>
      <w:bookmarkStart w:id="86" w:name="_Hlt70481650"/>
      <w:bookmarkEnd w:id="86"/>
      <w:bookmarkStart w:id="87" w:name="_Toc123051453"/>
      <w:bookmarkStart w:id="88" w:name="_Toc4020"/>
      <w:bookmarkStart w:id="89" w:name="_Toc92377137"/>
      <w:bookmarkStart w:id="90" w:name="_Toc74065744"/>
      <w:bookmarkStart w:id="91" w:name="_Toc8695"/>
      <w:bookmarkStart w:id="92" w:name="_Toc79154671"/>
      <w:bookmarkStart w:id="93" w:name="_Toc98560353"/>
      <w:bookmarkStart w:id="94" w:name="_Toc12245"/>
      <w:bookmarkStart w:id="95" w:name="_Toc14835"/>
      <w:bookmarkStart w:id="96" w:name="_Toc123112235"/>
      <w:bookmarkStart w:id="97" w:name="_Toc139991737"/>
      <w:bookmarkStart w:id="98" w:name="_Toc26207"/>
      <w:bookmarkStart w:id="99" w:name="_Toc6405"/>
      <w:bookmarkStart w:id="100" w:name="_Toc31653"/>
      <w:bookmarkStart w:id="101" w:name="_Toc31644"/>
      <w:bookmarkStart w:id="102" w:name="_Toc3601"/>
      <w:bookmarkStart w:id="103" w:name="_Toc15143"/>
      <w:bookmarkStart w:id="104" w:name="_Toc31235"/>
      <w:bookmarkStart w:id="105" w:name="_Toc8045"/>
      <w:bookmarkStart w:id="106" w:name="_Toc29251"/>
      <w:bookmarkStart w:id="107" w:name="_Toc141703887"/>
      <w:bookmarkStart w:id="108" w:name="_Toc123102454"/>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Start w:id="109" w:name="_Hlt55355235"/>
      <w:bookmarkEnd w:id="109"/>
      <w:bookmarkStart w:id="110" w:name="_Toc523711668"/>
      <w:bookmarkStart w:id="111" w:name="_Toc57530239"/>
      <w:bookmarkStart w:id="112" w:name="_Toc15118234"/>
      <w:bookmarkStart w:id="113" w:name="_Toc79392580"/>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0" w:firstLineChars="200"/>
        <w:rPr>
          <w:rFonts w:hAnsi="宋体"/>
          <w:color w:val="auto"/>
          <w:sz w:val="18"/>
          <w:szCs w:val="18"/>
        </w:rPr>
      </w:pPr>
      <w:permStart w:id="21" w:edGrp="everyone"/>
      <w:r>
        <w:rPr>
          <w:rFonts w:hAnsi="宋体"/>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Ansi="宋体"/>
          <w:color w:val="auto"/>
          <w:sz w:val="18"/>
          <w:szCs w:val="18"/>
        </w:rPr>
        <w:t>3.理财产品存续期间，产品管理人有权视理财产品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pPr>
        <w:widowControl/>
        <w:spacing w:line="360" w:lineRule="auto"/>
        <w:jc w:val="left"/>
        <w:rPr>
          <w:rFonts w:ascii="宋体" w:hAnsi="宋体"/>
          <w:kern w:val="0"/>
          <w:sz w:val="18"/>
          <w:szCs w:val="18"/>
        </w:rPr>
      </w:pPr>
      <w:r>
        <w:rPr>
          <w:rFonts w:hAnsi="宋体"/>
          <w:sz w:val="18"/>
          <w:szCs w:val="18"/>
        </w:rPr>
        <w:br w:type="page"/>
      </w:r>
    </w:p>
    <w:bookmarkEnd w:id="110"/>
    <w:bookmarkEnd w:id="111"/>
    <w:bookmarkEnd w:id="112"/>
    <w:bookmarkEnd w:id="113"/>
    <w:p>
      <w:pPr>
        <w:pStyle w:val="2"/>
        <w:spacing w:before="0" w:after="0" w:line="360" w:lineRule="auto"/>
        <w:jc w:val="center"/>
        <w:rPr>
          <w:rFonts w:ascii="Times New Roman"/>
          <w:sz w:val="30"/>
        </w:rPr>
      </w:pPr>
      <w:bookmarkStart w:id="114" w:name="_Hlt88897298"/>
      <w:bookmarkEnd w:id="114"/>
      <w:bookmarkStart w:id="115" w:name="_Hlt88825574"/>
      <w:bookmarkEnd w:id="115"/>
      <w:bookmarkStart w:id="116" w:name="_Toc141703888"/>
      <w:bookmarkStart w:id="117" w:name="_Toc6447"/>
      <w:bookmarkStart w:id="118" w:name="_Toc11030"/>
      <w:bookmarkStart w:id="119" w:name="_Toc1043"/>
      <w:bookmarkStart w:id="120" w:name="_Toc74065745"/>
      <w:bookmarkStart w:id="121" w:name="_Toc123051454"/>
      <w:bookmarkStart w:id="122" w:name="_Toc123102455"/>
      <w:bookmarkStart w:id="123" w:name="_Toc18567"/>
      <w:bookmarkStart w:id="124" w:name="_Toc10650"/>
      <w:bookmarkStart w:id="125" w:name="_Toc9706"/>
      <w:bookmarkStart w:id="126" w:name="_Toc79392583"/>
      <w:bookmarkStart w:id="127" w:name="_Toc22998"/>
      <w:bookmarkStart w:id="128" w:name="_Toc92377138"/>
      <w:bookmarkStart w:id="129" w:name="_Toc139991738"/>
      <w:bookmarkStart w:id="130" w:name="_Toc3771"/>
      <w:bookmarkStart w:id="131" w:name="_Toc98560354"/>
      <w:bookmarkStart w:id="132" w:name="_Toc79154672"/>
      <w:bookmarkStart w:id="133" w:name="_Toc7058"/>
      <w:bookmarkStart w:id="134" w:name="_Toc25783"/>
      <w:bookmarkStart w:id="135" w:name="_Toc6394"/>
      <w:bookmarkStart w:id="136" w:name="_Toc123112236"/>
      <w:bookmarkStart w:id="137" w:name="_Toc3321"/>
      <w:bookmarkStart w:id="138" w:name="_Toc4559"/>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pPr>
        <w:pStyle w:val="34"/>
        <w:spacing w:line="360" w:lineRule="auto"/>
        <w:ind w:firstLine="361" w:firstLineChars="200"/>
        <w:rPr>
          <w:rFonts w:hint="eastAsia" w:ascii="黑体" w:hAnsi="黑体" w:eastAsia="黑体" w:cs="黑体"/>
          <w:b/>
          <w:color w:val="auto"/>
          <w:sz w:val="18"/>
          <w:szCs w:val="18"/>
        </w:rPr>
      </w:pPr>
      <w:r>
        <w:rPr>
          <w:rFonts w:hint="eastAsia" w:ascii="黑体" w:hAnsi="黑体" w:eastAsia="黑体" w:cs="黑体"/>
          <w:b/>
          <w:color w:val="auto"/>
          <w:sz w:val="18"/>
          <w:szCs w:val="18"/>
        </w:rPr>
        <w:t>（一）理财产品的费用</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1.理财产品费用的种类</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（1）理财产品的认购费、申购费、赎回费；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（2）理财产品的销售服务费；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（3）理财产品的投资管理费及超额业绩报酬；</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（4）理财产品的产品托管费；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（5）理财产品的交易费用（包括但不限于证券交易费用、经纪费用等）；</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（6）理财产品验资费、审计费、律师费、信息披露费、清算费、执行费用等相关费用；</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（7）按照国家法律法规规定可以列入的其他费用。</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2.理财产品费用计提方法、计提标准和支付方式</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（1）理财产品的认购费、申购费、赎回费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1）认购费：</w:t>
      </w:r>
      <w:r>
        <w:rPr>
          <w:rFonts w:hint="eastAsia" w:ascii="黑体" w:hAnsi="黑体" w:eastAsia="黑体" w:cs="黑体"/>
          <w:bCs/>
          <w:sz w:val="18"/>
          <w:szCs w:val="18"/>
        </w:rPr>
        <w:t>费率具体数值以</w:t>
      </w:r>
      <w:r>
        <w:rPr>
          <w:rFonts w:hint="eastAsia" w:ascii="黑体" w:hAnsi="黑体" w:eastAsia="黑体" w:cs="黑体"/>
          <w:sz w:val="18"/>
          <w:szCs w:val="18"/>
        </w:rPr>
        <w:t>《产品说明书》“第二条 理财产品基本情况”</w:t>
      </w:r>
      <w:r>
        <w:rPr>
          <w:rFonts w:hint="eastAsia" w:ascii="黑体" w:hAnsi="黑体" w:eastAsia="黑体" w:cs="黑体"/>
          <w:bCs/>
          <w:sz w:val="18"/>
          <w:szCs w:val="18"/>
        </w:rPr>
        <w:t>为准</w:t>
      </w:r>
      <w:r>
        <w:rPr>
          <w:rFonts w:hint="eastAsia" w:ascii="黑体" w:hAnsi="黑体" w:eastAsia="黑体" w:cs="黑体"/>
          <w:kern w:val="0"/>
          <w:sz w:val="18"/>
          <w:szCs w:val="18"/>
        </w:rPr>
        <w:t>。</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2）申购费：</w:t>
      </w:r>
      <w:r>
        <w:rPr>
          <w:rFonts w:hint="eastAsia" w:ascii="黑体" w:hAnsi="黑体" w:eastAsia="黑体" w:cs="黑体"/>
          <w:bCs/>
          <w:sz w:val="18"/>
          <w:szCs w:val="18"/>
        </w:rPr>
        <w:t>费率具体数值以</w:t>
      </w:r>
      <w:r>
        <w:rPr>
          <w:rFonts w:hint="eastAsia" w:ascii="黑体" w:hAnsi="黑体" w:eastAsia="黑体" w:cs="黑体"/>
          <w:sz w:val="18"/>
          <w:szCs w:val="18"/>
        </w:rPr>
        <w:t>《产品说明书》“第二条 理财产品基本情况”</w:t>
      </w:r>
      <w:r>
        <w:rPr>
          <w:rFonts w:hint="eastAsia" w:ascii="黑体" w:hAnsi="黑体" w:eastAsia="黑体" w:cs="黑体"/>
          <w:bCs/>
          <w:sz w:val="18"/>
          <w:szCs w:val="18"/>
        </w:rPr>
        <w:t>为准</w:t>
      </w:r>
      <w:r>
        <w:rPr>
          <w:rFonts w:hint="eastAsia" w:ascii="黑体" w:hAnsi="黑体" w:eastAsia="黑体" w:cs="黑体"/>
          <w:kern w:val="0"/>
          <w:sz w:val="18"/>
          <w:szCs w:val="18"/>
        </w:rPr>
        <w:t>。</w:t>
      </w:r>
    </w:p>
    <w:p>
      <w:pPr>
        <w:widowControl/>
        <w:spacing w:line="360" w:lineRule="auto"/>
        <w:ind w:firstLine="360" w:firstLineChars="200"/>
        <w:jc w:val="left"/>
        <w:rPr>
          <w:rStyle w:val="30"/>
          <w:rFonts w:hint="eastAsia" w:ascii="黑体" w:hAnsi="黑体" w:eastAsia="黑体" w:cs="黑体"/>
          <w:kern w:val="0"/>
        </w:rPr>
      </w:pPr>
      <w:r>
        <w:rPr>
          <w:rFonts w:hint="eastAsia" w:ascii="黑体" w:hAnsi="黑体" w:eastAsia="黑体" w:cs="黑体"/>
          <w:kern w:val="0"/>
          <w:sz w:val="18"/>
          <w:szCs w:val="18"/>
        </w:rPr>
        <w:t>3）赎回费：</w:t>
      </w:r>
      <w:r>
        <w:rPr>
          <w:rFonts w:hint="eastAsia" w:ascii="黑体" w:hAnsi="黑体" w:eastAsia="黑体" w:cs="黑体"/>
          <w:bCs/>
          <w:sz w:val="18"/>
          <w:szCs w:val="18"/>
        </w:rPr>
        <w:t>费率具体数值以《</w:t>
      </w:r>
      <w:r>
        <w:rPr>
          <w:rFonts w:hint="eastAsia" w:ascii="黑体" w:hAnsi="黑体" w:eastAsia="黑体" w:cs="黑体"/>
          <w:sz w:val="18"/>
          <w:szCs w:val="18"/>
        </w:rPr>
        <w:t>产品说明书》“第二条 理财产品基本情况”</w:t>
      </w:r>
      <w:r>
        <w:rPr>
          <w:rFonts w:hint="eastAsia" w:ascii="黑体" w:hAnsi="黑体" w:eastAsia="黑体" w:cs="黑体"/>
          <w:bCs/>
          <w:sz w:val="18"/>
          <w:szCs w:val="18"/>
        </w:rPr>
        <w:t>为准</w:t>
      </w:r>
      <w:r>
        <w:rPr>
          <w:rFonts w:hint="eastAsia" w:ascii="黑体" w:hAnsi="黑体" w:eastAsia="黑体" w:cs="黑体"/>
          <w:kern w:val="0"/>
          <w:sz w:val="18"/>
          <w:szCs w:val="18"/>
        </w:rPr>
        <w:t>。</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（2）理财产品的销售服务费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H＝E×销售服务费年费率÷365</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H为每日应计提的销售服务费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E为前一日的理财资产净值</w:t>
      </w:r>
    </w:p>
    <w:p>
      <w:pPr>
        <w:pStyle w:val="34"/>
        <w:spacing w:line="360" w:lineRule="auto"/>
        <w:ind w:firstLine="360" w:firstLineChars="200"/>
        <w:rPr>
          <w:rFonts w:hint="eastAsia" w:ascii="黑体" w:hAnsi="黑体" w:eastAsia="黑体" w:cs="黑体"/>
          <w:color w:val="auto"/>
          <w:kern w:val="2"/>
          <w:sz w:val="18"/>
          <w:szCs w:val="18"/>
        </w:rPr>
      </w:pPr>
      <w:r>
        <w:rPr>
          <w:rFonts w:hint="eastAsia" w:ascii="黑体" w:hAnsi="黑体" w:eastAsia="黑体" w:cs="黑体"/>
          <w:color w:val="auto"/>
          <w:sz w:val="18"/>
          <w:szCs w:val="18"/>
        </w:rPr>
        <w:t>销售服务费依照上述约定，从理财财产中支付。</w:t>
      </w:r>
      <w:r>
        <w:rPr>
          <w:rFonts w:hint="eastAsia" w:ascii="黑体" w:hAnsi="黑体" w:eastAsia="黑体" w:cs="黑体"/>
          <w:color w:val="auto"/>
          <w:kern w:val="2"/>
          <w:sz w:val="18"/>
          <w:szCs w:val="18"/>
        </w:rPr>
        <w:t>费率具体数值以</w:t>
      </w:r>
      <w:r>
        <w:rPr>
          <w:rFonts w:hint="eastAsia" w:ascii="黑体" w:hAnsi="黑体" w:eastAsia="黑体" w:cs="黑体"/>
          <w:color w:val="auto"/>
          <w:sz w:val="18"/>
          <w:szCs w:val="18"/>
        </w:rPr>
        <w:t>《产品说明书》“第二条 理财产品基本情况”</w:t>
      </w:r>
      <w:r>
        <w:rPr>
          <w:rFonts w:hint="eastAsia" w:ascii="黑体" w:hAnsi="黑体" w:eastAsia="黑体" w:cs="黑体"/>
          <w:color w:val="auto"/>
          <w:kern w:val="2"/>
          <w:sz w:val="18"/>
          <w:szCs w:val="18"/>
        </w:rPr>
        <w:t>为准。</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（3）理财产品的投资管理费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本产品的投资管理费按前一日理财资产净值与投资管理费每日费率每日计提。</w:t>
      </w:r>
      <w:r>
        <w:rPr>
          <w:rFonts w:hint="eastAsia" w:ascii="黑体" w:hAnsi="黑体" w:eastAsia="黑体" w:cs="黑体"/>
          <w:kern w:val="0"/>
          <w:sz w:val="18"/>
          <w:szCs w:val="18"/>
        </w:rPr>
        <w:t>投资管理费的计算方法如下：</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H＝E×投资管理费年费率÷365</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H为每日应计提的产品投资管理费</w:t>
      </w:r>
    </w:p>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E为前一日的理财资产净值</w:t>
      </w:r>
    </w:p>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投资管理费依照上述约定，从理财财产中支付。</w:t>
      </w:r>
      <w:r>
        <w:rPr>
          <w:rFonts w:hint="eastAsia" w:ascii="黑体" w:hAnsi="黑体" w:eastAsia="黑体" w:cs="黑体"/>
          <w:sz w:val="18"/>
          <w:szCs w:val="18"/>
        </w:rPr>
        <w:t>费率具体数值以《产品说明书》“第二条 理财产品基本情况”为准</w:t>
      </w:r>
      <w:r>
        <w:rPr>
          <w:rFonts w:hint="eastAsia" w:ascii="黑体" w:hAnsi="黑体" w:eastAsia="黑体" w:cs="黑体"/>
          <w:kern w:val="0"/>
          <w:sz w:val="18"/>
          <w:szCs w:val="18"/>
        </w:rPr>
        <w:t>。</w:t>
      </w:r>
    </w:p>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（4）超额业绩报酬</w:t>
      </w:r>
    </w:p>
    <w:p>
      <w:pPr>
        <w:widowControl/>
        <w:spacing w:line="360" w:lineRule="auto"/>
        <w:ind w:firstLine="360" w:firstLineChars="200"/>
        <w:jc w:val="left"/>
        <w:rPr>
          <w:rFonts w:hint="default" w:asciiTheme="majorEastAsia" w:hAnsiTheme="majorEastAsia" w:eastAsiaTheme="majorEastAsia"/>
          <w:sz w:val="18"/>
          <w:szCs w:val="18"/>
          <w:lang w:val="en-US" w:eastAsia="zh-CN"/>
        </w:rPr>
      </w:pPr>
      <w:permStart w:id="23" w:edGrp="everyone"/>
      <w:r>
        <w:rPr>
          <w:rFonts w:hint="default" w:asciiTheme="majorEastAsia" w:hAnsiTheme="majorEastAsia" w:eastAsiaTheme="majorEastAsia"/>
          <w:sz w:val="18"/>
          <w:szCs w:val="18"/>
          <w:lang w:val="en-US" w:eastAsia="zh-CN"/>
        </w:rPr>
        <w:t>本产品不收取超额业绩报酬</w:t>
      </w:r>
    </w:p>
    <w:permEnd w:id="23"/>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（5）理财产品的产品托管费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本产品的产品托管费按前一日理财资产净值与产品托管费每日费率每日计提。</w:t>
      </w:r>
      <w:r>
        <w:rPr>
          <w:rFonts w:hint="eastAsia" w:ascii="黑体" w:hAnsi="黑体" w:eastAsia="黑体" w:cs="黑体"/>
          <w:kern w:val="0"/>
          <w:sz w:val="18"/>
          <w:szCs w:val="18"/>
        </w:rPr>
        <w:t>产品托管费的计算方法如下：</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H＝E×产品托管费年费率÷365</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H为每日应计提的产品托管费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E为前一日的理财资产净值</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产品托管费依照上述约定，从理财财产中支付。</w:t>
      </w:r>
      <w:r>
        <w:rPr>
          <w:rFonts w:hint="eastAsia" w:ascii="黑体" w:hAnsi="黑体" w:eastAsia="黑体" w:cs="黑体"/>
          <w:sz w:val="18"/>
          <w:szCs w:val="18"/>
        </w:rPr>
        <w:t>费率具体数值以《产品说明书》“第二条 理财产品基本情况”为准。</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（6）上述理财产品的证券交易费用</w:t>
      </w:r>
    </w:p>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按费用实际支出金额列入当期费用，从理财财产中支付。</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（7）上述理财产品验资费、审计费、律师费、信息披露费、清算费、执行费用等相关费用</w:t>
      </w:r>
    </w:p>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按费用实际支出金额列入当期费用，从理财财产中支付。产品管理人因处理上述事务而先行垫付上述费用的，管理人有权从理财产品资产中优先受偿。</w:t>
      </w:r>
    </w:p>
    <w:p>
      <w:pPr>
        <w:pStyle w:val="34"/>
        <w:spacing w:line="360" w:lineRule="auto"/>
        <w:ind w:firstLine="360" w:firstLineChars="200"/>
        <w:rPr>
          <w:rFonts w:hint="eastAsia" w:ascii="黑体" w:hAnsi="黑体" w:eastAsia="黑体" w:cs="黑体"/>
          <w:color w:val="auto"/>
          <w:sz w:val="18"/>
        </w:rPr>
      </w:pPr>
      <w:r>
        <w:rPr>
          <w:rFonts w:hint="eastAsia" w:ascii="黑体" w:hAnsi="黑体" w:eastAsia="黑体" w:cs="黑体"/>
          <w:color w:val="auto"/>
          <w:sz w:val="18"/>
        </w:rPr>
        <w:t>3.</w:t>
      </w:r>
      <w:r>
        <w:rPr>
          <w:rFonts w:hint="eastAsia" w:ascii="黑体" w:hAnsi="黑体" w:eastAsia="黑体" w:cs="黑体"/>
          <w:color w:val="auto"/>
          <w:sz w:val="18"/>
          <w:szCs w:val="18"/>
        </w:rPr>
        <w:t>★理财产品费用</w:t>
      </w:r>
      <w:r>
        <w:rPr>
          <w:rFonts w:hint="eastAsia" w:ascii="黑体" w:hAnsi="黑体" w:eastAsia="黑体" w:cs="黑体"/>
          <w:color w:val="auto"/>
          <w:sz w:val="18"/>
        </w:rPr>
        <w:t>的调整</w:t>
      </w:r>
    </w:p>
    <w:p>
      <w:pPr>
        <w:pStyle w:val="34"/>
        <w:spacing w:line="360" w:lineRule="auto"/>
        <w:ind w:firstLine="360" w:firstLineChars="200"/>
        <w:rPr>
          <w:rFonts w:hint="eastAsia" w:ascii="黑体" w:hAnsi="黑体" w:eastAsia="黑体" w:cs="黑体"/>
          <w:color w:val="auto"/>
          <w:sz w:val="18"/>
        </w:rPr>
      </w:pPr>
      <w:r>
        <w:rPr>
          <w:rFonts w:hint="eastAsia" w:ascii="黑体" w:hAnsi="黑体" w:eastAsia="黑体" w:cs="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hint="eastAsia" w:ascii="黑体" w:hAnsi="黑体" w:eastAsia="黑体" w:cs="黑体"/>
          <w:b/>
          <w:color w:val="auto"/>
          <w:sz w:val="18"/>
        </w:rPr>
      </w:pPr>
      <w:r>
        <w:rPr>
          <w:rFonts w:hint="eastAsia" w:ascii="黑体" w:hAnsi="黑体" w:eastAsia="黑体" w:cs="黑体"/>
          <w:color w:val="auto"/>
          <w:sz w:val="18"/>
        </w:rPr>
        <w:t>（2）产品管理人有权</w:t>
      </w:r>
      <w:r>
        <w:rPr>
          <w:rFonts w:hint="eastAsia" w:ascii="黑体" w:hAnsi="黑体" w:eastAsia="黑体" w:cs="黑体"/>
          <w:color w:val="auto"/>
          <w:sz w:val="18"/>
          <w:szCs w:val="18"/>
        </w:rPr>
        <w:t>根据相关法律和国家政策规定，</w:t>
      </w:r>
      <w:r>
        <w:rPr>
          <w:rFonts w:hint="eastAsia" w:ascii="黑体" w:hAnsi="黑体" w:eastAsia="黑体" w:cs="黑体"/>
          <w:color w:val="auto"/>
          <w:sz w:val="18"/>
        </w:rPr>
        <w:t>对理财产品费用的收费项目、收费条件、收费标准和收费方式等进行调整。产品管理人对费用的调整</w:t>
      </w:r>
      <w:r>
        <w:rPr>
          <w:rFonts w:hint="eastAsia" w:ascii="黑体" w:hAnsi="黑体" w:eastAsia="黑体" w:cs="黑体"/>
          <w:bCs/>
          <w:color w:val="auto"/>
          <w:sz w:val="18"/>
        </w:rPr>
        <w:t>将依本产品说明书的“理财产品的信息披露”条款约定进行公告。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39" w:name="_Toc3963"/>
      <w:bookmarkStart w:id="140" w:name="_Toc1745"/>
      <w:r>
        <w:br w:type="page"/>
      </w:r>
      <w:bookmarkStart w:id="141" w:name="_Toc123051455"/>
      <w:bookmarkStart w:id="142" w:name="_Toc123112237"/>
      <w:bookmarkStart w:id="143" w:name="_Toc139991739"/>
      <w:bookmarkStart w:id="144" w:name="_Toc123102456"/>
      <w:bookmarkStart w:id="145" w:name="_Toc10398"/>
      <w:bookmarkStart w:id="146" w:name="_Toc141703889"/>
      <w:bookmarkStart w:id="147" w:name="_Toc725"/>
      <w:bookmarkStart w:id="148" w:name="_Toc18206"/>
      <w:bookmarkStart w:id="149" w:name="_Toc74065746"/>
      <w:bookmarkStart w:id="150" w:name="_Toc2757"/>
      <w:bookmarkStart w:id="151" w:name="_Toc21735"/>
      <w:bookmarkStart w:id="152" w:name="_Toc5388"/>
      <w:bookmarkStart w:id="153" w:name="_Toc25397"/>
      <w:bookmarkStart w:id="154" w:name="_Toc98560355"/>
      <w:bookmarkStart w:id="155" w:name="_Toc31821"/>
      <w:bookmarkStart w:id="156" w:name="_Toc3572"/>
      <w:bookmarkStart w:id="157" w:name="_Toc79154673"/>
      <w:bookmarkStart w:id="158" w:name="_Toc3080"/>
      <w:bookmarkStart w:id="159" w:name="_Toc92377139"/>
      <w:bookmarkStart w:id="160" w:name="_Toc16164"/>
      <w:r>
        <w:rPr>
          <w:rFonts w:hint="eastAsia"/>
          <w:sz w:val="30"/>
        </w:rPr>
        <w:t>第十条</w:t>
      </w:r>
      <w:r>
        <w:rPr>
          <w:sz w:val="30"/>
        </w:rPr>
        <w:t xml:space="preserve">  </w:t>
      </w:r>
      <w:r>
        <w:rPr>
          <w:rFonts w:hint="eastAsia"/>
          <w:sz w:val="30"/>
        </w:rPr>
        <w:t>理财产品的终止与清算</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pPr>
        <w:spacing w:line="360" w:lineRule="auto"/>
        <w:ind w:firstLine="361" w:firstLineChars="200"/>
        <w:rPr>
          <w:rFonts w:asciiTheme="majorEastAsia" w:hAnsiTheme="majorEastAsia" w:eastAsiaTheme="majorEastAsia"/>
          <w:b/>
          <w:bCs/>
          <w:sz w:val="18"/>
          <w:szCs w:val="18"/>
        </w:rPr>
      </w:pPr>
      <w:bookmarkStart w:id="161" w:name="_Toc57530252"/>
      <w:bookmarkStart w:id="162" w:name="_Toc79392593"/>
      <w:bookmarkStart w:id="163" w:name="_Toc15118245"/>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bookmarkEnd w:id="161"/>
    <w:bookmarkEnd w:id="162"/>
    <w:bookmarkEnd w:id="163"/>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内产生的利息（如有）归投资者所有。理财资产清算后扣除理财相关费用、缴纳所欠税款并清偿理财产品负债后，理财利益按投资者持有的理财产品份额比例进行分配。清算期原则上不得超过【5】个工作日，清算期超过【5】个工作日的，将依约定进行公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理财产品部分终止日（含当日）至理财利益实际到账日之间产生的利息（如有），归投资者所有。</w:t>
      </w:r>
    </w:p>
    <w:p>
      <w:pPr>
        <w:spacing w:line="360" w:lineRule="auto"/>
        <w:ind w:firstLine="360" w:firstLineChars="200"/>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pPr>
        <w:spacing w:line="360" w:lineRule="auto"/>
        <w:ind w:firstLine="360" w:firstLineChars="200"/>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4.理财产品终止日，如遇理财产品项下资产因包括但不限于市场风险、信用风险等原因不能全部变现，本产品存在二次或多次清算的可能。如产品管理人拟进行二次或多次清算的，将依约定进行公告。对于未变现资产部分，产品管理人以投资者利益最大化的原则，寻求未变现资产变现方式，在资产变现后，产品持有的现金类资产在扣除理财相关费用、缴纳所欠税款并清偿理财产品负债后，在【5】个工作日内按投资者持有的理财产品份额比例向投资者进行再次分配。</w:t>
      </w:r>
    </w:p>
    <w:p>
      <w:pPr>
        <w:pStyle w:val="2"/>
        <w:spacing w:before="0" w:after="0" w:line="360" w:lineRule="auto"/>
        <w:jc w:val="center"/>
        <w:rPr>
          <w:rFonts w:ascii="Times New Roman"/>
          <w:sz w:val="18"/>
          <w:szCs w:val="18"/>
        </w:rPr>
      </w:pPr>
      <w:r>
        <w:rPr>
          <w:rFonts w:ascii="Times New Roman"/>
          <w:b w:val="0"/>
          <w:bCs w:val="0"/>
          <w:kern w:val="2"/>
        </w:rPr>
        <w:br w:type="page"/>
      </w:r>
      <w:bookmarkStart w:id="164" w:name="_Toc24268"/>
      <w:bookmarkStart w:id="165" w:name="_Toc593"/>
      <w:bookmarkStart w:id="166" w:name="_Toc92377140"/>
      <w:bookmarkStart w:id="167" w:name="_Toc7953"/>
      <w:bookmarkStart w:id="168" w:name="_Toc123102457"/>
      <w:bookmarkStart w:id="169" w:name="_Toc48649708"/>
      <w:bookmarkStart w:id="170" w:name="_Toc17920"/>
      <w:bookmarkStart w:id="171" w:name="_Toc83391975"/>
      <w:bookmarkStart w:id="172" w:name="_Toc98560356"/>
      <w:bookmarkStart w:id="173" w:name="_Toc8791"/>
      <w:bookmarkStart w:id="174" w:name="_Toc17198"/>
      <w:bookmarkStart w:id="175" w:name="_Toc79392622"/>
      <w:bookmarkStart w:id="176" w:name="_Toc739"/>
      <w:bookmarkStart w:id="177" w:name="_Toc123051456"/>
      <w:bookmarkStart w:id="178" w:name="_Toc32092"/>
      <w:bookmarkStart w:id="179" w:name="_Toc141703890"/>
      <w:bookmarkStart w:id="180" w:name="_Toc123112238"/>
      <w:bookmarkStart w:id="181" w:name="_Toc74065747"/>
      <w:bookmarkStart w:id="182" w:name="_Toc32584"/>
      <w:bookmarkStart w:id="183" w:name="_Toc5170"/>
      <w:bookmarkStart w:id="184" w:name="_Toc3329"/>
      <w:bookmarkStart w:id="185" w:name="_Toc21237"/>
      <w:bookmarkStart w:id="186" w:name="_Toc79154674"/>
      <w:bookmarkStart w:id="187" w:name="_Toc29408"/>
      <w:bookmarkStart w:id="188" w:name="_Toc139991740"/>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64"/>
      <w:bookmarkEnd w:id="165"/>
      <w:bookmarkEnd w:id="166"/>
      <w:bookmarkEnd w:id="167"/>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permStart w:id="24"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w:t>
      </w:r>
      <w:r>
        <w:rPr>
          <w:rFonts w:hint="eastAsia" w:ascii="宋体" w:hAnsi="宋体"/>
          <w:bCs/>
          <w:sz w:val="18"/>
          <w:szCs w:val="18"/>
          <w:lang w:val="en-US" w:eastAsia="zh-CN"/>
        </w:rPr>
        <w:t>开放日</w:t>
      </w:r>
      <w:r>
        <w:rPr>
          <w:rFonts w:hint="eastAsia" w:ascii="宋体" w:hAnsi="宋体"/>
          <w:bCs/>
          <w:sz w:val="18"/>
          <w:szCs w:val="18"/>
        </w:rPr>
        <w:t>】向投资者披露一次估值日公告，估值日公告披露的内容包括估值日的产品份额净值、产品份额累计净值等。如遇法定节假日顺延。此外，如遇其他特殊情况，以产品管理人信息披露为准。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24"/>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1）</w:t>
      </w:r>
      <w:r>
        <w:rPr>
          <w:rFonts w:hint="eastAsia" w:ascii="黑体" w:hAnsi="黑体" w:eastAsia="黑体"/>
          <w:sz w:val="18"/>
          <w:szCs w:val="18"/>
        </w:rPr>
        <w:t>★产品管理人</w:t>
      </w:r>
      <w:r>
        <w:rPr>
          <w:rFonts w:ascii="黑体" w:hAnsi="黑体" w:eastAsia="黑体"/>
          <w:sz w:val="18"/>
          <w:szCs w:val="18"/>
        </w:rPr>
        <w:t>对</w:t>
      </w:r>
      <w:r>
        <w:rPr>
          <w:rFonts w:hint="eastAsia" w:ascii="黑体" w:hAnsi="黑体" w:eastAsia="黑体"/>
          <w:sz w:val="18"/>
          <w:szCs w:val="18"/>
        </w:rPr>
        <w:t>投资范围、投资资产种类、</w:t>
      </w:r>
      <w:r>
        <w:rPr>
          <w:rFonts w:ascii="黑体" w:hAnsi="黑体" w:eastAsia="黑体"/>
          <w:sz w:val="18"/>
          <w:szCs w:val="18"/>
        </w:rPr>
        <w:t>投资</w:t>
      </w:r>
      <w:r>
        <w:rPr>
          <w:rFonts w:hint="eastAsia" w:ascii="黑体" w:hAnsi="黑体" w:eastAsia="黑体"/>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sz w:val="18"/>
          <w:szCs w:val="18"/>
        </w:rPr>
        <w:t>2个工作日发布变更公告</w:t>
      </w:r>
      <w:r>
        <w:rPr>
          <w:rFonts w:hint="eastAsia"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4）★在本产品存续期内，如因国家法律法规、监管规定发生变化，或是出于维护本产品正常运营的需要，在不损害投资者</w:t>
      </w:r>
      <w:r>
        <w:rPr>
          <w:rFonts w:hint="eastAsia" w:ascii="黑体" w:hAnsi="黑体" w:eastAsia="黑体"/>
          <w:sz w:val="18"/>
          <w:szCs w:val="18"/>
        </w:rPr>
        <w:t>权益</w:t>
      </w:r>
      <w:r>
        <w:rPr>
          <w:rFonts w:ascii="黑体" w:hAnsi="黑体" w:eastAsia="黑体"/>
          <w:sz w:val="18"/>
          <w:szCs w:val="18"/>
        </w:rPr>
        <w:t>的前提下，</w:t>
      </w:r>
      <w:r>
        <w:rPr>
          <w:rFonts w:hint="eastAsia" w:ascii="黑体" w:hAnsi="黑体" w:eastAsia="黑体"/>
          <w:sz w:val="18"/>
          <w:szCs w:val="18"/>
        </w:rPr>
        <w:t>产品管理人</w:t>
      </w:r>
      <w:r>
        <w:rPr>
          <w:rFonts w:ascii="黑体" w:hAnsi="黑体" w:eastAsia="黑体"/>
          <w:sz w:val="18"/>
          <w:szCs w:val="18"/>
        </w:rPr>
        <w:t>有权对</w:t>
      </w:r>
      <w:r>
        <w:rPr>
          <w:rFonts w:hint="eastAsia" w:ascii="黑体" w:hAnsi="黑体" w:eastAsia="黑体"/>
          <w:sz w:val="18"/>
          <w:szCs w:val="18"/>
        </w:rPr>
        <w:t>理财产品销售文件</w:t>
      </w:r>
      <w:r>
        <w:rPr>
          <w:rFonts w:ascii="黑体" w:hAnsi="黑体" w:eastAsia="黑体"/>
          <w:sz w:val="18"/>
          <w:szCs w:val="18"/>
        </w:rPr>
        <w:t>进行修订，并提前2个工作日进行</w:t>
      </w:r>
      <w:r>
        <w:rPr>
          <w:rFonts w:hint="eastAsia" w:ascii="黑体" w:hAnsi="黑体" w:eastAsia="黑体"/>
          <w:sz w:val="18"/>
          <w:szCs w:val="18"/>
        </w:rPr>
        <w:t>公告</w:t>
      </w:r>
      <w:r>
        <w:rPr>
          <w:rFonts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Pr>
        <w:spacing w:line="360" w:lineRule="auto"/>
        <w:ind w:firstLine="360" w:firstLineChars="200"/>
        <w:rPr>
          <w:rFonts w:ascii="黑体" w:hAnsi="黑体" w:eastAsia="黑体"/>
          <w:sz w:val="18"/>
          <w:szCs w:val="18"/>
        </w:rPr>
      </w:pPr>
      <w:r>
        <w:rPr>
          <w:rFonts w:hint="eastAsia" w:ascii="黑体" w:hAnsi="黑体" w:eastAsia="黑体"/>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sz w:val="18"/>
          <w:szCs w:val="18"/>
        </w:rPr>
        <w:t>并提前2个工作日进行</w:t>
      </w:r>
      <w:r>
        <w:rPr>
          <w:rFonts w:hint="eastAsia" w:ascii="黑体" w:hAnsi="黑体" w:eastAsia="黑体"/>
          <w:sz w:val="18"/>
          <w:szCs w:val="18"/>
        </w:rPr>
        <w:t>公告。若投资者未选择退出本产品的，则视为已理解并接受管理人的相应变更。</w:t>
      </w:r>
    </w:p>
    <w:p>
      <w:pPr>
        <w:spacing w:line="360" w:lineRule="auto"/>
        <w:rPr>
          <w:bCs/>
          <w:sz w:val="24"/>
        </w:rPr>
      </w:pPr>
    </w:p>
    <w:p>
      <w:pPr>
        <w:pStyle w:val="2"/>
        <w:spacing w:before="0" w:after="0" w:line="360" w:lineRule="auto"/>
        <w:jc w:val="center"/>
        <w:rPr>
          <w:rFonts w:ascii="Times New Roman"/>
          <w:b w:val="0"/>
          <w:sz w:val="30"/>
        </w:rPr>
      </w:pPr>
      <w:bookmarkStart w:id="189" w:name="_Toc8020"/>
      <w:bookmarkStart w:id="190" w:name="_Toc92377141"/>
      <w:bookmarkStart w:id="191" w:name="_Toc184"/>
      <w:bookmarkStart w:id="192" w:name="_Toc30149"/>
      <w:bookmarkStart w:id="193" w:name="_Toc79154675"/>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89"/>
      <w:bookmarkEnd w:id="190"/>
      <w:bookmarkEnd w:id="191"/>
      <w:bookmarkEnd w:id="192"/>
      <w:bookmarkEnd w:id="193"/>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25" w:edGrp="everyone"/>
      <w:r>
        <w:rPr>
          <w:rFonts w:hint="eastAsia" w:ascii="宋体" w:hAnsi="宋体"/>
          <w:sz w:val="18"/>
          <w:szCs w:val="18"/>
        </w:rPr>
        <w:t>【1.拟投资市场和资产的风险：</w:t>
      </w:r>
    </w:p>
    <w:p>
      <w:pPr>
        <w:spacing w:line="360" w:lineRule="auto"/>
        <w:ind w:firstLine="360" w:firstLineChars="200"/>
        <w:rPr>
          <w:rFonts w:hint="eastAsia"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hint="eastAsia" w:ascii="宋体" w:hAnsi="宋体"/>
          <w:sz w:val="18"/>
          <w:szCs w:val="18"/>
        </w:rPr>
      </w:pPr>
      <w:r>
        <w:rPr>
          <w:rFonts w:hint="eastAsia" w:ascii="宋体" w:hAnsi="宋体"/>
          <w:sz w:val="18"/>
          <w:szCs w:val="18"/>
        </w:rPr>
        <w:t>1）投资标准化债权类资产的风险</w:t>
      </w:r>
    </w:p>
    <w:p>
      <w:pPr>
        <w:spacing w:line="360" w:lineRule="auto"/>
        <w:ind w:firstLine="360" w:firstLineChars="200"/>
        <w:rPr>
          <w:rFonts w:hint="eastAsia"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hint="eastAsia" w:ascii="宋体" w:hAnsi="宋体"/>
          <w:sz w:val="18"/>
          <w:szCs w:val="18"/>
        </w:rPr>
      </w:pPr>
      <w:r>
        <w:rPr>
          <w:rFonts w:hint="eastAsia" w:ascii="宋体" w:hAnsi="宋体"/>
          <w:sz w:val="18"/>
          <w:szCs w:val="18"/>
        </w:rPr>
        <w:t xml:space="preserve">（2）投资商品和金融衍生品类资产的风险 </w:t>
      </w:r>
      <w:bookmarkStart w:id="194" w:name="_GoBack"/>
      <w:bookmarkEnd w:id="194"/>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w:t>
      </w:r>
    </w:p>
    <w:permEnd w:id="25"/>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hint="eastAsia" w:ascii="黑体" w:hAnsi="黑体" w:eastAsia="黑体" w:cs="黑体"/>
          <w:sz w:val="18"/>
          <w:szCs w:val="18"/>
        </w:rPr>
      </w:pPr>
      <w:r>
        <w:rPr>
          <w:rFonts w:hint="eastAsia" w:ascii="黑体" w:hAnsi="黑体" w:eastAsia="黑体" w:cs="黑体"/>
          <w:sz w:val="18"/>
          <w:szCs w:val="18"/>
        </w:rPr>
        <w:t>17.★关联交易风险</w:t>
      </w:r>
    </w:p>
    <w:p>
      <w:pPr>
        <w:spacing w:line="360" w:lineRule="auto"/>
        <w:ind w:firstLine="360" w:firstLineChars="200"/>
        <w:rPr>
          <w:rFonts w:ascii="宋体" w:hAnsi="宋体"/>
          <w:sz w:val="18"/>
          <w:szCs w:val="18"/>
        </w:rPr>
      </w:pPr>
      <w:r>
        <w:rPr>
          <w:rFonts w:hint="eastAsia" w:ascii="黑体" w:hAnsi="黑体" w:eastAsia="黑体" w:cs="黑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rPr>
          <w:rFonts w:ascii="宋体" w:hAnsi="宋体"/>
          <w:sz w:val="18"/>
          <w:szCs w:val="18"/>
        </w:rPr>
      </w:pPr>
      <w:r>
        <w:rPr>
          <w:rFonts w:ascii="宋体"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sz w:val="18"/>
                <w:szCs w:val="18"/>
              </w:rPr>
            </w:pPr>
            <w:r>
              <w:rPr>
                <w:rFonts w:hint="eastAsia"/>
                <w:b/>
                <w:sz w:val="18"/>
                <w:szCs w:val="18"/>
              </w:rPr>
              <w:t>个人投资者适用</w:t>
            </w:r>
          </w:p>
        </w:tc>
        <w:tc>
          <w:tcPr>
            <w:tcW w:w="7371" w:type="dxa"/>
          </w:tcPr>
          <w:p>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pPr>
              <w:spacing w:line="360" w:lineRule="auto"/>
              <w:ind w:firstLine="361"/>
              <w:jc w:val="left"/>
              <w:rPr>
                <w:b/>
                <w:sz w:val="18"/>
                <w:szCs w:val="18"/>
              </w:rPr>
            </w:pPr>
          </w:p>
          <w:p>
            <w:pPr>
              <w:spacing w:line="360" w:lineRule="auto"/>
              <w:ind w:firstLine="360"/>
              <w:jc w:val="left"/>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sz w:val="18"/>
                <w:szCs w:val="18"/>
              </w:rPr>
            </w:pPr>
            <w:r>
              <w:rPr>
                <w:rFonts w:hint="eastAsia"/>
                <w:b/>
                <w:sz w:val="18"/>
                <w:szCs w:val="18"/>
              </w:rPr>
              <w:t>机构投资者适用</w:t>
            </w:r>
          </w:p>
        </w:tc>
        <w:tc>
          <w:tcPr>
            <w:tcW w:w="7371" w:type="dxa"/>
          </w:tcPr>
          <w:p>
            <w:pPr>
              <w:spacing w:line="360" w:lineRule="auto"/>
              <w:ind w:firstLine="360"/>
              <w:jc w:val="left"/>
              <w:rPr>
                <w:rFonts w:cs="Arial"/>
                <w:sz w:val="18"/>
                <w:szCs w:val="18"/>
              </w:rPr>
            </w:pPr>
            <w:r>
              <w:rPr>
                <w:rFonts w:hint="eastAsia"/>
                <w:sz w:val="18"/>
                <w:szCs w:val="18"/>
              </w:rPr>
              <w:t>投资者</w:t>
            </w:r>
            <w:r>
              <w:rPr>
                <w:rFonts w:hint="eastAsia" w:cs="Arial"/>
                <w:sz w:val="18"/>
                <w:szCs w:val="18"/>
              </w:rPr>
              <w:t>（盖章/线上确认）：</w:t>
            </w:r>
          </w:p>
          <w:p>
            <w:pPr>
              <w:spacing w:line="360" w:lineRule="auto"/>
              <w:ind w:firstLine="360"/>
              <w:jc w:val="left"/>
              <w:rPr>
                <w:rFonts w:cs="Arial"/>
                <w:sz w:val="18"/>
                <w:szCs w:val="18"/>
              </w:rPr>
            </w:pPr>
          </w:p>
          <w:p>
            <w:pPr>
              <w:spacing w:line="360" w:lineRule="auto"/>
              <w:ind w:firstLine="360"/>
              <w:jc w:val="left"/>
              <w:rPr>
                <w:rFonts w:cs="Arial"/>
                <w:sz w:val="18"/>
                <w:szCs w:val="18"/>
              </w:rPr>
            </w:pPr>
            <w:r>
              <w:rPr>
                <w:rFonts w:hint="eastAsia" w:cs="Arial"/>
                <w:sz w:val="18"/>
                <w:szCs w:val="18"/>
              </w:rPr>
              <w:t>投资者法定代表人或授权代理人（签名/盖章/线上确认）：</w:t>
            </w:r>
          </w:p>
          <w:p>
            <w:pPr>
              <w:spacing w:line="360" w:lineRule="auto"/>
              <w:ind w:firstLine="360"/>
              <w:jc w:val="left"/>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34</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15"/>
      <w:pBdr>
        <w:bottom w:val="none" w:color="auto" w:sz="0" w:space="0"/>
      </w:pBdr>
      <w:jc w:val="right"/>
      <w:rPr>
        <w:rFonts w:ascii="Times New Roman" w:hAnsi="Times New Roman" w:cs="Times New Roman"/>
        <w:b/>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dit="readOnly" w:enforcement="1" w:cryptProviderType="rsaFull" w:cryptAlgorithmClass="hash" w:cryptAlgorithmType="typeAny" w:cryptAlgorithmSid="4" w:cryptSpinCount="0" w:hash="vbRdCvAl/JdA0I4A/LGfU4WYnhc=" w:salt="2S1ZVbeRKpX85N9esXA6DQ=="/>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77CD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6819"/>
    <w:rsid w:val="000B7F67"/>
    <w:rsid w:val="000C31AC"/>
    <w:rsid w:val="000C3B81"/>
    <w:rsid w:val="000C69CB"/>
    <w:rsid w:val="000C6BF4"/>
    <w:rsid w:val="000C7C96"/>
    <w:rsid w:val="000D0C3A"/>
    <w:rsid w:val="000D10B1"/>
    <w:rsid w:val="000D1473"/>
    <w:rsid w:val="000D19CF"/>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063E0"/>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AA"/>
    <w:rsid w:val="001D03C8"/>
    <w:rsid w:val="001D06D0"/>
    <w:rsid w:val="001D0990"/>
    <w:rsid w:val="001D1354"/>
    <w:rsid w:val="001D1C72"/>
    <w:rsid w:val="001D1D5B"/>
    <w:rsid w:val="001D2824"/>
    <w:rsid w:val="001D2F98"/>
    <w:rsid w:val="001D3E8B"/>
    <w:rsid w:val="001D4AC9"/>
    <w:rsid w:val="001D4BC1"/>
    <w:rsid w:val="001D570A"/>
    <w:rsid w:val="001D688E"/>
    <w:rsid w:val="001E14FD"/>
    <w:rsid w:val="001E291D"/>
    <w:rsid w:val="001E461E"/>
    <w:rsid w:val="001E54CE"/>
    <w:rsid w:val="001E61BD"/>
    <w:rsid w:val="001E6BA6"/>
    <w:rsid w:val="001E6C14"/>
    <w:rsid w:val="001E70FE"/>
    <w:rsid w:val="001E77D6"/>
    <w:rsid w:val="001E794F"/>
    <w:rsid w:val="001F00E4"/>
    <w:rsid w:val="001F08F9"/>
    <w:rsid w:val="001F4671"/>
    <w:rsid w:val="001F5C9E"/>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367DD"/>
    <w:rsid w:val="00240FA8"/>
    <w:rsid w:val="00242CDB"/>
    <w:rsid w:val="0024357F"/>
    <w:rsid w:val="0024456C"/>
    <w:rsid w:val="0024625D"/>
    <w:rsid w:val="0024745C"/>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295"/>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2F7CC5"/>
    <w:rsid w:val="00301106"/>
    <w:rsid w:val="003029FF"/>
    <w:rsid w:val="0030325C"/>
    <w:rsid w:val="00304C4E"/>
    <w:rsid w:val="00304D9D"/>
    <w:rsid w:val="00306DA6"/>
    <w:rsid w:val="0031156D"/>
    <w:rsid w:val="003122D5"/>
    <w:rsid w:val="00313E17"/>
    <w:rsid w:val="003141DA"/>
    <w:rsid w:val="00317397"/>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451B"/>
    <w:rsid w:val="00387255"/>
    <w:rsid w:val="00387E86"/>
    <w:rsid w:val="00391268"/>
    <w:rsid w:val="00391BBC"/>
    <w:rsid w:val="00392F32"/>
    <w:rsid w:val="0039407B"/>
    <w:rsid w:val="00394CA1"/>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5ED1"/>
    <w:rsid w:val="003D63E6"/>
    <w:rsid w:val="003E1094"/>
    <w:rsid w:val="003E1B2D"/>
    <w:rsid w:val="003E2F07"/>
    <w:rsid w:val="003E31AA"/>
    <w:rsid w:val="003E37B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1A3C"/>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7A83"/>
    <w:rsid w:val="00450AE7"/>
    <w:rsid w:val="0045128F"/>
    <w:rsid w:val="00452527"/>
    <w:rsid w:val="00453F94"/>
    <w:rsid w:val="0045405E"/>
    <w:rsid w:val="0045524D"/>
    <w:rsid w:val="00455720"/>
    <w:rsid w:val="00455EFB"/>
    <w:rsid w:val="00455FA5"/>
    <w:rsid w:val="00456516"/>
    <w:rsid w:val="00461E0D"/>
    <w:rsid w:val="00462328"/>
    <w:rsid w:val="00462D9E"/>
    <w:rsid w:val="004636D8"/>
    <w:rsid w:val="00464878"/>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AF"/>
    <w:rsid w:val="004D5BE2"/>
    <w:rsid w:val="004D5E18"/>
    <w:rsid w:val="004D6163"/>
    <w:rsid w:val="004D6C75"/>
    <w:rsid w:val="004E17EB"/>
    <w:rsid w:val="004E1D4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7A4"/>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22CC"/>
    <w:rsid w:val="0054383E"/>
    <w:rsid w:val="00544067"/>
    <w:rsid w:val="00544689"/>
    <w:rsid w:val="005448AE"/>
    <w:rsid w:val="00544EBF"/>
    <w:rsid w:val="0054752F"/>
    <w:rsid w:val="005477FF"/>
    <w:rsid w:val="005514EA"/>
    <w:rsid w:val="0055180E"/>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A0CDE"/>
    <w:rsid w:val="005A1A2E"/>
    <w:rsid w:val="005A2814"/>
    <w:rsid w:val="005A2F58"/>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72ED"/>
    <w:rsid w:val="00617FF1"/>
    <w:rsid w:val="00620063"/>
    <w:rsid w:val="00620D75"/>
    <w:rsid w:val="00621F2C"/>
    <w:rsid w:val="00624760"/>
    <w:rsid w:val="00624F2C"/>
    <w:rsid w:val="00626BC0"/>
    <w:rsid w:val="0063051C"/>
    <w:rsid w:val="00631736"/>
    <w:rsid w:val="006328AE"/>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5773"/>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942"/>
    <w:rsid w:val="006A1579"/>
    <w:rsid w:val="006A2358"/>
    <w:rsid w:val="006A2FDF"/>
    <w:rsid w:val="006A4A8A"/>
    <w:rsid w:val="006A4B96"/>
    <w:rsid w:val="006A5309"/>
    <w:rsid w:val="006A5968"/>
    <w:rsid w:val="006A68DA"/>
    <w:rsid w:val="006A6C9E"/>
    <w:rsid w:val="006B3727"/>
    <w:rsid w:val="006B4BAA"/>
    <w:rsid w:val="006B5EEE"/>
    <w:rsid w:val="006B7BA8"/>
    <w:rsid w:val="006B7E76"/>
    <w:rsid w:val="006C19CF"/>
    <w:rsid w:val="006C3458"/>
    <w:rsid w:val="006C3815"/>
    <w:rsid w:val="006C4170"/>
    <w:rsid w:val="006C4A05"/>
    <w:rsid w:val="006C5ACD"/>
    <w:rsid w:val="006C5CB6"/>
    <w:rsid w:val="006C7218"/>
    <w:rsid w:val="006C75F7"/>
    <w:rsid w:val="006C7E9B"/>
    <w:rsid w:val="006D0BDE"/>
    <w:rsid w:val="006D0F3C"/>
    <w:rsid w:val="006D160E"/>
    <w:rsid w:val="006D3D10"/>
    <w:rsid w:val="006D4093"/>
    <w:rsid w:val="006D4430"/>
    <w:rsid w:val="006D586E"/>
    <w:rsid w:val="006D6C20"/>
    <w:rsid w:val="006D6D74"/>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17479"/>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1DF1"/>
    <w:rsid w:val="0077274B"/>
    <w:rsid w:val="00775691"/>
    <w:rsid w:val="00775E75"/>
    <w:rsid w:val="00780770"/>
    <w:rsid w:val="00783025"/>
    <w:rsid w:val="00784BFC"/>
    <w:rsid w:val="0078739B"/>
    <w:rsid w:val="0079021D"/>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721"/>
    <w:rsid w:val="007B3CAC"/>
    <w:rsid w:val="007B435B"/>
    <w:rsid w:val="007B7A50"/>
    <w:rsid w:val="007B7E70"/>
    <w:rsid w:val="007C0495"/>
    <w:rsid w:val="007C67CB"/>
    <w:rsid w:val="007D115D"/>
    <w:rsid w:val="007D1185"/>
    <w:rsid w:val="007D37FB"/>
    <w:rsid w:val="007D3AB0"/>
    <w:rsid w:val="007D3C57"/>
    <w:rsid w:val="007D6324"/>
    <w:rsid w:val="007D68C9"/>
    <w:rsid w:val="007D6F94"/>
    <w:rsid w:val="007D7B84"/>
    <w:rsid w:val="007E1F76"/>
    <w:rsid w:val="007E31AB"/>
    <w:rsid w:val="007E3453"/>
    <w:rsid w:val="007E3857"/>
    <w:rsid w:val="007E4180"/>
    <w:rsid w:val="007E4A3F"/>
    <w:rsid w:val="007E5D3B"/>
    <w:rsid w:val="007E6E94"/>
    <w:rsid w:val="007E775F"/>
    <w:rsid w:val="007F19E2"/>
    <w:rsid w:val="007F2369"/>
    <w:rsid w:val="007F2A00"/>
    <w:rsid w:val="007F2DEA"/>
    <w:rsid w:val="007F353C"/>
    <w:rsid w:val="007F42B0"/>
    <w:rsid w:val="007F557D"/>
    <w:rsid w:val="007F5D9C"/>
    <w:rsid w:val="007F66E1"/>
    <w:rsid w:val="008002FC"/>
    <w:rsid w:val="008016A7"/>
    <w:rsid w:val="00801ED9"/>
    <w:rsid w:val="00802399"/>
    <w:rsid w:val="008027C8"/>
    <w:rsid w:val="00803922"/>
    <w:rsid w:val="00804D31"/>
    <w:rsid w:val="008051DC"/>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6B26"/>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5AB"/>
    <w:rsid w:val="008740D8"/>
    <w:rsid w:val="0087506B"/>
    <w:rsid w:val="0087693A"/>
    <w:rsid w:val="00876C63"/>
    <w:rsid w:val="00876D94"/>
    <w:rsid w:val="0089069E"/>
    <w:rsid w:val="00890C79"/>
    <w:rsid w:val="008912D3"/>
    <w:rsid w:val="008914CB"/>
    <w:rsid w:val="008937B1"/>
    <w:rsid w:val="00894A43"/>
    <w:rsid w:val="00895477"/>
    <w:rsid w:val="008A15AE"/>
    <w:rsid w:val="008A1DBB"/>
    <w:rsid w:val="008A2A18"/>
    <w:rsid w:val="008A4832"/>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A6D"/>
    <w:rsid w:val="008D2BA4"/>
    <w:rsid w:val="008D45A6"/>
    <w:rsid w:val="008D4CB3"/>
    <w:rsid w:val="008D5CDB"/>
    <w:rsid w:val="008D643C"/>
    <w:rsid w:val="008D6554"/>
    <w:rsid w:val="008D7B65"/>
    <w:rsid w:val="008D7E71"/>
    <w:rsid w:val="008E0B20"/>
    <w:rsid w:val="008E584F"/>
    <w:rsid w:val="008E5E8B"/>
    <w:rsid w:val="008E6072"/>
    <w:rsid w:val="008E6640"/>
    <w:rsid w:val="008F2669"/>
    <w:rsid w:val="008F2710"/>
    <w:rsid w:val="008F432E"/>
    <w:rsid w:val="008F50BB"/>
    <w:rsid w:val="008F5567"/>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818"/>
    <w:rsid w:val="009369EF"/>
    <w:rsid w:val="00936A52"/>
    <w:rsid w:val="00940B15"/>
    <w:rsid w:val="009416D1"/>
    <w:rsid w:val="0094391C"/>
    <w:rsid w:val="00945661"/>
    <w:rsid w:val="00946996"/>
    <w:rsid w:val="0095322B"/>
    <w:rsid w:val="0095360A"/>
    <w:rsid w:val="009559EB"/>
    <w:rsid w:val="009604D5"/>
    <w:rsid w:val="009618D2"/>
    <w:rsid w:val="009626CA"/>
    <w:rsid w:val="00962D06"/>
    <w:rsid w:val="00963402"/>
    <w:rsid w:val="00964835"/>
    <w:rsid w:val="00966868"/>
    <w:rsid w:val="00966917"/>
    <w:rsid w:val="00967387"/>
    <w:rsid w:val="009709AB"/>
    <w:rsid w:val="00971FD5"/>
    <w:rsid w:val="0097223A"/>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2BE5"/>
    <w:rsid w:val="009A418D"/>
    <w:rsid w:val="009A520C"/>
    <w:rsid w:val="009A75FE"/>
    <w:rsid w:val="009B137E"/>
    <w:rsid w:val="009B2144"/>
    <w:rsid w:val="009B2D08"/>
    <w:rsid w:val="009B6315"/>
    <w:rsid w:val="009B6C73"/>
    <w:rsid w:val="009C1A02"/>
    <w:rsid w:val="009C4645"/>
    <w:rsid w:val="009C59F9"/>
    <w:rsid w:val="009C63B1"/>
    <w:rsid w:val="009C6C6F"/>
    <w:rsid w:val="009D0173"/>
    <w:rsid w:val="009D0895"/>
    <w:rsid w:val="009D21F6"/>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714"/>
    <w:rsid w:val="00AB3C03"/>
    <w:rsid w:val="00AB50AF"/>
    <w:rsid w:val="00AB52EA"/>
    <w:rsid w:val="00AB5EF6"/>
    <w:rsid w:val="00AB7B14"/>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52E7"/>
    <w:rsid w:val="00AE68F6"/>
    <w:rsid w:val="00AE6E54"/>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22517"/>
    <w:rsid w:val="00B2293D"/>
    <w:rsid w:val="00B2353C"/>
    <w:rsid w:val="00B272BE"/>
    <w:rsid w:val="00B27737"/>
    <w:rsid w:val="00B27A14"/>
    <w:rsid w:val="00B32C84"/>
    <w:rsid w:val="00B33E5E"/>
    <w:rsid w:val="00B34D85"/>
    <w:rsid w:val="00B3567F"/>
    <w:rsid w:val="00B3710C"/>
    <w:rsid w:val="00B37FE3"/>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2E6F"/>
    <w:rsid w:val="00BC3D6F"/>
    <w:rsid w:val="00BC4C6A"/>
    <w:rsid w:val="00BC57F5"/>
    <w:rsid w:val="00BC782B"/>
    <w:rsid w:val="00BD18DC"/>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6A10"/>
    <w:rsid w:val="00BF757A"/>
    <w:rsid w:val="00C017FF"/>
    <w:rsid w:val="00C01FBD"/>
    <w:rsid w:val="00C02090"/>
    <w:rsid w:val="00C022E9"/>
    <w:rsid w:val="00C03970"/>
    <w:rsid w:val="00C04AA0"/>
    <w:rsid w:val="00C060B9"/>
    <w:rsid w:val="00C06806"/>
    <w:rsid w:val="00C069F3"/>
    <w:rsid w:val="00C0746C"/>
    <w:rsid w:val="00C07ED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65C"/>
    <w:rsid w:val="00C368EE"/>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047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406"/>
    <w:rsid w:val="00D2384D"/>
    <w:rsid w:val="00D25869"/>
    <w:rsid w:val="00D25AC0"/>
    <w:rsid w:val="00D25C0A"/>
    <w:rsid w:val="00D25D86"/>
    <w:rsid w:val="00D263F1"/>
    <w:rsid w:val="00D26487"/>
    <w:rsid w:val="00D265C8"/>
    <w:rsid w:val="00D323C4"/>
    <w:rsid w:val="00D332C3"/>
    <w:rsid w:val="00D33F2B"/>
    <w:rsid w:val="00D340DB"/>
    <w:rsid w:val="00D34189"/>
    <w:rsid w:val="00D34CE8"/>
    <w:rsid w:val="00D34E19"/>
    <w:rsid w:val="00D3593A"/>
    <w:rsid w:val="00D36139"/>
    <w:rsid w:val="00D375D6"/>
    <w:rsid w:val="00D4001C"/>
    <w:rsid w:val="00D438F0"/>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1725"/>
    <w:rsid w:val="00DD4131"/>
    <w:rsid w:val="00DD4387"/>
    <w:rsid w:val="00DD5B36"/>
    <w:rsid w:val="00DD7C42"/>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016"/>
    <w:rsid w:val="00E035A1"/>
    <w:rsid w:val="00E03911"/>
    <w:rsid w:val="00E049CB"/>
    <w:rsid w:val="00E04D19"/>
    <w:rsid w:val="00E05B4C"/>
    <w:rsid w:val="00E07967"/>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2A8E"/>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638F"/>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635A"/>
    <w:rsid w:val="00EC7BA7"/>
    <w:rsid w:val="00ED0CB1"/>
    <w:rsid w:val="00ED230B"/>
    <w:rsid w:val="00ED3570"/>
    <w:rsid w:val="00ED368F"/>
    <w:rsid w:val="00ED3B71"/>
    <w:rsid w:val="00ED4A3F"/>
    <w:rsid w:val="00ED4FDE"/>
    <w:rsid w:val="00ED6D87"/>
    <w:rsid w:val="00EE1DB5"/>
    <w:rsid w:val="00EE3357"/>
    <w:rsid w:val="00EF00C9"/>
    <w:rsid w:val="00EF09C3"/>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324"/>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145A"/>
    <w:rsid w:val="00F555B0"/>
    <w:rsid w:val="00F6162A"/>
    <w:rsid w:val="00F66759"/>
    <w:rsid w:val="00F66D5C"/>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F3"/>
    <w:rsid w:val="00F9781A"/>
    <w:rsid w:val="00FA057C"/>
    <w:rsid w:val="00FA086F"/>
    <w:rsid w:val="00FA0D16"/>
    <w:rsid w:val="00FA185B"/>
    <w:rsid w:val="00FA60BF"/>
    <w:rsid w:val="00FA6883"/>
    <w:rsid w:val="00FA7405"/>
    <w:rsid w:val="00FB0D12"/>
    <w:rsid w:val="00FB1CB4"/>
    <w:rsid w:val="00FB23B5"/>
    <w:rsid w:val="00FB3D40"/>
    <w:rsid w:val="00FB44EB"/>
    <w:rsid w:val="00FB675F"/>
    <w:rsid w:val="00FC11A3"/>
    <w:rsid w:val="00FC1300"/>
    <w:rsid w:val="00FC1C93"/>
    <w:rsid w:val="00FC42A3"/>
    <w:rsid w:val="00FC4330"/>
    <w:rsid w:val="00FC55F9"/>
    <w:rsid w:val="00FC5650"/>
    <w:rsid w:val="00FC60D4"/>
    <w:rsid w:val="00FC77AE"/>
    <w:rsid w:val="00FC7D9F"/>
    <w:rsid w:val="00FD2BAD"/>
    <w:rsid w:val="00FD2F51"/>
    <w:rsid w:val="00FD330C"/>
    <w:rsid w:val="00FD3660"/>
    <w:rsid w:val="00FD484C"/>
    <w:rsid w:val="00FD49D6"/>
    <w:rsid w:val="00FD5230"/>
    <w:rsid w:val="00FD55FB"/>
    <w:rsid w:val="00FD569D"/>
    <w:rsid w:val="00FD678B"/>
    <w:rsid w:val="00FD6903"/>
    <w:rsid w:val="00FE1ADC"/>
    <w:rsid w:val="00FE225D"/>
    <w:rsid w:val="00FE4989"/>
    <w:rsid w:val="00FE56E3"/>
    <w:rsid w:val="00FE5C3E"/>
    <w:rsid w:val="00FF0A2F"/>
    <w:rsid w:val="00FF1B04"/>
    <w:rsid w:val="00FF22F8"/>
    <w:rsid w:val="01654C82"/>
    <w:rsid w:val="020A6A96"/>
    <w:rsid w:val="0356786B"/>
    <w:rsid w:val="0363781C"/>
    <w:rsid w:val="046E31C1"/>
    <w:rsid w:val="056C4F65"/>
    <w:rsid w:val="05A63346"/>
    <w:rsid w:val="06DC01DA"/>
    <w:rsid w:val="06F4696E"/>
    <w:rsid w:val="07245E56"/>
    <w:rsid w:val="08134F4F"/>
    <w:rsid w:val="0A8C1B58"/>
    <w:rsid w:val="0C023D8C"/>
    <w:rsid w:val="0C225D7B"/>
    <w:rsid w:val="0C8E2CE6"/>
    <w:rsid w:val="0CED3570"/>
    <w:rsid w:val="0E9022D3"/>
    <w:rsid w:val="0E94232E"/>
    <w:rsid w:val="0F1306D5"/>
    <w:rsid w:val="11295396"/>
    <w:rsid w:val="12242104"/>
    <w:rsid w:val="12F56293"/>
    <w:rsid w:val="15031585"/>
    <w:rsid w:val="163A1B23"/>
    <w:rsid w:val="163E2FB7"/>
    <w:rsid w:val="170213AA"/>
    <w:rsid w:val="17432A5C"/>
    <w:rsid w:val="17622796"/>
    <w:rsid w:val="17B73277"/>
    <w:rsid w:val="181C08FC"/>
    <w:rsid w:val="19B35029"/>
    <w:rsid w:val="19F32D28"/>
    <w:rsid w:val="1A48157B"/>
    <w:rsid w:val="1AAA799F"/>
    <w:rsid w:val="1B9930ED"/>
    <w:rsid w:val="1BD70953"/>
    <w:rsid w:val="1BF87698"/>
    <w:rsid w:val="1E585AB7"/>
    <w:rsid w:val="1E8075A1"/>
    <w:rsid w:val="1EB160C2"/>
    <w:rsid w:val="1FA97B1F"/>
    <w:rsid w:val="1FF145B9"/>
    <w:rsid w:val="208366E3"/>
    <w:rsid w:val="2193546F"/>
    <w:rsid w:val="26F50BA9"/>
    <w:rsid w:val="27005B64"/>
    <w:rsid w:val="27BD5E26"/>
    <w:rsid w:val="285E4249"/>
    <w:rsid w:val="29026D00"/>
    <w:rsid w:val="29AF0175"/>
    <w:rsid w:val="2B1C48C7"/>
    <w:rsid w:val="2C250729"/>
    <w:rsid w:val="2D2C1680"/>
    <w:rsid w:val="2EA644DF"/>
    <w:rsid w:val="2FB532A0"/>
    <w:rsid w:val="301261B1"/>
    <w:rsid w:val="319C4BEA"/>
    <w:rsid w:val="31E95E32"/>
    <w:rsid w:val="335D07EB"/>
    <w:rsid w:val="338472B6"/>
    <w:rsid w:val="34C829B2"/>
    <w:rsid w:val="35381804"/>
    <w:rsid w:val="36146FAD"/>
    <w:rsid w:val="372252A6"/>
    <w:rsid w:val="38051411"/>
    <w:rsid w:val="386A3F56"/>
    <w:rsid w:val="38777E2D"/>
    <w:rsid w:val="3A810EF7"/>
    <w:rsid w:val="3A842191"/>
    <w:rsid w:val="3ACF0F3F"/>
    <w:rsid w:val="3B7626CB"/>
    <w:rsid w:val="3BBD6798"/>
    <w:rsid w:val="3C3802E9"/>
    <w:rsid w:val="3DA51C15"/>
    <w:rsid w:val="3DC16BC6"/>
    <w:rsid w:val="3E586AB8"/>
    <w:rsid w:val="3E5C1B1D"/>
    <w:rsid w:val="3EAE14E9"/>
    <w:rsid w:val="3FD261A6"/>
    <w:rsid w:val="4000226E"/>
    <w:rsid w:val="407C0C49"/>
    <w:rsid w:val="427B4D59"/>
    <w:rsid w:val="42EB2F9C"/>
    <w:rsid w:val="45226963"/>
    <w:rsid w:val="45C16688"/>
    <w:rsid w:val="46C2124A"/>
    <w:rsid w:val="477C2F5C"/>
    <w:rsid w:val="499C5ED6"/>
    <w:rsid w:val="49CF7D54"/>
    <w:rsid w:val="4A192D1E"/>
    <w:rsid w:val="4BE01220"/>
    <w:rsid w:val="4D39606F"/>
    <w:rsid w:val="4D7250D6"/>
    <w:rsid w:val="4F137BD5"/>
    <w:rsid w:val="4F8E3D4D"/>
    <w:rsid w:val="53063B85"/>
    <w:rsid w:val="533C1961"/>
    <w:rsid w:val="536954A7"/>
    <w:rsid w:val="53A73648"/>
    <w:rsid w:val="53B3493A"/>
    <w:rsid w:val="54560EDE"/>
    <w:rsid w:val="5537323C"/>
    <w:rsid w:val="55855837"/>
    <w:rsid w:val="55E83741"/>
    <w:rsid w:val="56503211"/>
    <w:rsid w:val="59030ACB"/>
    <w:rsid w:val="598B567E"/>
    <w:rsid w:val="5B552306"/>
    <w:rsid w:val="5C624734"/>
    <w:rsid w:val="5C674E35"/>
    <w:rsid w:val="5E5879D5"/>
    <w:rsid w:val="5FE91ABC"/>
    <w:rsid w:val="6087016B"/>
    <w:rsid w:val="60EB32EA"/>
    <w:rsid w:val="61CF16A9"/>
    <w:rsid w:val="628E734C"/>
    <w:rsid w:val="62BD3A82"/>
    <w:rsid w:val="63261B7A"/>
    <w:rsid w:val="6580603B"/>
    <w:rsid w:val="664F0E3A"/>
    <w:rsid w:val="66A34D18"/>
    <w:rsid w:val="671D0A46"/>
    <w:rsid w:val="682A44E1"/>
    <w:rsid w:val="68C7223A"/>
    <w:rsid w:val="68EF6886"/>
    <w:rsid w:val="69867C07"/>
    <w:rsid w:val="699A6E6A"/>
    <w:rsid w:val="6AAD6877"/>
    <w:rsid w:val="6B3F3089"/>
    <w:rsid w:val="6B471612"/>
    <w:rsid w:val="6C2B2E22"/>
    <w:rsid w:val="6EAA7DFD"/>
    <w:rsid w:val="6EE25628"/>
    <w:rsid w:val="6FDD1093"/>
    <w:rsid w:val="709C0126"/>
    <w:rsid w:val="72900D31"/>
    <w:rsid w:val="757103BD"/>
    <w:rsid w:val="75AA6F46"/>
    <w:rsid w:val="76022652"/>
    <w:rsid w:val="768501BE"/>
    <w:rsid w:val="76C8601E"/>
    <w:rsid w:val="77150144"/>
    <w:rsid w:val="78D30435"/>
    <w:rsid w:val="79E61650"/>
    <w:rsid w:val="7A8C6D1C"/>
    <w:rsid w:val="7B426088"/>
    <w:rsid w:val="7BEA1CFE"/>
    <w:rsid w:val="7D803772"/>
    <w:rsid w:val="7D80556D"/>
    <w:rsid w:val="7E3713F1"/>
    <w:rsid w:val="7ED86E63"/>
    <w:rsid w:val="7F5534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E6D3D55C-3DD8-4C31-8069-E5508DD844FB}">
  <ds:schemaRefs/>
</ds:datastoreItem>
</file>

<file path=customXml/itemProps11.xml><?xml version="1.0" encoding="utf-8"?>
<ds:datastoreItem xmlns:ds="http://schemas.openxmlformats.org/officeDocument/2006/customXml" ds:itemID="{1A3BDF38-4832-4575-A8AB-7A1679738229}">
  <ds:schemaRefs/>
</ds:datastoreItem>
</file>

<file path=customXml/itemProps12.xml><?xml version="1.0" encoding="utf-8"?>
<ds:datastoreItem xmlns:ds="http://schemas.openxmlformats.org/officeDocument/2006/customXml" ds:itemID="{BEEE0313-55EB-45FA-BBBD-C0232D367255}">
  <ds:schemaRefs/>
</ds:datastoreItem>
</file>

<file path=customXml/itemProps13.xml><?xml version="1.0" encoding="utf-8"?>
<ds:datastoreItem xmlns:ds="http://schemas.openxmlformats.org/officeDocument/2006/customXml" ds:itemID="{EC45DDBE-A426-47CA-BC62-D025DE29F1BC}">
  <ds:schemaRefs/>
</ds:datastoreItem>
</file>

<file path=customXml/itemProps14.xml><?xml version="1.0" encoding="utf-8"?>
<ds:datastoreItem xmlns:ds="http://schemas.openxmlformats.org/officeDocument/2006/customXml" ds:itemID="{509BA638-9D3A-4AA3-A169-FF78BC0E4BE9}">
  <ds:schemaRefs/>
</ds:datastoreItem>
</file>

<file path=customXml/itemProps15.xml><?xml version="1.0" encoding="utf-8"?>
<ds:datastoreItem xmlns:ds="http://schemas.openxmlformats.org/officeDocument/2006/customXml" ds:itemID="{3A3C3A8D-C5E4-45AF-8B48-C3BF528808AD}">
  <ds:schemaRefs/>
</ds:datastoreItem>
</file>

<file path=customXml/itemProps16.xml><?xml version="1.0" encoding="utf-8"?>
<ds:datastoreItem xmlns:ds="http://schemas.openxmlformats.org/officeDocument/2006/customXml" ds:itemID="{1990A2D8-324F-45D5-B9CD-07245ED2860B}">
  <ds:schemaRefs/>
</ds:datastoreItem>
</file>

<file path=customXml/itemProps17.xml><?xml version="1.0" encoding="utf-8"?>
<ds:datastoreItem xmlns:ds="http://schemas.openxmlformats.org/officeDocument/2006/customXml" ds:itemID="{7E5C9D84-6DB6-48FB-8632-D5279FC233C8}">
  <ds:schemaRefs/>
</ds:datastoreItem>
</file>

<file path=customXml/itemProps18.xml><?xml version="1.0" encoding="utf-8"?>
<ds:datastoreItem xmlns:ds="http://schemas.openxmlformats.org/officeDocument/2006/customXml" ds:itemID="{CF487381-D648-48A1-B1E4-A4540B0D3650}">
  <ds:schemaRefs/>
</ds:datastoreItem>
</file>

<file path=customXml/itemProps2.xml><?xml version="1.0" encoding="utf-8"?>
<ds:datastoreItem xmlns:ds="http://schemas.openxmlformats.org/officeDocument/2006/customXml" ds:itemID="{A06CD169-7F5C-4082-81B2-6ECAA9AF6149}">
  <ds:schemaRefs/>
</ds:datastoreItem>
</file>

<file path=customXml/itemProps3.xml><?xml version="1.0" encoding="utf-8"?>
<ds:datastoreItem xmlns:ds="http://schemas.openxmlformats.org/officeDocument/2006/customXml" ds:itemID="{9114D43D-ED98-4C7B-A3AE-26D78B80CA82}">
  <ds:schemaRefs/>
</ds:datastoreItem>
</file>

<file path=customXml/itemProps4.xml><?xml version="1.0" encoding="utf-8"?>
<ds:datastoreItem xmlns:ds="http://schemas.openxmlformats.org/officeDocument/2006/customXml" ds:itemID="{AC86F3EB-DB57-4B60-8A7E-BBB67A22EE0B}">
  <ds:schemaRefs/>
</ds:datastoreItem>
</file>

<file path=customXml/itemProps5.xml><?xml version="1.0" encoding="utf-8"?>
<ds:datastoreItem xmlns:ds="http://schemas.openxmlformats.org/officeDocument/2006/customXml" ds:itemID="{0A7AA9EF-3B8C-4BAA-9155-A6E3E5337D3C}">
  <ds:schemaRefs/>
</ds:datastoreItem>
</file>

<file path=customXml/itemProps6.xml><?xml version="1.0" encoding="utf-8"?>
<ds:datastoreItem xmlns:ds="http://schemas.openxmlformats.org/officeDocument/2006/customXml" ds:itemID="{2108FF18-8EC8-4170-A536-1AA8E39CC797}">
  <ds:schemaRefs/>
</ds:datastoreItem>
</file>

<file path=customXml/itemProps7.xml><?xml version="1.0" encoding="utf-8"?>
<ds:datastoreItem xmlns:ds="http://schemas.openxmlformats.org/officeDocument/2006/customXml" ds:itemID="{79B37214-9E52-4241-8DD2-9E9CD9442006}">
  <ds:schemaRefs/>
</ds:datastoreItem>
</file>

<file path=customXml/itemProps8.xml><?xml version="1.0" encoding="utf-8"?>
<ds:datastoreItem xmlns:ds="http://schemas.openxmlformats.org/officeDocument/2006/customXml" ds:itemID="{D902962D-C8CC-43BF-804A-CD60AE6D7475}">
  <ds:schemaRefs/>
</ds:datastoreItem>
</file>

<file path=customXml/itemProps9.xml><?xml version="1.0" encoding="utf-8"?>
<ds:datastoreItem xmlns:ds="http://schemas.openxmlformats.org/officeDocument/2006/customXml" ds:itemID="{2A564346-BCA8-4B81-89B9-B65338D1A2C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39</Pages>
  <Words>4318</Words>
  <Characters>24617</Characters>
  <Lines>205</Lines>
  <Paragraphs>57</Paragraphs>
  <TotalTime>146</TotalTime>
  <ScaleCrop>false</ScaleCrop>
  <LinksUpToDate>false</LinksUpToDate>
  <CharactersWithSpaces>28878</CharactersWithSpaces>
  <Application>WPS Office_11.8.2.10154_F1E327BC-269C-435d-A152-05C5408002CA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2024-08-28T12:34:00Z</dcterms:created>
  <dc:creator>张淼雯</dc:creator>
  <cp:lastModifiedBy>cib</cp:lastModifiedBy>
  <cp:lastPrinted>2022-01-18T08:37:00Z</cp:lastPrinted>
  <dcterms:modified xsi:type="dcterms:W3CDTF">2025-12-30T05:34:59Z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5466F5ED04264CD88390FDC4DDCA6BAE</vt:lpwstr>
  </property>
</Properties>
</file>