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15</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15</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15</w:t>
            </w:r>
            <w:r>
              <w:rPr>
                <w:rFonts w:hint="eastAsia" w:ascii="仿宋" w:hAnsi="仿宋" w:eastAsia="仿宋"/>
                <w:b/>
                <w:bCs/>
                <w:szCs w:val="21"/>
              </w:rPr>
              <w:t>号</w:t>
            </w:r>
            <w:r>
              <w:rPr>
                <w:rFonts w:hint="eastAsia" w:ascii="仿宋" w:hAnsi="仿宋" w:eastAsia="仿宋"/>
                <w:b/>
                <w:bCs/>
                <w:szCs w:val="21"/>
                <w:lang w:val="en-US" w:eastAsia="zh-CN"/>
              </w:rPr>
              <w:t>455</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15</w:t>
            </w:r>
            <w:r>
              <w:rPr>
                <w:rFonts w:hint="eastAsia" w:ascii="仿宋" w:hAnsi="仿宋" w:eastAsia="仿宋"/>
                <w:b/>
                <w:bCs/>
                <w:szCs w:val="21"/>
              </w:rPr>
              <w:t>号</w:t>
            </w:r>
            <w:r>
              <w:rPr>
                <w:rFonts w:hint="eastAsia" w:ascii="仿宋" w:hAnsi="仿宋" w:eastAsia="仿宋"/>
                <w:b/>
                <w:bCs/>
                <w:szCs w:val="21"/>
                <w:lang w:val="en-US" w:eastAsia="zh-CN"/>
              </w:rPr>
              <w:t>455</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15</w:t>
            </w:r>
            <w:r>
              <w:rPr>
                <w:rFonts w:hint="eastAsia" w:ascii="仿宋" w:hAnsi="仿宋" w:eastAsia="仿宋"/>
                <w:b/>
                <w:bCs/>
                <w:szCs w:val="21"/>
              </w:rPr>
              <w:t>号</w:t>
            </w:r>
            <w:r>
              <w:rPr>
                <w:rFonts w:hint="eastAsia" w:ascii="仿宋" w:hAnsi="仿宋" w:eastAsia="仿宋"/>
                <w:b/>
                <w:bCs/>
                <w:szCs w:val="21"/>
                <w:lang w:val="en-US" w:eastAsia="zh-CN"/>
              </w:rPr>
              <w:t>455</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D份额</w:t>
            </w:r>
            <w:r>
              <w:rPr>
                <w:rFonts w:hint="eastAsia" w:ascii="仿宋" w:hAnsi="仿宋" w:eastAsia="仿宋"/>
                <w:b/>
                <w:bCs/>
                <w:szCs w:val="21"/>
              </w:rPr>
              <w:t>简称：“华夏理财固收债权封闭式</w:t>
            </w:r>
            <w:r>
              <w:rPr>
                <w:rFonts w:hint="eastAsia" w:ascii="仿宋" w:hAnsi="仿宋" w:eastAsia="仿宋"/>
                <w:b/>
                <w:bCs/>
                <w:szCs w:val="21"/>
                <w:lang w:val="en-US" w:eastAsia="zh-CN"/>
              </w:rPr>
              <w:t>15</w:t>
            </w:r>
            <w:r>
              <w:rPr>
                <w:rFonts w:hint="eastAsia" w:ascii="仿宋" w:hAnsi="仿宋" w:eastAsia="仿宋"/>
                <w:b/>
                <w:bCs/>
                <w:szCs w:val="21"/>
              </w:rPr>
              <w:t>号</w:t>
            </w:r>
            <w:r>
              <w:rPr>
                <w:rFonts w:hint="eastAsia" w:ascii="仿宋" w:hAnsi="仿宋" w:eastAsia="仿宋"/>
                <w:b/>
                <w:bCs/>
                <w:szCs w:val="21"/>
                <w:lang w:val="en-US" w:eastAsia="zh-CN"/>
              </w:rPr>
              <w:t>455</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22121015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color w:val="auto"/>
                <w:kern w:val="2"/>
                <w:sz w:val="21"/>
                <w:szCs w:val="21"/>
                <w:lang w:val="en-US" w:eastAsia="zh-CN" w:bidi="ar-SA"/>
              </w:rPr>
            </w:pPr>
            <w:r>
              <w:rPr>
                <w:rFonts w:hint="eastAsia" w:ascii="仿宋" w:hAnsi="仿宋" w:eastAsia="仿宋"/>
                <w:bCs/>
                <w:color w:val="auto"/>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A</w:t>
            </w:r>
            <w:r>
              <w:rPr>
                <w:rFonts w:hint="eastAsia" w:ascii="仿宋" w:hAnsi="仿宋" w:eastAsia="仿宋"/>
                <w:bCs/>
                <w:color w:val="auto"/>
                <w:szCs w:val="21"/>
              </w:rPr>
              <w:t>份额代码：</w:t>
            </w:r>
            <w:r>
              <w:rPr>
                <w:rFonts w:hint="eastAsia" w:ascii="仿宋" w:hAnsi="仿宋" w:eastAsia="仿宋"/>
                <w:bCs/>
                <w:szCs w:val="21"/>
              </w:rPr>
              <w:t>22121015</w:t>
            </w:r>
            <w:r>
              <w:rPr>
                <w:rFonts w:hint="eastAsia" w:ascii="仿宋" w:hAnsi="仿宋" w:eastAsia="仿宋"/>
                <w:bCs/>
                <w:color w:val="auto"/>
                <w:szCs w:val="21"/>
                <w:lang w:val="en-US" w:eastAsia="zh-CN"/>
              </w:rPr>
              <w:t>A</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B</w:t>
            </w:r>
            <w:r>
              <w:rPr>
                <w:rFonts w:hint="eastAsia" w:ascii="仿宋" w:hAnsi="仿宋" w:eastAsia="仿宋"/>
                <w:bCs/>
                <w:color w:val="auto"/>
                <w:szCs w:val="21"/>
              </w:rPr>
              <w:t>份额代码：</w:t>
            </w:r>
            <w:r>
              <w:rPr>
                <w:rFonts w:hint="eastAsia" w:ascii="仿宋" w:hAnsi="仿宋" w:eastAsia="仿宋"/>
                <w:bCs/>
                <w:szCs w:val="21"/>
              </w:rPr>
              <w:t>22121015</w:t>
            </w:r>
            <w:r>
              <w:rPr>
                <w:rFonts w:hint="eastAsia" w:ascii="仿宋" w:hAnsi="仿宋" w:eastAsia="仿宋"/>
                <w:bCs/>
                <w:color w:val="auto"/>
                <w:szCs w:val="21"/>
                <w:lang w:val="en-US" w:eastAsia="zh-CN"/>
              </w:rPr>
              <w:t>B</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C</w:t>
            </w:r>
            <w:r>
              <w:rPr>
                <w:rFonts w:hint="eastAsia" w:ascii="仿宋" w:hAnsi="仿宋" w:eastAsia="仿宋"/>
                <w:bCs/>
                <w:color w:val="auto"/>
                <w:szCs w:val="21"/>
              </w:rPr>
              <w:t>份额代码：</w:t>
            </w:r>
            <w:r>
              <w:rPr>
                <w:rFonts w:hint="eastAsia" w:ascii="仿宋" w:hAnsi="仿宋" w:eastAsia="仿宋"/>
                <w:bCs/>
                <w:szCs w:val="21"/>
              </w:rPr>
              <w:t>22121015</w:t>
            </w:r>
            <w:r>
              <w:rPr>
                <w:rFonts w:hint="eastAsia" w:ascii="仿宋" w:hAnsi="仿宋" w:eastAsia="仿宋"/>
                <w:bCs/>
                <w:color w:val="auto"/>
                <w:szCs w:val="21"/>
                <w:lang w:val="en-US" w:eastAsia="zh-CN"/>
              </w:rPr>
              <w:t>C</w:t>
            </w:r>
          </w:p>
          <w:p>
            <w:pPr>
              <w:adjustRightInd w:val="0"/>
              <w:snapToGrid w:val="0"/>
              <w:spacing w:line="300" w:lineRule="exact"/>
              <w:jc w:val="center"/>
              <w:rPr>
                <w:rFonts w:hint="eastAsia" w:ascii="仿宋" w:hAnsi="仿宋" w:eastAsia="仿宋" w:cs="Times New Roman"/>
                <w:bCs/>
                <w:color w:val="auto"/>
                <w:kern w:val="2"/>
                <w:sz w:val="21"/>
                <w:szCs w:val="21"/>
                <w:lang w:val="en-US" w:eastAsia="zh-CN" w:bidi="ar-SA"/>
              </w:rPr>
            </w:pPr>
            <w:r>
              <w:rPr>
                <w:rFonts w:hint="eastAsia" w:ascii="仿宋" w:hAnsi="仿宋" w:eastAsia="仿宋"/>
                <w:bCs/>
                <w:color w:val="auto"/>
                <w:szCs w:val="21"/>
                <w:lang w:val="en-US" w:eastAsia="zh-CN"/>
              </w:rPr>
              <w:t>D</w:t>
            </w:r>
            <w:r>
              <w:rPr>
                <w:rFonts w:hint="eastAsia" w:ascii="仿宋" w:hAnsi="仿宋" w:eastAsia="仿宋"/>
                <w:bCs/>
                <w:color w:val="auto"/>
                <w:szCs w:val="21"/>
              </w:rPr>
              <w:t>份额代码：</w:t>
            </w:r>
            <w:r>
              <w:rPr>
                <w:rFonts w:hint="eastAsia" w:ascii="仿宋" w:hAnsi="仿宋" w:eastAsia="仿宋"/>
                <w:bCs/>
                <w:szCs w:val="21"/>
              </w:rPr>
              <w:t>22121015</w:t>
            </w:r>
            <w:r>
              <w:rPr>
                <w:rFonts w:hint="eastAsia" w:ascii="仿宋" w:hAnsi="仿宋" w:eastAsia="仿宋"/>
                <w:bCs/>
                <w:color w:val="auto"/>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Z7003922000114</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4.00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3.90</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3.85</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3.75</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szCs w:val="21"/>
              </w:rPr>
              <w:t>以产品投资信用债仓位60%-</w:t>
            </w:r>
            <w:r>
              <w:rPr>
                <w:rFonts w:hint="eastAsia" w:ascii="仿宋" w:hAnsi="仿宋" w:eastAsia="仿宋" w:cs="Cambria"/>
                <w:bCs/>
                <w:szCs w:val="21"/>
                <w:lang w:val="en-US" w:eastAsia="zh-CN"/>
              </w:rPr>
              <w:t>9</w:t>
            </w:r>
            <w:r>
              <w:rPr>
                <w:rFonts w:hint="eastAsia" w:ascii="仿宋" w:hAnsi="仿宋" w:eastAsia="仿宋" w:cs="Cambria"/>
                <w:bCs/>
                <w:szCs w:val="21"/>
              </w:rPr>
              <w:t>0%，非标债权类资产仓位10%-40%，组合杠杆率100%-120%为例，参考剩余期限匹配的目标债券到期收益率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455</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24</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 xml:space="preserve">    A</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05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15</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20</w:t>
            </w:r>
            <w:r>
              <w:rPr>
                <w:rFonts w:hint="eastAsia" w:ascii="仿宋" w:hAnsi="仿宋" w:eastAsia="仿宋"/>
                <w:bCs/>
                <w:color w:val="auto"/>
                <w:szCs w:val="21"/>
              </w:rPr>
              <w:t>%/年，以前一日资产净值为基数，每日计提。</w:t>
            </w:r>
          </w:p>
          <w:p>
            <w:pPr>
              <w:adjustRightInd w:val="0"/>
              <w:snapToGrid w:val="0"/>
              <w:spacing w:line="300" w:lineRule="exact"/>
              <w:ind w:firstLine="420"/>
              <w:jc w:val="left"/>
              <w:rPr>
                <w:rFonts w:hint="eastAsia" w:ascii="仿宋" w:hAnsi="仿宋" w:eastAsia="仿宋"/>
                <w:bCs/>
                <w:szCs w:val="21"/>
                <w:lang w:val="en-US" w:eastAsia="zh-CN"/>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销售</w:t>
            </w:r>
            <w:r>
              <w:rPr>
                <w:rFonts w:ascii="仿宋" w:hAnsi="仿宋" w:eastAsia="仿宋"/>
                <w:bCs/>
                <w:color w:val="auto"/>
                <w:szCs w:val="21"/>
              </w:rPr>
              <w:t>手续费率</w:t>
            </w:r>
            <w:r>
              <w:rPr>
                <w:rFonts w:hint="eastAsia" w:ascii="仿宋" w:hAnsi="仿宋" w:eastAsia="仿宋"/>
                <w:bCs/>
                <w:color w:val="auto"/>
                <w:szCs w:val="21"/>
              </w:rPr>
              <w:t>为</w:t>
            </w:r>
            <w:r>
              <w:rPr>
                <w:rFonts w:ascii="仿宋" w:hAnsi="仿宋" w:eastAsia="仿宋"/>
                <w:bCs/>
                <w:color w:val="auto"/>
                <w:szCs w:val="21"/>
              </w:rPr>
              <w:t>0.</w:t>
            </w:r>
            <w:r>
              <w:rPr>
                <w:rFonts w:hint="eastAsia" w:ascii="仿宋" w:hAnsi="仿宋" w:eastAsia="仿宋"/>
                <w:bCs/>
                <w:color w:val="auto"/>
                <w:szCs w:val="21"/>
                <w:lang w:val="en-US" w:eastAsia="zh-CN"/>
              </w:rPr>
              <w:t>30</w:t>
            </w:r>
            <w:r>
              <w:rPr>
                <w:rFonts w:hint="eastAsia" w:ascii="仿宋" w:hAnsi="仿宋" w:eastAsia="仿宋"/>
                <w:bCs/>
                <w:color w:val="auto"/>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eastAsia="zh-CN"/>
              </w:rPr>
              <w:t>各份额销售手续费</w:t>
            </w:r>
            <w:r>
              <w:rPr>
                <w:rFonts w:hint="eastAsia" w:ascii="仿宋" w:hAnsi="仿宋" w:eastAsia="仿宋"/>
                <w:bCs/>
                <w:szCs w:val="21"/>
              </w:rPr>
              <w:t>】</w:t>
            </w:r>
            <w:r>
              <w:rPr>
                <w:rFonts w:hint="eastAsia" w:ascii="仿宋" w:hAnsi="仿宋" w:eastAsia="仿宋"/>
                <w:szCs w:val="21"/>
              </w:rPr>
              <w:t>/</w:t>
            </w:r>
            <w:bookmarkStart w:id="7" w:name="_GoBack"/>
            <w:bookmarkEnd w:id="7"/>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cs="Cambria"/>
                <w:bCs/>
                <w:color w:val="auto"/>
                <w:szCs w:val="21"/>
                <w:lang w:val="en-US" w:eastAsia="zh-CN"/>
              </w:rPr>
              <w:t>4.00</w:t>
            </w:r>
            <w:r>
              <w:rPr>
                <w:rFonts w:hint="eastAsia" w:ascii="仿宋" w:hAnsi="仿宋" w:eastAsia="仿宋"/>
                <w:bCs/>
                <w:color w:val="auto"/>
                <w:szCs w:val="21"/>
              </w:rPr>
              <w:t>%，则管理人不收取超额管理费；超过</w:t>
            </w:r>
            <w:r>
              <w:rPr>
                <w:rFonts w:hint="eastAsia" w:ascii="仿宋" w:hAnsi="仿宋" w:eastAsia="仿宋" w:cs="Cambria"/>
                <w:bCs/>
                <w:color w:val="auto"/>
                <w:szCs w:val="21"/>
                <w:lang w:val="en-US" w:eastAsia="zh-CN"/>
              </w:rPr>
              <w:t>4.00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3.90</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3.90</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3.85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3.85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hint="eastAsia" w:ascii="仿宋" w:hAnsi="仿宋" w:eastAsia="仿宋"/>
                <w:bCs/>
                <w:color w:val="auto"/>
                <w:szCs w:val="21"/>
              </w:rPr>
              <w:t>扣除各项费用（包括销售手续费、托管费、固定管理费及</w:t>
            </w:r>
            <w:r>
              <w:rPr>
                <w:rFonts w:ascii="仿宋" w:hAnsi="仿宋" w:eastAsia="仿宋"/>
                <w:bCs/>
                <w:color w:val="auto"/>
                <w:szCs w:val="21"/>
              </w:rPr>
              <w:t>其他费用</w:t>
            </w:r>
            <w:r>
              <w:rPr>
                <w:rFonts w:hint="eastAsia" w:ascii="仿宋" w:hAnsi="仿宋" w:eastAsia="仿宋"/>
                <w:bCs/>
                <w:color w:val="auto"/>
                <w:szCs w:val="21"/>
              </w:rPr>
              <w:t>等）后，产品实现的年化收益率低于或等于</w:t>
            </w:r>
            <w:r>
              <w:rPr>
                <w:rFonts w:hint="eastAsia" w:ascii="仿宋" w:hAnsi="仿宋" w:eastAsia="仿宋"/>
                <w:bCs/>
                <w:color w:val="auto"/>
                <w:szCs w:val="21"/>
                <w:lang w:val="en-US" w:eastAsia="zh-CN"/>
              </w:rPr>
              <w:t>3.75</w:t>
            </w:r>
            <w:r>
              <w:rPr>
                <w:rFonts w:hint="eastAsia" w:ascii="仿宋" w:hAnsi="仿宋" w:eastAsia="仿宋"/>
                <w:bCs/>
                <w:color w:val="auto"/>
                <w:szCs w:val="21"/>
              </w:rPr>
              <w:t>%，则管理人不收取超额管理费；超过</w:t>
            </w:r>
            <w:r>
              <w:rPr>
                <w:rFonts w:hint="eastAsia" w:ascii="仿宋" w:hAnsi="仿宋" w:eastAsia="仿宋"/>
                <w:bCs/>
                <w:color w:val="auto"/>
                <w:szCs w:val="21"/>
                <w:lang w:val="en-US" w:eastAsia="zh-CN"/>
              </w:rPr>
              <w:t>3.75</w:t>
            </w:r>
            <w:r>
              <w:rPr>
                <w:rFonts w:hint="eastAsia" w:ascii="仿宋" w:hAnsi="仿宋" w:eastAsia="仿宋"/>
                <w:bCs/>
                <w:color w:val="auto"/>
                <w:szCs w:val="21"/>
              </w:rPr>
              <w:t>%的部分，50</w:t>
            </w:r>
            <w:r>
              <w:rPr>
                <w:rFonts w:ascii="仿宋" w:hAnsi="仿宋" w:eastAsia="仿宋"/>
                <w:bCs/>
                <w:color w:val="auto"/>
                <w:szCs w:val="21"/>
              </w:rPr>
              <w:t>%</w:t>
            </w:r>
            <w:r>
              <w:rPr>
                <w:rFonts w:hint="eastAsia" w:ascii="仿宋" w:hAnsi="仿宋" w:eastAsia="仿宋"/>
                <w:bCs/>
                <w:color w:val="auto"/>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8"/>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20" w:firstLineChars="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2</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w:t>
      </w:r>
      <w:r>
        <w:rPr>
          <w:rFonts w:hint="eastAsia" w:ascii="仿宋" w:hAnsi="仿宋" w:eastAsia="仿宋"/>
          <w:color w:val="auto"/>
          <w:lang w:eastAsia="zh-CN"/>
        </w:rPr>
        <w:t>计提</w:t>
      </w:r>
      <w:r>
        <w:rPr>
          <w:rFonts w:hint="eastAsia" w:ascii="仿宋" w:hAnsi="仿宋" w:eastAsia="仿宋"/>
          <w:color w:val="auto"/>
        </w:rPr>
        <w:t>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B20439"/>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TotalTime>5</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hxlcwangyuehui</cp:lastModifiedBy>
  <cp:lastPrinted>2021-07-21T07:06:00Z</cp:lastPrinted>
  <dcterms:modified xsi:type="dcterms:W3CDTF">2022-12-09T01:01:21Z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7FD58229F76F425C97CE679FD6D5D50E</vt:lpwstr>
  </property>
</Properties>
</file>