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华夏理财固定收益增强型精选封闭式理财产品</w:t>
      </w:r>
      <w:r>
        <w:rPr>
          <w:rFonts w:hint="eastAsia" w:eastAsia="黑体"/>
          <w:bCs/>
          <w:sz w:val="36"/>
          <w:szCs w:val="36"/>
          <w:lang w:val="en-US" w:eastAsia="zh-CN"/>
        </w:rPr>
        <w:t>18</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color w:val="auto"/>
                <w:szCs w:val="21"/>
              </w:rPr>
            </w:pPr>
            <w:r>
              <w:rPr>
                <w:rFonts w:hint="eastAsia" w:ascii="仿宋" w:hAnsi="仿宋" w:eastAsia="仿宋"/>
                <w:b/>
                <w:bCs/>
                <w:color w:val="auto"/>
                <w:szCs w:val="21"/>
              </w:rPr>
              <w:t>华夏理财固定收益增强型精选封闭式理财产品</w:t>
            </w:r>
            <w:r>
              <w:rPr>
                <w:rFonts w:hint="eastAsia" w:ascii="仿宋" w:hAnsi="仿宋" w:eastAsia="仿宋"/>
                <w:b/>
                <w:bCs/>
                <w:color w:val="auto"/>
                <w:szCs w:val="21"/>
                <w:lang w:val="en-US" w:eastAsia="zh-CN"/>
              </w:rPr>
              <w:t>18</w:t>
            </w:r>
            <w:r>
              <w:rPr>
                <w:rFonts w:hint="eastAsia" w:ascii="仿宋" w:hAnsi="仿宋" w:eastAsia="仿宋"/>
                <w:b/>
                <w:bCs/>
                <w:color w:val="auto"/>
                <w:szCs w:val="21"/>
              </w:rPr>
              <w:t>号</w:t>
            </w:r>
          </w:p>
          <w:p>
            <w:pPr>
              <w:adjustRightInd w:val="0"/>
              <w:snapToGrid w:val="0"/>
              <w:spacing w:line="300" w:lineRule="exact"/>
              <w:jc w:val="center"/>
              <w:rPr>
                <w:rFonts w:hint="eastAsia" w:ascii="仿宋" w:hAnsi="仿宋" w:eastAsia="仿宋"/>
                <w:b/>
                <w:bCs/>
                <w:color w:val="auto"/>
                <w:szCs w:val="21"/>
                <w:lang w:val="en-US" w:eastAsia="zh-CN"/>
              </w:rPr>
            </w:pPr>
            <w:r>
              <w:rPr>
                <w:rFonts w:hint="eastAsia" w:ascii="仿宋" w:hAnsi="仿宋" w:eastAsia="仿宋"/>
                <w:b/>
                <w:bCs/>
                <w:color w:val="auto"/>
                <w:szCs w:val="21"/>
                <w:lang w:val="en-US" w:eastAsia="zh-CN"/>
              </w:rPr>
              <w:t>A</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18</w:t>
            </w:r>
            <w:r>
              <w:rPr>
                <w:rFonts w:hint="eastAsia" w:ascii="仿宋" w:hAnsi="仿宋" w:eastAsia="仿宋"/>
                <w:b/>
                <w:bCs/>
                <w:color w:val="auto"/>
                <w:szCs w:val="21"/>
              </w:rPr>
              <w:t>号</w:t>
            </w:r>
            <w:r>
              <w:rPr>
                <w:rFonts w:hint="eastAsia" w:ascii="仿宋" w:hAnsi="仿宋" w:eastAsia="仿宋"/>
                <w:b/>
                <w:bCs/>
                <w:color w:val="auto"/>
                <w:szCs w:val="21"/>
                <w:lang w:val="en-US" w:eastAsia="zh-CN"/>
              </w:rPr>
              <w:t>390</w:t>
            </w:r>
            <w:r>
              <w:rPr>
                <w:rFonts w:hint="eastAsia" w:ascii="仿宋" w:hAnsi="仿宋" w:eastAsia="仿宋"/>
                <w:b/>
                <w:bCs/>
                <w:color w:val="auto"/>
                <w:szCs w:val="21"/>
              </w:rPr>
              <w:t>天</w:t>
            </w:r>
            <w:r>
              <w:rPr>
                <w:rFonts w:hint="eastAsia" w:ascii="仿宋" w:hAnsi="仿宋" w:eastAsia="仿宋"/>
                <w:b/>
                <w:bCs/>
                <w:color w:val="auto"/>
                <w:szCs w:val="21"/>
                <w:lang w:val="en-US" w:eastAsia="zh-CN"/>
              </w:rPr>
              <w:t>A</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B</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18</w:t>
            </w:r>
            <w:r>
              <w:rPr>
                <w:rFonts w:hint="eastAsia" w:ascii="仿宋" w:hAnsi="仿宋" w:eastAsia="仿宋"/>
                <w:b/>
                <w:bCs/>
                <w:color w:val="auto"/>
                <w:szCs w:val="21"/>
              </w:rPr>
              <w:t>号</w:t>
            </w:r>
            <w:r>
              <w:rPr>
                <w:rFonts w:hint="eastAsia" w:ascii="仿宋" w:hAnsi="仿宋" w:eastAsia="仿宋"/>
                <w:b/>
                <w:bCs/>
                <w:color w:val="auto"/>
                <w:szCs w:val="21"/>
                <w:lang w:val="en-US" w:eastAsia="zh-CN"/>
              </w:rPr>
              <w:t>390</w:t>
            </w:r>
            <w:r>
              <w:rPr>
                <w:rFonts w:hint="eastAsia" w:ascii="仿宋" w:hAnsi="仿宋" w:eastAsia="仿宋"/>
                <w:b/>
                <w:bCs/>
                <w:color w:val="auto"/>
                <w:szCs w:val="21"/>
              </w:rPr>
              <w:t>天</w:t>
            </w:r>
            <w:r>
              <w:rPr>
                <w:rFonts w:hint="eastAsia" w:ascii="仿宋" w:hAnsi="仿宋" w:eastAsia="仿宋"/>
                <w:b/>
                <w:bCs/>
                <w:color w:val="auto"/>
                <w:szCs w:val="21"/>
                <w:lang w:val="en-US" w:eastAsia="zh-CN"/>
              </w:rPr>
              <w:t>B</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C</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18</w:t>
            </w:r>
            <w:r>
              <w:rPr>
                <w:rFonts w:hint="eastAsia" w:ascii="仿宋" w:hAnsi="仿宋" w:eastAsia="仿宋"/>
                <w:b/>
                <w:bCs/>
                <w:color w:val="auto"/>
                <w:szCs w:val="21"/>
              </w:rPr>
              <w:t>号</w:t>
            </w:r>
            <w:r>
              <w:rPr>
                <w:rFonts w:hint="eastAsia" w:ascii="仿宋" w:hAnsi="仿宋" w:eastAsia="仿宋"/>
                <w:b/>
                <w:bCs/>
                <w:color w:val="auto"/>
                <w:szCs w:val="21"/>
                <w:lang w:val="en-US" w:eastAsia="zh-CN"/>
              </w:rPr>
              <w:t>390</w:t>
            </w:r>
            <w:r>
              <w:rPr>
                <w:rFonts w:hint="eastAsia" w:ascii="仿宋" w:hAnsi="仿宋" w:eastAsia="仿宋"/>
                <w:b/>
                <w:bCs/>
                <w:color w:val="auto"/>
                <w:szCs w:val="21"/>
              </w:rPr>
              <w:t>天</w:t>
            </w:r>
            <w:r>
              <w:rPr>
                <w:rFonts w:hint="eastAsia" w:ascii="仿宋" w:hAnsi="仿宋" w:eastAsia="仿宋"/>
                <w:b/>
                <w:bCs/>
                <w:color w:val="auto"/>
                <w:szCs w:val="21"/>
                <w:lang w:val="en-US" w:eastAsia="zh-CN"/>
              </w:rPr>
              <w:t>C</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D</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18</w:t>
            </w:r>
            <w:r>
              <w:rPr>
                <w:rFonts w:hint="eastAsia" w:ascii="仿宋" w:hAnsi="仿宋" w:eastAsia="仿宋"/>
                <w:b/>
                <w:bCs/>
                <w:color w:val="auto"/>
                <w:szCs w:val="21"/>
              </w:rPr>
              <w:t>号</w:t>
            </w:r>
            <w:r>
              <w:rPr>
                <w:rFonts w:hint="eastAsia" w:ascii="仿宋" w:hAnsi="仿宋" w:eastAsia="仿宋"/>
                <w:b/>
                <w:bCs/>
                <w:color w:val="auto"/>
                <w:szCs w:val="21"/>
                <w:lang w:val="en-US" w:eastAsia="zh-CN"/>
              </w:rPr>
              <w:t>390</w:t>
            </w:r>
            <w:r>
              <w:rPr>
                <w:rFonts w:hint="eastAsia" w:ascii="仿宋" w:hAnsi="仿宋" w:eastAsia="仿宋"/>
                <w:b/>
                <w:bCs/>
                <w:color w:val="auto"/>
                <w:szCs w:val="21"/>
              </w:rPr>
              <w:t>天</w:t>
            </w:r>
            <w:r>
              <w:rPr>
                <w:rFonts w:hint="eastAsia" w:ascii="仿宋" w:hAnsi="仿宋" w:eastAsia="仿宋"/>
                <w:b/>
                <w:bCs/>
                <w:color w:val="auto"/>
                <w:szCs w:val="21"/>
                <w:lang w:val="en-US" w:eastAsia="zh-CN"/>
              </w:rPr>
              <w:t>D</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E</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18</w:t>
            </w:r>
            <w:r>
              <w:rPr>
                <w:rFonts w:hint="eastAsia" w:ascii="仿宋" w:hAnsi="仿宋" w:eastAsia="仿宋"/>
                <w:b/>
                <w:bCs/>
                <w:color w:val="auto"/>
                <w:szCs w:val="21"/>
              </w:rPr>
              <w:t>号</w:t>
            </w:r>
            <w:r>
              <w:rPr>
                <w:rFonts w:hint="eastAsia" w:ascii="仿宋" w:hAnsi="仿宋" w:eastAsia="仿宋"/>
                <w:b/>
                <w:bCs/>
                <w:color w:val="auto"/>
                <w:szCs w:val="21"/>
                <w:lang w:val="en-US" w:eastAsia="zh-CN"/>
              </w:rPr>
              <w:t>390</w:t>
            </w:r>
            <w:r>
              <w:rPr>
                <w:rFonts w:hint="eastAsia" w:ascii="仿宋" w:hAnsi="仿宋" w:eastAsia="仿宋"/>
                <w:b/>
                <w:bCs/>
                <w:color w:val="auto"/>
                <w:szCs w:val="21"/>
              </w:rPr>
              <w:t>天</w:t>
            </w:r>
            <w:r>
              <w:rPr>
                <w:rFonts w:hint="eastAsia" w:ascii="仿宋" w:hAnsi="仿宋" w:eastAsia="仿宋"/>
                <w:b/>
                <w:bCs/>
                <w:color w:val="auto"/>
                <w:szCs w:val="21"/>
                <w:lang w:val="en-US" w:eastAsia="zh-CN"/>
              </w:rPr>
              <w:t>E</w:t>
            </w:r>
            <w:r>
              <w:rPr>
                <w:rFonts w:hint="eastAsia" w:ascii="仿宋" w:hAnsi="仿宋" w:eastAsia="仿宋"/>
                <w:b/>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6"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22151018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A</w:t>
            </w:r>
            <w:r>
              <w:rPr>
                <w:rFonts w:hint="eastAsia" w:ascii="仿宋" w:hAnsi="仿宋" w:eastAsia="仿宋"/>
                <w:bCs/>
                <w:color w:val="auto"/>
                <w:szCs w:val="21"/>
              </w:rPr>
              <w:t>份额代码：22151018</w:t>
            </w:r>
            <w:r>
              <w:rPr>
                <w:rFonts w:hint="eastAsia" w:ascii="仿宋" w:hAnsi="仿宋" w:eastAsia="仿宋"/>
                <w:bCs/>
                <w:color w:val="auto"/>
                <w:szCs w:val="21"/>
                <w:lang w:val="en-US" w:eastAsia="zh-CN"/>
              </w:rPr>
              <w:t>A</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B</w:t>
            </w:r>
            <w:r>
              <w:rPr>
                <w:rFonts w:hint="eastAsia" w:ascii="仿宋" w:hAnsi="仿宋" w:eastAsia="仿宋"/>
                <w:bCs/>
                <w:color w:val="auto"/>
                <w:szCs w:val="21"/>
              </w:rPr>
              <w:t>份额代码：22151018</w:t>
            </w:r>
            <w:r>
              <w:rPr>
                <w:rFonts w:hint="eastAsia" w:ascii="仿宋" w:hAnsi="仿宋" w:eastAsia="仿宋"/>
                <w:bCs/>
                <w:color w:val="auto"/>
                <w:szCs w:val="21"/>
                <w:lang w:val="en-US" w:eastAsia="zh-CN"/>
              </w:rPr>
              <w:t>B</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C</w:t>
            </w:r>
            <w:r>
              <w:rPr>
                <w:rFonts w:hint="eastAsia" w:ascii="仿宋" w:hAnsi="仿宋" w:eastAsia="仿宋"/>
                <w:bCs/>
                <w:color w:val="auto"/>
                <w:szCs w:val="21"/>
              </w:rPr>
              <w:t>份额代码：22151018</w:t>
            </w:r>
            <w:r>
              <w:rPr>
                <w:rFonts w:hint="eastAsia" w:ascii="仿宋" w:hAnsi="仿宋" w:eastAsia="仿宋"/>
                <w:bCs/>
                <w:color w:val="auto"/>
                <w:szCs w:val="21"/>
                <w:lang w:val="en-US" w:eastAsia="zh-CN"/>
              </w:rPr>
              <w:t>C</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D</w:t>
            </w:r>
            <w:r>
              <w:rPr>
                <w:rFonts w:hint="eastAsia" w:ascii="仿宋" w:hAnsi="仿宋" w:eastAsia="仿宋"/>
                <w:bCs/>
                <w:color w:val="auto"/>
                <w:szCs w:val="21"/>
              </w:rPr>
              <w:t>份额代码：22151018</w:t>
            </w:r>
            <w:r>
              <w:rPr>
                <w:rFonts w:hint="eastAsia" w:ascii="仿宋" w:hAnsi="仿宋" w:eastAsia="仿宋"/>
                <w:bCs/>
                <w:color w:val="auto"/>
                <w:szCs w:val="21"/>
                <w:lang w:val="en-US" w:eastAsia="zh-CN"/>
              </w:rPr>
              <w:t>D</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E</w:t>
            </w:r>
            <w:r>
              <w:rPr>
                <w:rFonts w:hint="eastAsia" w:ascii="仿宋" w:hAnsi="仿宋" w:eastAsia="仿宋"/>
                <w:bCs/>
                <w:color w:val="auto"/>
                <w:szCs w:val="21"/>
              </w:rPr>
              <w:t>份额代码：22151018</w:t>
            </w:r>
            <w:r>
              <w:rPr>
                <w:rFonts w:hint="eastAsia" w:ascii="仿宋" w:hAnsi="仿宋" w:eastAsia="仿宋"/>
                <w:bCs/>
                <w:color w:val="auto"/>
                <w:szCs w:val="21"/>
                <w:lang w:val="en-US" w:eastAsia="zh-CN"/>
              </w:rPr>
              <w: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color w:val="auto"/>
                <w:szCs w:val="21"/>
              </w:rPr>
            </w:pPr>
            <w:r>
              <w:rPr>
                <w:rFonts w:hint="eastAsia" w:ascii="仿宋" w:hAnsi="仿宋" w:eastAsia="仿宋"/>
                <w:bCs/>
                <w:color w:val="auto"/>
                <w:szCs w:val="21"/>
              </w:rPr>
              <w:t>Z7003922000157</w:t>
            </w:r>
          </w:p>
          <w:p>
            <w:pPr>
              <w:keepNext/>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auto"/>
                <w:szCs w:val="21"/>
              </w:rPr>
            </w:pPr>
            <w:r>
              <w:rPr>
                <w:rFonts w:hint="eastAsia" w:ascii="仿宋" w:hAnsi="仿宋" w:eastAsia="仿宋"/>
                <w:bCs/>
                <w:color w:val="auto"/>
                <w:szCs w:val="21"/>
              </w:rPr>
              <w:t>产品管理人</w:t>
            </w:r>
          </w:p>
          <w:p>
            <w:pPr>
              <w:adjustRightInd w:val="0"/>
              <w:snapToGrid w:val="0"/>
              <w:spacing w:line="240" w:lineRule="atLeast"/>
              <w:jc w:val="center"/>
              <w:rPr>
                <w:rFonts w:ascii="仿宋" w:hAnsi="仿宋" w:eastAsia="仿宋"/>
                <w:bCs/>
                <w:color w:val="auto"/>
                <w:szCs w:val="21"/>
              </w:rPr>
            </w:pPr>
            <w:r>
              <w:rPr>
                <w:rFonts w:hint="eastAsia" w:ascii="仿宋" w:hAnsi="仿宋" w:eastAsia="仿宋"/>
                <w:bCs/>
                <w:color w:val="auto"/>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auto"/>
                <w:szCs w:val="21"/>
              </w:rPr>
            </w:pPr>
            <w:r>
              <w:rPr>
                <w:rFonts w:hint="eastAsia" w:ascii="仿宋" w:hAnsi="仿宋" w:eastAsia="仿宋"/>
                <w:bCs/>
                <w:color w:val="auto"/>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产品收益</w:t>
            </w:r>
            <w:r>
              <w:rPr>
                <w:rFonts w:ascii="仿宋" w:hAnsi="仿宋" w:eastAsia="仿宋"/>
                <w:bCs/>
                <w:color w:val="auto"/>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根据华夏</w:t>
            </w:r>
            <w:r>
              <w:rPr>
                <w:rFonts w:hint="eastAsia" w:ascii="仿宋" w:hAnsi="仿宋" w:eastAsia="仿宋"/>
                <w:bCs/>
                <w:color w:val="auto"/>
                <w:szCs w:val="21"/>
              </w:rPr>
              <w:t>理财</w:t>
            </w:r>
            <w:r>
              <w:rPr>
                <w:rFonts w:ascii="仿宋" w:hAnsi="仿宋" w:eastAsia="仿宋"/>
                <w:bCs/>
                <w:color w:val="auto"/>
                <w:szCs w:val="21"/>
              </w:rPr>
              <w:t>产品风险评级，本产品为</w:t>
            </w:r>
            <w:r>
              <w:rPr>
                <w:rFonts w:ascii="仿宋" w:hAnsi="仿宋"/>
                <w:color w:val="auto"/>
              </w:rPr>
              <w:t xml:space="preserve"> </w:t>
            </w:r>
            <w:r>
              <w:rPr>
                <w:rFonts w:hint="eastAsia" w:ascii="仿宋" w:hAnsi="仿宋" w:eastAsia="仿宋"/>
                <w:bCs/>
                <w:color w:val="auto"/>
                <w:szCs w:val="21"/>
              </w:rPr>
              <w:t>PR2级（中低风险）</w:t>
            </w:r>
            <w:r>
              <w:rPr>
                <w:rFonts w:ascii="仿宋" w:hAnsi="仿宋"/>
                <w:color w:val="auto"/>
              </w:rPr>
              <w:t xml:space="preserve"> </w:t>
            </w:r>
            <w:r>
              <w:rPr>
                <w:rFonts w:ascii="仿宋" w:hAnsi="仿宋" w:eastAsia="仿宋"/>
                <w:bCs/>
                <w:color w:val="auto"/>
                <w:szCs w:val="21"/>
              </w:rPr>
              <w:t>理财产品。</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理财产品风险</w:t>
            </w:r>
            <w:r>
              <w:rPr>
                <w:rFonts w:hint="eastAsia" w:ascii="仿宋" w:hAnsi="仿宋" w:eastAsia="仿宋"/>
                <w:bCs/>
                <w:color w:val="auto"/>
                <w:szCs w:val="21"/>
              </w:rPr>
              <w:t>评</w:t>
            </w:r>
            <w:r>
              <w:rPr>
                <w:rFonts w:ascii="仿宋" w:hAnsi="仿宋" w:eastAsia="仿宋"/>
                <w:bCs/>
                <w:color w:val="auto"/>
                <w:szCs w:val="21"/>
              </w:rPr>
              <w:t>级</w:t>
            </w:r>
            <w:r>
              <w:rPr>
                <w:rFonts w:hint="eastAsia" w:ascii="仿宋" w:hAnsi="仿宋" w:eastAsia="仿宋"/>
                <w:bCs/>
                <w:color w:val="auto"/>
                <w:szCs w:val="21"/>
              </w:rPr>
              <w:t>分</w:t>
            </w:r>
            <w:r>
              <w:rPr>
                <w:rFonts w:ascii="仿宋" w:hAnsi="仿宋" w:eastAsia="仿宋"/>
                <w:bCs/>
                <w:color w:val="auto"/>
                <w:szCs w:val="21"/>
              </w:rPr>
              <w:t>为：</w:t>
            </w:r>
            <w:r>
              <w:rPr>
                <w:rFonts w:hint="eastAsia" w:ascii="仿宋" w:hAnsi="仿宋" w:eastAsia="仿宋"/>
                <w:bCs/>
                <w:color w:val="auto"/>
                <w:szCs w:val="21"/>
              </w:rPr>
              <w:t>PR1级（低风险）、PR2级（中低风险）、PR3级（中等风险）、PR4级（中高风险）、PR5级（高风险）</w:t>
            </w:r>
            <w:r>
              <w:rPr>
                <w:rFonts w:ascii="仿宋" w:hAnsi="仿宋" w:eastAsia="仿宋"/>
                <w:bCs/>
                <w:color w:val="auto"/>
                <w:szCs w:val="21"/>
              </w:rPr>
              <w:t>。</w:t>
            </w:r>
          </w:p>
          <w:p>
            <w:pPr>
              <w:adjustRightInd w:val="0"/>
              <w:snapToGrid w:val="0"/>
              <w:spacing w:line="300" w:lineRule="exact"/>
              <w:ind w:firstLine="422" w:firstLineChars="200"/>
              <w:rPr>
                <w:rFonts w:ascii="仿宋" w:hAnsi="仿宋" w:eastAsia="仿宋"/>
                <w:b/>
                <w:bCs/>
                <w:color w:val="auto"/>
                <w:szCs w:val="21"/>
              </w:rPr>
            </w:pPr>
            <w:r>
              <w:rPr>
                <w:rFonts w:hint="eastAsia" w:ascii="仿宋" w:hAnsi="仿宋" w:eastAsia="仿宋"/>
                <w:b/>
                <w:bCs/>
                <w:color w:val="auto"/>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b/>
                <w:color w:val="auto"/>
              </w:rPr>
            </w:pPr>
            <w:r>
              <w:rPr>
                <w:rFonts w:hint="eastAsia" w:ascii="仿宋" w:hAnsi="仿宋" w:eastAsia="仿宋"/>
                <w:bCs/>
                <w:color w:val="auto"/>
                <w:szCs w:val="21"/>
              </w:rPr>
              <w:t>本理财产品通过代理销售机构（以下简称“代销机构”）渠道销售的，理财产品评级应当以</w:t>
            </w:r>
            <w:bookmarkStart w:id="1" w:name="_Hlk76302700"/>
            <w:r>
              <w:rPr>
                <w:rFonts w:hint="eastAsia" w:ascii="仿宋" w:hAnsi="仿宋" w:eastAsia="仿宋"/>
                <w:bCs/>
                <w:color w:val="auto"/>
                <w:szCs w:val="21"/>
              </w:rPr>
              <w:t>代销机构最终披露的评级结果</w:t>
            </w:r>
            <w:bookmarkEnd w:id="1"/>
            <w:r>
              <w:rPr>
                <w:rFonts w:hint="eastAsia" w:ascii="仿宋" w:hAnsi="仿宋" w:eastAsia="仿宋"/>
                <w:bCs/>
                <w:color w:val="auto"/>
                <w:szCs w:val="21"/>
              </w:rPr>
              <w:t>为准。</w:t>
            </w:r>
            <w:r>
              <w:rPr>
                <w:rFonts w:hint="eastAsia" w:ascii="仿宋" w:hAnsi="仿宋" w:eastAsia="仿宋"/>
                <w:color w:val="auto"/>
                <w:szCs w:val="21"/>
              </w:rPr>
              <w:t>代销机构如与华夏理财产品风险评级结果不一致，应当采用对应较高风险等级的评级结果</w:t>
            </w:r>
            <w:r>
              <w:rPr>
                <w:rFonts w:ascii="仿宋" w:hAnsi="仿宋" w:eastAsia="仿宋"/>
                <w:b w:val="0"/>
                <w:bCs w:val="0"/>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销售</w:t>
            </w:r>
            <w:r>
              <w:rPr>
                <w:rFonts w:ascii="仿宋" w:hAnsi="仿宋" w:eastAsia="仿宋"/>
                <w:bCs/>
                <w:color w:val="auto"/>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个人投资者、</w:t>
            </w:r>
            <w:r>
              <w:rPr>
                <w:rFonts w:hint="eastAsia" w:ascii="仿宋" w:hAnsi="仿宋" w:eastAsia="仿宋"/>
                <w:bCs/>
                <w:color w:val="auto"/>
                <w:szCs w:val="21"/>
              </w:rPr>
              <w:t>机构投资</w:t>
            </w:r>
            <w:r>
              <w:rPr>
                <w:rFonts w:ascii="仿宋" w:hAnsi="仿宋" w:eastAsia="仿宋"/>
                <w:bCs/>
                <w:color w:val="auto"/>
                <w:szCs w:val="21"/>
              </w:rPr>
              <w:t>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bCs/>
                <w:color w:val="auto"/>
                <w:szCs w:val="21"/>
              </w:rPr>
              <w:t>本理财产品</w:t>
            </w:r>
            <w:r>
              <w:rPr>
                <w:rFonts w:ascii="仿宋" w:hAnsi="仿宋" w:eastAsia="仿宋"/>
                <w:bCs/>
                <w:color w:val="auto"/>
                <w:szCs w:val="21"/>
              </w:rPr>
              <w:t>面向不特定社会公众销售，经</w:t>
            </w:r>
            <w:r>
              <w:rPr>
                <w:rFonts w:hint="eastAsia" w:ascii="仿宋" w:hAnsi="仿宋" w:eastAsia="仿宋"/>
                <w:bCs/>
                <w:color w:val="auto"/>
                <w:szCs w:val="21"/>
              </w:rPr>
              <w:t>华夏理财</w:t>
            </w:r>
            <w:r>
              <w:rPr>
                <w:rFonts w:ascii="仿宋" w:hAnsi="仿宋" w:eastAsia="仿宋"/>
                <w:bCs/>
                <w:color w:val="auto"/>
                <w:szCs w:val="21"/>
              </w:rPr>
              <w:t>风险评估评定为</w:t>
            </w:r>
            <w:r>
              <w:rPr>
                <w:rFonts w:hint="eastAsia" w:ascii="仿宋" w:hAnsi="仿宋" w:eastAsia="仿宋"/>
                <w:bCs/>
                <w:color w:val="auto"/>
                <w:szCs w:val="21"/>
              </w:rPr>
              <w:t xml:space="preserve"> CR2（稳健型）、CR3（平衡型）、CR4（进取型）、CR5（激进型）</w:t>
            </w:r>
            <w:r>
              <w:rPr>
                <w:rFonts w:ascii="仿宋" w:hAnsi="仿宋"/>
                <w:color w:val="auto"/>
              </w:rPr>
              <w:t xml:space="preserve"> </w:t>
            </w:r>
            <w:r>
              <w:rPr>
                <w:rFonts w:hint="eastAsia" w:ascii="仿宋" w:hAnsi="仿宋" w:eastAsia="仿宋"/>
                <w:bCs/>
                <w:color w:val="auto"/>
                <w:szCs w:val="21"/>
              </w:rPr>
              <w:t>的个人投资者。客户风险承受能力评级类型分为：CR1（谨慎型）、CR2（稳健型）、CR3（平衡型）、CR4（进取型）、CR5（激进型）</w:t>
            </w:r>
            <w:r>
              <w:rPr>
                <w:rFonts w:ascii="仿宋" w:hAnsi="仿宋" w:eastAsia="仿宋"/>
                <w:bCs/>
                <w:color w:val="auto"/>
                <w:szCs w:val="21"/>
              </w:rPr>
              <w:t>。</w:t>
            </w:r>
          </w:p>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本理财产品</w:t>
            </w:r>
            <w:r>
              <w:rPr>
                <w:rFonts w:ascii="仿宋" w:hAnsi="仿宋" w:eastAsia="仿宋"/>
                <w:bCs/>
                <w:color w:val="auto"/>
                <w:szCs w:val="21"/>
              </w:rPr>
              <w:t>面向不特定社会公众销售</w:t>
            </w:r>
            <w:r>
              <w:rPr>
                <w:rFonts w:hint="eastAsia" w:ascii="仿宋" w:hAnsi="仿宋" w:eastAsia="仿宋"/>
                <w:bCs/>
                <w:color w:val="auto"/>
                <w:szCs w:val="21"/>
              </w:rPr>
              <w:t>，包括</w:t>
            </w:r>
            <w:r>
              <w:rPr>
                <w:rFonts w:ascii="仿宋" w:hAnsi="仿宋" w:eastAsia="仿宋"/>
                <w:bCs/>
                <w:color w:val="auto"/>
                <w:szCs w:val="21"/>
              </w:rPr>
              <w:t>法人</w:t>
            </w:r>
            <w:r>
              <w:rPr>
                <w:rFonts w:hint="eastAsia" w:ascii="仿宋" w:hAnsi="仿宋" w:eastAsia="仿宋"/>
                <w:bCs/>
                <w:color w:val="auto"/>
                <w:szCs w:val="21"/>
              </w:rPr>
              <w:t>或</w:t>
            </w:r>
            <w:r>
              <w:rPr>
                <w:rFonts w:ascii="仿宋" w:hAnsi="仿宋" w:eastAsia="仿宋"/>
                <w:bCs/>
                <w:color w:val="auto"/>
                <w:szCs w:val="21"/>
              </w:rPr>
              <w:t>依法成立的其他组织。</w:t>
            </w:r>
          </w:p>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color w:val="auto"/>
                <w:szCs w:val="21"/>
              </w:rPr>
            </w:pPr>
            <w:r>
              <w:rPr>
                <w:rFonts w:hint="eastAsia" w:ascii="仿宋" w:hAnsi="仿宋" w:eastAsia="仿宋"/>
                <w:b/>
                <w:bCs/>
                <w:color w:val="auto"/>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auto"/>
                <w:szCs w:val="21"/>
              </w:rPr>
              <w:t>责任和风险由</w:t>
            </w:r>
            <w:r>
              <w:rPr>
                <w:rFonts w:hint="eastAsia" w:ascii="仿宋" w:hAnsi="仿宋" w:eastAsia="仿宋"/>
                <w:b/>
                <w:bCs/>
                <w:color w:val="auto"/>
                <w:szCs w:val="21"/>
              </w:rPr>
              <w:t>投资者</w:t>
            </w:r>
            <w:r>
              <w:rPr>
                <w:rFonts w:ascii="仿宋" w:hAnsi="仿宋" w:eastAsia="仿宋"/>
                <w:b/>
                <w:bCs/>
                <w:color w:val="auto"/>
                <w:szCs w:val="21"/>
              </w:rPr>
              <w:t>承担</w:t>
            </w:r>
            <w:r>
              <w:rPr>
                <w:rFonts w:hint="eastAsia" w:ascii="仿宋" w:hAnsi="仿宋" w:eastAsia="仿宋"/>
                <w:b/>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业绩比较</w:t>
            </w:r>
            <w:r>
              <w:rPr>
                <w:rFonts w:hint="eastAsia" w:ascii="仿宋" w:hAnsi="仿宋" w:eastAsia="仿宋" w:cs="仿宋"/>
                <w:bCs/>
                <w:color w:val="auto"/>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i w:val="0"/>
                <w:iCs w:val="0"/>
                <w:color w:val="auto"/>
                <w:szCs w:val="21"/>
              </w:rPr>
            </w:pPr>
            <w:r>
              <w:rPr>
                <w:rFonts w:hint="eastAsia" w:ascii="仿宋" w:hAnsi="仿宋" w:eastAsia="仿宋" w:cs="Cambria"/>
                <w:bCs/>
                <w:color w:val="auto"/>
                <w:szCs w:val="21"/>
                <w:lang w:val="en-US" w:eastAsia="zh-CN"/>
              </w:rPr>
              <w:t>A</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4.35</w:t>
            </w:r>
            <w:r>
              <w:rPr>
                <w:rFonts w:hint="eastAsia" w:ascii="仿宋" w:hAnsi="仿宋" w:eastAsia="仿宋" w:cs="Cambria"/>
                <w:bCs/>
                <w:color w:val="auto"/>
                <w:szCs w:val="21"/>
              </w:rPr>
              <w:t>%（年化）</w:t>
            </w: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4.30</w:t>
            </w:r>
            <w:r>
              <w:rPr>
                <w:rFonts w:hint="eastAsia" w:ascii="仿宋" w:hAnsi="仿宋" w:eastAsia="仿宋" w:cs="Cambria"/>
                <w:bCs/>
                <w:color w:val="auto"/>
                <w:szCs w:val="21"/>
              </w:rPr>
              <w:t>%（年化）</w:t>
            </w:r>
            <w:r>
              <w:rPr>
                <w:rFonts w:hint="eastAsia" w:ascii="仿宋" w:hAnsi="仿宋" w:eastAsia="仿宋" w:cs="Cambria"/>
                <w:bCs/>
                <w:color w:val="auto"/>
                <w:szCs w:val="21"/>
                <w:lang w:eastAsia="zh-CN"/>
              </w:rPr>
              <w:t>；</w:t>
            </w: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4.25</w:t>
            </w:r>
            <w:r>
              <w:rPr>
                <w:rFonts w:hint="eastAsia" w:ascii="仿宋" w:hAnsi="仿宋" w:eastAsia="仿宋" w:cs="Cambria"/>
                <w:bCs/>
                <w:color w:val="auto"/>
                <w:szCs w:val="21"/>
              </w:rPr>
              <w:t>%（年化）</w:t>
            </w: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4.20</w:t>
            </w:r>
            <w:r>
              <w:rPr>
                <w:rFonts w:hint="eastAsia" w:ascii="仿宋" w:hAnsi="仿宋" w:eastAsia="仿宋" w:cs="Cambria"/>
                <w:bCs/>
                <w:color w:val="auto"/>
                <w:szCs w:val="21"/>
              </w:rPr>
              <w:t>%（年化）</w:t>
            </w:r>
            <w:r>
              <w:rPr>
                <w:rFonts w:hint="eastAsia" w:ascii="仿宋" w:hAnsi="仿宋" w:eastAsia="仿宋" w:cs="Cambria"/>
                <w:bCs/>
                <w:color w:val="auto"/>
                <w:szCs w:val="21"/>
                <w:lang w:eastAsia="zh-CN"/>
              </w:rPr>
              <w:t>；</w:t>
            </w:r>
            <w:r>
              <w:rPr>
                <w:rFonts w:hint="eastAsia" w:ascii="仿宋" w:hAnsi="仿宋" w:eastAsia="仿宋" w:cs="Cambria"/>
                <w:bCs/>
                <w:color w:val="auto"/>
                <w:szCs w:val="21"/>
                <w:lang w:val="en-US" w:eastAsia="zh-CN"/>
              </w:rPr>
              <w:t>E</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4.15</w:t>
            </w:r>
            <w:r>
              <w:rPr>
                <w:rFonts w:hint="eastAsia" w:ascii="仿宋" w:hAnsi="仿宋" w:eastAsia="仿宋" w:cs="Cambria"/>
                <w:bCs/>
                <w:color w:val="auto"/>
                <w:szCs w:val="21"/>
              </w:rPr>
              <w:t>%（年化）。</w:t>
            </w:r>
            <w:r>
              <w:rPr>
                <w:rFonts w:hint="eastAsia" w:ascii="仿宋" w:hAnsi="仿宋" w:eastAsia="仿宋" w:cs="Cambria"/>
                <w:bCs/>
                <w:i w:val="0"/>
                <w:iCs w:val="0"/>
                <w:color w:val="auto"/>
                <w:szCs w:val="21"/>
              </w:rPr>
              <w:t>以产品投资利率债仓位0-10%，信用债仓位70%-100%，非标债权类资产仓位0-30%，权益类资产仓位0-5%，组合杠杆率105%-125%为例，参考中债-国债总财富指数、中债-信用债总财富指数、Wind混合型基金总指数以及期限匹配的非标债权类资产目标收益率，结合产品债券组合久期不超过1.5年的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i w:val="0"/>
                <w:iCs w:val="0"/>
                <w:color w:val="auto"/>
                <w:szCs w:val="21"/>
              </w:rPr>
            </w:pPr>
            <w:r>
              <w:rPr>
                <w:rFonts w:hint="eastAsia" w:ascii="仿宋" w:hAnsi="仿宋" w:eastAsia="仿宋" w:cs="Cambria"/>
                <w:bCs/>
                <w:i w:val="0"/>
                <w:iCs w:val="0"/>
                <w:color w:val="auto"/>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rPr>
                <w:rFonts w:ascii="仿宋" w:hAnsi="仿宋" w:eastAsia="仿宋" w:cs="Cambria"/>
                <w:bCs/>
                <w:color w:val="auto"/>
                <w:szCs w:val="21"/>
              </w:rPr>
            </w:pPr>
            <w:r>
              <w:rPr>
                <w:rFonts w:hint="eastAsia" w:ascii="仿宋" w:hAnsi="仿宋" w:eastAsia="仿宋" w:cs="Cambria"/>
                <w:bCs/>
                <w:color w:val="auto"/>
                <w:szCs w:val="21"/>
                <w:lang w:val="en-US" w:eastAsia="zh-CN"/>
              </w:rPr>
              <w:t xml:space="preserve">    </w:t>
            </w:r>
            <w:r>
              <w:rPr>
                <w:rFonts w:hint="eastAsia" w:ascii="仿宋" w:hAnsi="仿宋" w:eastAsia="仿宋" w:cs="Cambria"/>
                <w:bCs/>
                <w:color w:val="auto"/>
                <w:szCs w:val="21"/>
              </w:rPr>
              <w:t>华夏理财有权根据市场情况及产品运作情况调整业绩比较基准，并至少于新业绩比较基准启用前3个工作日公告。</w:t>
            </w:r>
          </w:p>
          <w:p>
            <w:pPr>
              <w:adjustRightInd w:val="0"/>
              <w:snapToGrid w:val="0"/>
              <w:spacing w:line="240" w:lineRule="atLeast"/>
              <w:ind w:firstLine="422" w:firstLineChars="200"/>
              <w:rPr>
                <w:rFonts w:ascii="仿宋" w:hAnsi="仿宋" w:eastAsia="仿宋"/>
                <w:b/>
                <w:bCs/>
                <w:color w:val="auto"/>
                <w:szCs w:val="21"/>
              </w:rPr>
            </w:pPr>
            <w:r>
              <w:rPr>
                <w:rFonts w:hint="eastAsia" w:ascii="仿宋" w:hAnsi="仿宋" w:eastAsia="仿宋"/>
                <w:b/>
                <w:bCs/>
                <w:color w:val="auto"/>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color w:val="auto"/>
                <w:szCs w:val="21"/>
              </w:rPr>
            </w:pPr>
            <w:r>
              <w:rPr>
                <w:rFonts w:hint="eastAsia" w:ascii="仿宋" w:hAnsi="仿宋" w:eastAsia="仿宋"/>
                <w:b/>
                <w:bCs/>
                <w:color w:val="auto"/>
                <w:szCs w:val="21"/>
              </w:rPr>
              <w:t>2.本</w:t>
            </w:r>
            <w:r>
              <w:rPr>
                <w:rFonts w:hint="eastAsia" w:ascii="仿宋" w:hAnsi="仿宋" w:eastAsia="仿宋"/>
                <w:b/>
                <w:color w:val="auto"/>
                <w:szCs w:val="21"/>
              </w:rPr>
              <w:t>业绩比较</w:t>
            </w:r>
            <w:r>
              <w:rPr>
                <w:rFonts w:hint="eastAsia" w:ascii="仿宋" w:hAnsi="仿宋" w:eastAsia="仿宋" w:cs="仿宋"/>
                <w:b/>
                <w:color w:val="auto"/>
                <w:szCs w:val="21"/>
              </w:rPr>
              <w:t>基准</w:t>
            </w:r>
            <w:r>
              <w:rPr>
                <w:rFonts w:hint="eastAsia" w:ascii="仿宋" w:hAnsi="仿宋" w:eastAsia="仿宋"/>
                <w:b/>
                <w:bCs/>
                <w:color w:val="auto"/>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color w:val="auto"/>
                <w:szCs w:val="21"/>
              </w:rPr>
            </w:pPr>
            <w:r>
              <w:rPr>
                <w:rFonts w:hint="eastAsia" w:ascii="仿宋" w:hAnsi="仿宋" w:eastAsia="仿宋"/>
                <w:b/>
                <w:bCs/>
                <w:color w:val="auto"/>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bookmarkStart w:id="2" w:name="OLE_LINK3" w:colFirst="1" w:colLast="1"/>
            <w:bookmarkStart w:id="3" w:name="OLE_LINK2" w:colFirst="1" w:colLast="1"/>
            <w:bookmarkStart w:id="4" w:name="_Hlk290294163"/>
            <w:r>
              <w:rPr>
                <w:rFonts w:hint="eastAsia" w:ascii="仿宋" w:hAnsi="仿宋" w:eastAsia="仿宋"/>
                <w:bCs/>
                <w:color w:val="auto"/>
                <w:szCs w:val="21"/>
              </w:rPr>
              <w:t>募集</w:t>
            </w:r>
            <w:r>
              <w:rPr>
                <w:rFonts w:ascii="仿宋" w:hAnsi="仿宋" w:eastAsia="仿宋"/>
                <w:bCs/>
                <w:color w:val="auto"/>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202</w:t>
            </w:r>
            <w:r>
              <w:rPr>
                <w:rFonts w:hint="eastAsia" w:ascii="仿宋" w:hAnsi="仿宋" w:eastAsia="仿宋"/>
                <w:bCs/>
                <w:color w:val="auto"/>
                <w:szCs w:val="21"/>
                <w:lang w:val="en-US" w:eastAsia="zh-CN"/>
              </w:rPr>
              <w:t>3</w:t>
            </w:r>
            <w:r>
              <w:rPr>
                <w:rFonts w:hint="eastAsia" w:ascii="仿宋" w:hAnsi="仿宋" w:eastAsia="仿宋"/>
                <w:bCs/>
                <w:color w:val="auto"/>
                <w:szCs w:val="21"/>
              </w:rPr>
              <w:t>年</w:t>
            </w:r>
            <w:r>
              <w:rPr>
                <w:rFonts w:hint="eastAsia" w:ascii="仿宋" w:hAnsi="仿宋" w:eastAsia="仿宋"/>
                <w:bCs/>
                <w:color w:val="auto"/>
                <w:szCs w:val="21"/>
                <w:lang w:val="en-US" w:eastAsia="zh-CN"/>
              </w:rPr>
              <w:t>2</w:t>
            </w:r>
            <w:r>
              <w:rPr>
                <w:rFonts w:hint="eastAsia" w:ascii="仿宋" w:hAnsi="仿宋" w:eastAsia="仿宋"/>
                <w:bCs/>
                <w:color w:val="auto"/>
                <w:szCs w:val="21"/>
              </w:rPr>
              <w:t>月</w:t>
            </w:r>
            <w:r>
              <w:rPr>
                <w:rFonts w:hint="eastAsia" w:ascii="仿宋" w:hAnsi="仿宋" w:eastAsia="仿宋"/>
                <w:bCs/>
                <w:color w:val="auto"/>
                <w:szCs w:val="21"/>
                <w:lang w:val="en-US" w:eastAsia="zh-CN"/>
              </w:rPr>
              <w:t>16</w:t>
            </w:r>
            <w:r>
              <w:rPr>
                <w:rFonts w:hint="eastAsia" w:ascii="仿宋" w:hAnsi="仿宋" w:eastAsia="仿宋"/>
                <w:bCs/>
                <w:color w:val="auto"/>
                <w:szCs w:val="21"/>
              </w:rPr>
              <w:t>日</w:t>
            </w:r>
            <w:r>
              <w:rPr>
                <w:rFonts w:ascii="仿宋" w:hAnsi="仿宋" w:eastAsia="仿宋"/>
                <w:bCs/>
                <w:color w:val="auto"/>
                <w:szCs w:val="21"/>
              </w:rPr>
              <w:t>－</w:t>
            </w:r>
            <w:r>
              <w:rPr>
                <w:rFonts w:hint="eastAsia" w:ascii="仿宋" w:hAnsi="仿宋" w:eastAsia="仿宋"/>
                <w:bCs/>
                <w:color w:val="auto"/>
                <w:szCs w:val="21"/>
              </w:rPr>
              <w:t>202</w:t>
            </w:r>
            <w:r>
              <w:rPr>
                <w:rFonts w:hint="eastAsia" w:ascii="仿宋" w:hAnsi="仿宋" w:eastAsia="仿宋"/>
                <w:bCs/>
                <w:color w:val="auto"/>
                <w:szCs w:val="21"/>
                <w:lang w:val="en-US" w:eastAsia="zh-CN"/>
              </w:rPr>
              <w:t>3</w:t>
            </w:r>
            <w:r>
              <w:rPr>
                <w:rFonts w:hint="eastAsia" w:ascii="仿宋" w:hAnsi="仿宋" w:eastAsia="仿宋"/>
                <w:bCs/>
                <w:color w:val="auto"/>
                <w:szCs w:val="21"/>
              </w:rPr>
              <w:t>年</w:t>
            </w:r>
            <w:r>
              <w:rPr>
                <w:rFonts w:hint="eastAsia" w:ascii="仿宋" w:hAnsi="仿宋" w:eastAsia="仿宋"/>
                <w:bCs/>
                <w:color w:val="auto"/>
                <w:szCs w:val="21"/>
                <w:lang w:val="en-US" w:eastAsia="zh-CN"/>
              </w:rPr>
              <w:t>2</w:t>
            </w:r>
            <w:r>
              <w:rPr>
                <w:rFonts w:hint="eastAsia" w:ascii="仿宋" w:hAnsi="仿宋" w:eastAsia="仿宋"/>
                <w:bCs/>
                <w:color w:val="auto"/>
                <w:szCs w:val="21"/>
              </w:rPr>
              <w:t>月</w:t>
            </w:r>
            <w:r>
              <w:rPr>
                <w:rFonts w:hint="eastAsia" w:ascii="仿宋" w:hAnsi="仿宋" w:eastAsia="仿宋"/>
                <w:bCs/>
                <w:color w:val="auto"/>
                <w:szCs w:val="21"/>
                <w:lang w:val="en-US" w:eastAsia="zh-CN"/>
              </w:rPr>
              <w:t>22</w:t>
            </w:r>
            <w:r>
              <w:rPr>
                <w:rFonts w:hint="eastAsia" w:ascii="仿宋" w:hAnsi="仿宋" w:eastAsia="仿宋"/>
                <w:bCs/>
                <w:color w:val="auto"/>
                <w:szCs w:val="21"/>
              </w:rPr>
              <w:t>日</w:t>
            </w:r>
            <w:r>
              <w:rPr>
                <w:rFonts w:ascii="仿宋" w:hAnsi="仿宋" w:eastAsia="仿宋"/>
                <w:bCs/>
                <w:color w:val="auto"/>
                <w:szCs w:val="21"/>
              </w:rPr>
              <w:t>（含）</w:t>
            </w:r>
            <w:r>
              <w:rPr>
                <w:rFonts w:hint="eastAsia" w:ascii="仿宋" w:hAnsi="仿宋" w:eastAsia="仿宋"/>
                <w:bCs/>
                <w:color w:val="auto"/>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color w:val="auto"/>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202</w:t>
            </w:r>
            <w:r>
              <w:rPr>
                <w:rFonts w:hint="eastAsia" w:ascii="仿宋" w:hAnsi="仿宋" w:eastAsia="仿宋"/>
                <w:bCs/>
                <w:color w:val="auto"/>
                <w:szCs w:val="21"/>
                <w:lang w:val="en-US" w:eastAsia="zh-CN"/>
              </w:rPr>
              <w:t>3</w:t>
            </w:r>
            <w:r>
              <w:rPr>
                <w:rFonts w:hint="eastAsia" w:ascii="仿宋" w:hAnsi="仿宋" w:eastAsia="仿宋"/>
                <w:bCs/>
                <w:color w:val="auto"/>
                <w:szCs w:val="21"/>
              </w:rPr>
              <w:t>年</w:t>
            </w:r>
            <w:r>
              <w:rPr>
                <w:rFonts w:hint="eastAsia" w:ascii="仿宋" w:hAnsi="仿宋" w:eastAsia="仿宋"/>
                <w:bCs/>
                <w:color w:val="auto"/>
                <w:szCs w:val="21"/>
                <w:lang w:val="en-US" w:eastAsia="zh-CN"/>
              </w:rPr>
              <w:t>2</w:t>
            </w:r>
            <w:r>
              <w:rPr>
                <w:rFonts w:hint="eastAsia" w:ascii="仿宋" w:hAnsi="仿宋" w:eastAsia="仿宋"/>
                <w:bCs/>
                <w:color w:val="auto"/>
                <w:szCs w:val="21"/>
              </w:rPr>
              <w:t>月</w:t>
            </w:r>
            <w:r>
              <w:rPr>
                <w:rFonts w:hint="eastAsia" w:ascii="仿宋" w:hAnsi="仿宋" w:eastAsia="仿宋"/>
                <w:bCs/>
                <w:color w:val="auto"/>
                <w:szCs w:val="21"/>
                <w:lang w:val="en-US" w:eastAsia="zh-CN"/>
              </w:rPr>
              <w:t>23</w:t>
            </w:r>
            <w:r>
              <w:rPr>
                <w:rFonts w:hint="eastAsia" w:ascii="仿宋" w:hAnsi="仿宋" w:eastAsia="仿宋"/>
                <w:bCs/>
                <w:color w:val="auto"/>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lang w:val="en-US" w:eastAsia="zh-CN"/>
              </w:rPr>
              <w:t>390</w:t>
            </w:r>
            <w:r>
              <w:rPr>
                <w:rFonts w:hint="eastAsia" w:ascii="仿宋" w:hAnsi="仿宋" w:eastAsia="仿宋"/>
                <w:bCs/>
                <w:color w:val="auto"/>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202</w:t>
            </w:r>
            <w:r>
              <w:rPr>
                <w:rFonts w:hint="eastAsia" w:ascii="仿宋" w:hAnsi="仿宋" w:eastAsia="仿宋"/>
                <w:bCs/>
                <w:color w:val="auto"/>
                <w:szCs w:val="21"/>
                <w:lang w:val="en-US" w:eastAsia="zh-CN"/>
              </w:rPr>
              <w:t>4</w:t>
            </w:r>
            <w:r>
              <w:rPr>
                <w:rFonts w:hint="eastAsia" w:ascii="仿宋" w:hAnsi="仿宋" w:eastAsia="仿宋"/>
                <w:bCs/>
                <w:color w:val="auto"/>
                <w:szCs w:val="21"/>
              </w:rPr>
              <w:t>年</w:t>
            </w:r>
            <w:r>
              <w:rPr>
                <w:rFonts w:hint="eastAsia" w:ascii="仿宋" w:hAnsi="仿宋" w:eastAsia="仿宋"/>
                <w:bCs/>
                <w:color w:val="auto"/>
                <w:szCs w:val="21"/>
                <w:lang w:val="en-US" w:eastAsia="zh-CN"/>
              </w:rPr>
              <w:t>3</w:t>
            </w:r>
            <w:r>
              <w:rPr>
                <w:rFonts w:hint="eastAsia" w:ascii="仿宋" w:hAnsi="仿宋" w:eastAsia="仿宋"/>
                <w:bCs/>
                <w:color w:val="auto"/>
                <w:szCs w:val="21"/>
              </w:rPr>
              <w:t>月</w:t>
            </w:r>
            <w:r>
              <w:rPr>
                <w:rFonts w:hint="eastAsia" w:ascii="仿宋" w:hAnsi="仿宋" w:eastAsia="仿宋"/>
                <w:bCs/>
                <w:color w:val="auto"/>
                <w:szCs w:val="21"/>
                <w:lang w:val="en-US" w:eastAsia="zh-CN"/>
              </w:rPr>
              <w:t>19</w:t>
            </w:r>
            <w:r>
              <w:rPr>
                <w:rFonts w:hint="eastAsia" w:ascii="仿宋" w:hAnsi="仿宋" w:eastAsia="仿宋"/>
                <w:bCs/>
                <w:color w:val="auto"/>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产品成立日至到期/终止日</w:t>
            </w:r>
            <w:r>
              <w:rPr>
                <w:rFonts w:ascii="仿宋" w:hAnsi="仿宋" w:eastAsia="仿宋"/>
                <w:bCs/>
                <w:color w:val="auto"/>
                <w:szCs w:val="21"/>
              </w:rPr>
              <w:t>为产品的封闭期</w:t>
            </w:r>
            <w:r>
              <w:rPr>
                <w:rFonts w:hint="eastAsia" w:ascii="仿宋" w:hAnsi="仿宋" w:eastAsia="仿宋"/>
                <w:bCs/>
                <w:color w:val="auto"/>
                <w:szCs w:val="21"/>
              </w:rPr>
              <w:t>。</w:t>
            </w:r>
          </w:p>
          <w:p>
            <w:pPr>
              <w:adjustRightInd w:val="0"/>
              <w:snapToGrid w:val="0"/>
              <w:spacing w:line="300" w:lineRule="exact"/>
              <w:ind w:firstLine="422" w:firstLineChars="200"/>
              <w:rPr>
                <w:rFonts w:ascii="仿宋" w:hAnsi="仿宋" w:eastAsia="仿宋"/>
                <w:bCs/>
                <w:color w:val="auto"/>
                <w:szCs w:val="21"/>
              </w:rPr>
            </w:pPr>
            <w:r>
              <w:rPr>
                <w:rFonts w:hint="eastAsia" w:ascii="仿宋" w:hAnsi="仿宋" w:eastAsia="仿宋"/>
                <w:b/>
                <w:bCs/>
                <w:color w:val="auto"/>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到期/终止理财本金</w:t>
            </w:r>
            <w:r>
              <w:rPr>
                <w:rFonts w:ascii="仿宋" w:hAnsi="仿宋" w:eastAsia="仿宋"/>
                <w:bCs/>
                <w:color w:val="auto"/>
                <w:szCs w:val="21"/>
              </w:rPr>
              <w:t>及</w:t>
            </w:r>
            <w:r>
              <w:rPr>
                <w:rFonts w:hint="eastAsia" w:ascii="仿宋" w:hAnsi="仿宋" w:eastAsia="仿宋"/>
                <w:bCs/>
                <w:color w:val="auto"/>
                <w:szCs w:val="21"/>
              </w:rPr>
              <w:t>收益</w:t>
            </w:r>
            <w:r>
              <w:rPr>
                <w:rFonts w:ascii="仿宋" w:hAnsi="仿宋" w:eastAsia="仿宋"/>
                <w:bCs/>
                <w:color w:val="auto"/>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华夏理财将于理财产品到期/终止</w:t>
            </w:r>
            <w:r>
              <w:rPr>
                <w:rFonts w:ascii="仿宋" w:hAnsi="仿宋" w:eastAsia="仿宋"/>
                <w:bCs/>
                <w:color w:val="auto"/>
                <w:szCs w:val="21"/>
              </w:rPr>
              <w:t>日</w:t>
            </w:r>
            <w:r>
              <w:rPr>
                <w:rFonts w:hint="eastAsia" w:ascii="仿宋" w:hAnsi="仿宋" w:eastAsia="仿宋"/>
                <w:bCs/>
                <w:color w:val="auto"/>
                <w:szCs w:val="21"/>
              </w:rPr>
              <w:t>后2个工作</w:t>
            </w:r>
            <w:r>
              <w:rPr>
                <w:rFonts w:ascii="仿宋" w:hAnsi="仿宋" w:eastAsia="仿宋"/>
                <w:bCs/>
                <w:color w:val="auto"/>
                <w:szCs w:val="21"/>
              </w:rPr>
              <w:t>日</w:t>
            </w:r>
            <w:r>
              <w:rPr>
                <w:rFonts w:hint="eastAsia" w:ascii="仿宋" w:hAnsi="仿宋" w:eastAsia="仿宋"/>
                <w:bCs/>
                <w:color w:val="auto"/>
                <w:szCs w:val="21"/>
              </w:rPr>
              <w:t>（内）</w:t>
            </w:r>
            <w:r>
              <w:rPr>
                <w:rFonts w:ascii="仿宋" w:hAnsi="仿宋" w:eastAsia="仿宋"/>
                <w:bCs/>
                <w:color w:val="auto"/>
                <w:szCs w:val="21"/>
              </w:rPr>
              <w:t>，</w:t>
            </w:r>
            <w:r>
              <w:rPr>
                <w:rFonts w:hint="eastAsia" w:ascii="仿宋" w:hAnsi="仿宋" w:eastAsia="仿宋"/>
                <w:bCs/>
                <w:color w:val="auto"/>
                <w:szCs w:val="21"/>
              </w:rPr>
              <w:t>根据实际投资结果向华夏理财客户及代销机构一次性划付理财本金及收益（如有），代销机构客户理财的本金及</w:t>
            </w:r>
            <w:bookmarkStart w:id="7" w:name="_GoBack"/>
            <w:bookmarkEnd w:id="7"/>
            <w:r>
              <w:rPr>
                <w:rFonts w:hint="eastAsia" w:ascii="仿宋" w:hAnsi="仿宋" w:eastAsia="仿宋"/>
                <w:bCs/>
                <w:color w:val="auto"/>
                <w:szCs w:val="21"/>
              </w:rPr>
              <w:t>收益（如有）的具体到账账户、到账日及到账时间以代销机构划付规定为准。</w:t>
            </w:r>
          </w:p>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客户到期/终止每笔本金及收益金额=每笔认购份额*到期/终止日的份额净值，金额计算保留到小数点后</w:t>
            </w:r>
            <w:r>
              <w:rPr>
                <w:rFonts w:ascii="仿宋" w:hAnsi="仿宋" w:eastAsia="仿宋"/>
                <w:bCs/>
                <w:color w:val="auto"/>
                <w:szCs w:val="21"/>
              </w:rPr>
              <w:t>2</w:t>
            </w:r>
            <w:r>
              <w:rPr>
                <w:rFonts w:hint="eastAsia" w:ascii="仿宋" w:hAnsi="仿宋" w:eastAsia="仿宋"/>
                <w:bCs/>
                <w:color w:val="auto"/>
                <w:szCs w:val="21"/>
              </w:rPr>
              <w:t>位，小数点后第</w:t>
            </w:r>
            <w:r>
              <w:rPr>
                <w:rFonts w:ascii="仿宋" w:hAnsi="仿宋" w:eastAsia="仿宋"/>
                <w:bCs/>
                <w:color w:val="auto"/>
                <w:szCs w:val="21"/>
              </w:rPr>
              <w:t>3</w:t>
            </w:r>
            <w:r>
              <w:rPr>
                <w:rFonts w:hint="eastAsia" w:ascii="仿宋" w:hAnsi="仿宋" w:eastAsia="仿宋"/>
                <w:bCs/>
                <w:color w:val="auto"/>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color w:val="auto"/>
              </w:rPr>
            </w:pPr>
            <w:r>
              <w:rPr>
                <w:rFonts w:hint="eastAsia" w:ascii="仿宋" w:hAnsi="仿宋" w:eastAsia="仿宋"/>
                <w:bCs/>
                <w:color w:val="auto"/>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本产品</w:t>
            </w:r>
            <w:r>
              <w:rPr>
                <w:rFonts w:ascii="仿宋" w:hAnsi="仿宋" w:eastAsia="仿宋"/>
                <w:bCs/>
                <w:color w:val="auto"/>
                <w:szCs w:val="21"/>
              </w:rPr>
              <w:t>计划发行规模上限为50</w:t>
            </w:r>
            <w:r>
              <w:rPr>
                <w:rFonts w:hint="eastAsia" w:ascii="仿宋" w:hAnsi="仿宋" w:eastAsia="仿宋"/>
                <w:bCs/>
                <w:color w:val="auto"/>
                <w:szCs w:val="21"/>
              </w:rPr>
              <w:t>亿元，</w:t>
            </w:r>
            <w:r>
              <w:rPr>
                <w:rFonts w:ascii="仿宋" w:hAnsi="仿宋" w:eastAsia="仿宋"/>
                <w:bCs/>
                <w:color w:val="auto"/>
                <w:szCs w:val="21"/>
              </w:rPr>
              <w:t>发行规模下限为</w:t>
            </w:r>
            <w:r>
              <w:rPr>
                <w:rFonts w:hint="eastAsia" w:ascii="仿宋" w:hAnsi="仿宋" w:eastAsia="仿宋"/>
                <w:bCs/>
                <w:color w:val="auto"/>
                <w:szCs w:val="21"/>
              </w:rPr>
              <w:t>1</w:t>
            </w:r>
            <w:r>
              <w:rPr>
                <w:rFonts w:ascii="仿宋" w:hAnsi="仿宋" w:eastAsia="仿宋"/>
                <w:bCs/>
                <w:color w:val="auto"/>
                <w:szCs w:val="21"/>
              </w:rPr>
              <w:t>000</w:t>
            </w:r>
            <w:r>
              <w:rPr>
                <w:rFonts w:hint="eastAsia" w:ascii="仿宋" w:hAnsi="仿宋" w:eastAsia="仿宋"/>
                <w:bCs/>
                <w:color w:val="auto"/>
                <w:szCs w:val="21"/>
              </w:rPr>
              <w:t>万元</w:t>
            </w:r>
            <w:r>
              <w:rPr>
                <w:rFonts w:ascii="仿宋" w:hAnsi="仿宋" w:eastAsia="仿宋"/>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产品</w:t>
            </w:r>
            <w:r>
              <w:rPr>
                <w:rFonts w:hint="eastAsia" w:ascii="仿宋" w:hAnsi="仿宋" w:eastAsia="仿宋"/>
                <w:bCs/>
                <w:color w:val="auto"/>
                <w:szCs w:val="21"/>
              </w:rPr>
              <w:t>不</w:t>
            </w:r>
            <w:r>
              <w:rPr>
                <w:rFonts w:ascii="仿宋" w:hAnsi="仿宋" w:eastAsia="仿宋"/>
                <w:bCs/>
                <w:color w:val="auto"/>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color w:val="auto"/>
                <w:szCs w:val="21"/>
              </w:rPr>
            </w:pPr>
            <w:r>
              <w:rPr>
                <w:rFonts w:hint="eastAsia" w:ascii="仿宋" w:hAnsi="仿宋" w:eastAsia="仿宋"/>
                <w:b/>
                <w:bCs/>
                <w:color w:val="auto"/>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如理财产品不成立，华夏</w:t>
            </w:r>
            <w:r>
              <w:rPr>
                <w:rFonts w:hint="eastAsia" w:ascii="仿宋" w:hAnsi="仿宋" w:eastAsia="仿宋"/>
                <w:bCs/>
                <w:color w:val="auto"/>
                <w:szCs w:val="21"/>
              </w:rPr>
              <w:t>理财</w:t>
            </w:r>
            <w:r>
              <w:rPr>
                <w:rFonts w:ascii="仿宋" w:hAnsi="仿宋" w:eastAsia="仿宋"/>
                <w:bCs/>
                <w:color w:val="auto"/>
                <w:szCs w:val="21"/>
              </w:rPr>
              <w:t>将于</w:t>
            </w:r>
            <w:r>
              <w:rPr>
                <w:rFonts w:hint="eastAsia" w:ascii="仿宋" w:hAnsi="仿宋" w:eastAsia="仿宋"/>
                <w:bCs/>
                <w:color w:val="auto"/>
                <w:szCs w:val="21"/>
              </w:rPr>
              <w:t>原定成立日后2</w:t>
            </w:r>
            <w:r>
              <w:rPr>
                <w:rFonts w:ascii="仿宋" w:hAnsi="仿宋" w:eastAsia="仿宋"/>
                <w:bCs/>
                <w:color w:val="auto"/>
                <w:szCs w:val="21"/>
              </w:rPr>
              <w:t>个工作日</w:t>
            </w:r>
            <w:r>
              <w:rPr>
                <w:rFonts w:hint="eastAsia" w:ascii="仿宋" w:hAnsi="仿宋" w:eastAsia="仿宋"/>
                <w:bCs/>
                <w:color w:val="auto"/>
                <w:szCs w:val="21"/>
              </w:rPr>
              <w:t>内</w:t>
            </w:r>
            <w:r>
              <w:rPr>
                <w:rFonts w:ascii="仿宋" w:hAnsi="仿宋" w:eastAsia="仿宋"/>
                <w:bCs/>
                <w:color w:val="auto"/>
                <w:szCs w:val="21"/>
              </w:rPr>
              <w:t>通过</w:t>
            </w:r>
            <w:r>
              <w:rPr>
                <w:rFonts w:hint="eastAsia" w:ascii="仿宋" w:hAnsi="仿宋" w:eastAsia="仿宋"/>
                <w:bCs/>
                <w:color w:val="auto"/>
                <w:szCs w:val="21"/>
              </w:rPr>
              <w:t>本产品说明书约定的信息披露渠道</w:t>
            </w:r>
            <w:r>
              <w:rPr>
                <w:rFonts w:ascii="仿宋" w:hAnsi="仿宋" w:eastAsia="仿宋"/>
                <w:bCs/>
                <w:color w:val="auto"/>
                <w:szCs w:val="21"/>
              </w:rPr>
              <w:t>发布本理财产品不成立的公告</w:t>
            </w:r>
            <w:r>
              <w:rPr>
                <w:rFonts w:hint="eastAsia" w:ascii="仿宋" w:hAnsi="仿宋" w:eastAsia="仿宋"/>
                <w:bCs/>
                <w:color w:val="auto"/>
                <w:szCs w:val="21"/>
              </w:rPr>
              <w:t>。通过华夏银行/华夏理财购买的，将</w:t>
            </w:r>
            <w:r>
              <w:rPr>
                <w:rFonts w:ascii="仿宋" w:hAnsi="仿宋" w:eastAsia="仿宋"/>
                <w:bCs/>
                <w:color w:val="auto"/>
                <w:szCs w:val="21"/>
              </w:rPr>
              <w:t>于原定成立日</w:t>
            </w:r>
            <w:r>
              <w:rPr>
                <w:rFonts w:hint="eastAsia" w:ascii="仿宋" w:hAnsi="仿宋" w:eastAsia="仿宋"/>
                <w:bCs/>
                <w:color w:val="auto"/>
                <w:szCs w:val="21"/>
              </w:rPr>
              <w:t>后</w:t>
            </w:r>
            <w:r>
              <w:rPr>
                <w:rFonts w:ascii="仿宋" w:hAnsi="仿宋" w:eastAsia="仿宋"/>
                <w:bCs/>
                <w:color w:val="auto"/>
                <w:szCs w:val="21"/>
              </w:rPr>
              <w:t>2个工作日内将已</w:t>
            </w:r>
            <w:r>
              <w:rPr>
                <w:rFonts w:hint="eastAsia" w:ascii="仿宋" w:hAnsi="仿宋" w:eastAsia="仿宋"/>
                <w:bCs/>
                <w:color w:val="auto"/>
                <w:szCs w:val="21"/>
              </w:rPr>
              <w:t>募集</w:t>
            </w:r>
            <w:r>
              <w:rPr>
                <w:rFonts w:ascii="仿宋" w:hAnsi="仿宋" w:eastAsia="仿宋"/>
                <w:bCs/>
                <w:color w:val="auto"/>
                <w:szCs w:val="21"/>
              </w:rPr>
              <w:t>资金</w:t>
            </w:r>
            <w:r>
              <w:rPr>
                <w:rFonts w:hint="eastAsia" w:ascii="仿宋" w:hAnsi="仿宋" w:eastAsia="仿宋"/>
                <w:bCs/>
                <w:color w:val="auto"/>
                <w:szCs w:val="21"/>
              </w:rPr>
              <w:t>退</w:t>
            </w:r>
            <w:r>
              <w:rPr>
                <w:rFonts w:ascii="仿宋" w:hAnsi="仿宋" w:eastAsia="仿宋"/>
                <w:bCs/>
                <w:color w:val="auto"/>
                <w:szCs w:val="21"/>
              </w:rPr>
              <w:t>回</w:t>
            </w:r>
            <w:r>
              <w:rPr>
                <w:rFonts w:hint="eastAsia" w:ascii="仿宋" w:hAnsi="仿宋" w:eastAsia="仿宋"/>
                <w:bCs/>
                <w:color w:val="auto"/>
                <w:szCs w:val="21"/>
              </w:rPr>
              <w:t>华夏银行/华夏理财客户的理财签约</w:t>
            </w:r>
            <w:r>
              <w:rPr>
                <w:rFonts w:ascii="仿宋" w:hAnsi="仿宋" w:eastAsia="仿宋"/>
                <w:bCs/>
                <w:color w:val="auto"/>
                <w:szCs w:val="21"/>
              </w:rPr>
              <w:t>账户</w:t>
            </w:r>
            <w:r>
              <w:rPr>
                <w:rFonts w:hint="eastAsia" w:ascii="仿宋" w:hAnsi="仿宋" w:eastAsia="仿宋"/>
                <w:bCs/>
                <w:color w:val="auto"/>
                <w:szCs w:val="21"/>
              </w:rPr>
              <w:t>（</w:t>
            </w:r>
            <w:r>
              <w:rPr>
                <w:rFonts w:hint="eastAsia" w:ascii="仿宋" w:hAnsi="仿宋" w:eastAsia="仿宋"/>
                <w:b/>
                <w:color w:val="auto"/>
                <w:szCs w:val="21"/>
              </w:rPr>
              <w:t>原定</w:t>
            </w:r>
            <w:r>
              <w:rPr>
                <w:rFonts w:ascii="仿宋" w:hAnsi="仿宋" w:eastAsia="仿宋"/>
                <w:b/>
                <w:color w:val="auto"/>
                <w:szCs w:val="21"/>
              </w:rPr>
              <w:t>成立日至资金到账日之间</w:t>
            </w:r>
            <w:r>
              <w:rPr>
                <w:rFonts w:hint="eastAsia" w:ascii="仿宋" w:hAnsi="仿宋" w:eastAsia="仿宋"/>
                <w:b/>
                <w:color w:val="auto"/>
                <w:szCs w:val="21"/>
              </w:rPr>
              <w:t>不计</w:t>
            </w:r>
            <w:r>
              <w:rPr>
                <w:rFonts w:ascii="仿宋" w:hAnsi="仿宋" w:eastAsia="仿宋"/>
                <w:b/>
                <w:color w:val="auto"/>
                <w:szCs w:val="21"/>
              </w:rPr>
              <w:t>利息</w:t>
            </w:r>
            <w:r>
              <w:rPr>
                <w:rFonts w:hint="eastAsia" w:ascii="仿宋" w:hAnsi="仿宋" w:eastAsia="仿宋"/>
                <w:bCs/>
                <w:color w:val="auto"/>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color w:val="auto"/>
                <w:szCs w:val="21"/>
                <w:lang w:val="en-US" w:eastAsia="zh-CN"/>
              </w:rPr>
            </w:pPr>
            <w:r>
              <w:rPr>
                <w:rFonts w:hint="eastAsia" w:ascii="仿宋" w:hAnsi="仿宋" w:eastAsia="仿宋" w:cs="Cambria"/>
                <w:bCs/>
                <w:color w:val="auto"/>
                <w:szCs w:val="21"/>
                <w:lang w:val="en-US" w:eastAsia="zh-CN"/>
              </w:rPr>
              <w:t>A</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ascii="仿宋" w:hAnsi="仿宋" w:eastAsia="仿宋"/>
                <w:bCs/>
                <w:color w:val="auto"/>
                <w:szCs w:val="21"/>
              </w:rPr>
            </w:pP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lang w:eastAsia="zh-CN"/>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E</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ascii="仿宋" w:hAnsi="仿宋" w:eastAsia="仿宋"/>
                <w:color w:val="auto"/>
              </w:rPr>
            </w:pPr>
            <w:r>
              <w:rPr>
                <w:rFonts w:hint="eastAsia" w:ascii="仿宋" w:hAnsi="仿宋" w:eastAsia="仿宋"/>
                <w:color w:val="auto"/>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color w:val="auto"/>
                <w:szCs w:val="21"/>
              </w:rPr>
            </w:pPr>
            <w:r>
              <w:rPr>
                <w:rFonts w:hint="eastAsia" w:ascii="仿宋" w:hAnsi="仿宋" w:eastAsia="仿宋"/>
                <w:bCs/>
                <w:color w:val="auto"/>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认购</w:t>
            </w:r>
            <w:r>
              <w:rPr>
                <w:rFonts w:hint="eastAsia" w:ascii="仿宋" w:hAnsi="仿宋" w:eastAsia="仿宋"/>
                <w:bCs/>
                <w:color w:val="auto"/>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rPr>
                <w:rFonts w:ascii="仿宋" w:hAnsi="仿宋" w:eastAsia="仿宋"/>
                <w:bCs/>
                <w:color w:val="auto"/>
                <w:szCs w:val="21"/>
              </w:rPr>
            </w:pPr>
            <w:r>
              <w:rPr>
                <w:rFonts w:hint="eastAsia" w:ascii="仿宋" w:hAnsi="仿宋" w:eastAsia="仿宋"/>
                <w:color w:val="auto"/>
                <w:lang w:val="en-US" w:eastAsia="zh-CN"/>
              </w:rPr>
              <w:t>最高持有限额要求：本理财产品单一投资者持有本产品份额数不得超过产品份额总数的50%。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追加</w:t>
            </w:r>
            <w:r>
              <w:rPr>
                <w:rFonts w:hint="eastAsia" w:ascii="仿宋" w:hAnsi="仿宋" w:eastAsia="仿宋"/>
                <w:bCs/>
                <w:color w:val="auto"/>
                <w:szCs w:val="21"/>
              </w:rPr>
              <w:t>认</w:t>
            </w:r>
            <w:r>
              <w:rPr>
                <w:rFonts w:ascii="仿宋" w:hAnsi="仿宋" w:eastAsia="仿宋"/>
                <w:bCs/>
                <w:color w:val="auto"/>
                <w:szCs w:val="21"/>
              </w:rPr>
              <w:t>购</w:t>
            </w:r>
            <w:r>
              <w:rPr>
                <w:rFonts w:hint="eastAsia" w:ascii="仿宋" w:hAnsi="仿宋" w:eastAsia="仿宋"/>
                <w:bCs/>
                <w:color w:val="auto"/>
                <w:szCs w:val="21"/>
              </w:rPr>
              <w:t xml:space="preserve">     </w:t>
            </w:r>
            <w:r>
              <w:rPr>
                <w:rFonts w:ascii="仿宋" w:hAnsi="仿宋" w:eastAsia="仿宋"/>
                <w:bCs/>
                <w:color w:val="auto"/>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color w:val="auto"/>
                <w:szCs w:val="21"/>
              </w:rPr>
            </w:pPr>
            <w:r>
              <w:rPr>
                <w:rFonts w:hint="eastAsia" w:ascii="仿宋" w:hAnsi="仿宋" w:eastAsia="仿宋"/>
                <w:bCs/>
                <w:color w:val="auto"/>
                <w:szCs w:val="21"/>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元的整数倍追加</w:t>
            </w:r>
            <w:r>
              <w:rPr>
                <w:rFonts w:hint="eastAsia" w:ascii="仿宋" w:hAnsi="仿宋" w:eastAsia="仿宋"/>
                <w:bCs/>
                <w:color w:val="auto"/>
                <w:szCs w:val="21"/>
              </w:rPr>
              <w:t>。</w:t>
            </w:r>
          </w:p>
          <w:p>
            <w:pPr>
              <w:adjustRightInd w:val="0"/>
              <w:snapToGrid w:val="0"/>
              <w:spacing w:line="240" w:lineRule="atLeast"/>
              <w:ind w:firstLine="420"/>
              <w:rPr>
                <w:rFonts w:ascii="仿宋" w:hAnsi="仿宋" w:eastAsia="仿宋"/>
                <w:bCs/>
                <w:color w:val="auto"/>
                <w:szCs w:val="21"/>
              </w:rPr>
            </w:pPr>
            <w:r>
              <w:rPr>
                <w:rFonts w:hint="eastAsia" w:ascii="仿宋" w:hAnsi="仿宋" w:eastAsia="仿宋"/>
                <w:color w:val="auto"/>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bCs/>
                <w:color w:val="auto"/>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color w:val="auto"/>
                <w:szCs w:val="21"/>
              </w:rPr>
            </w:pPr>
            <w:r>
              <w:rPr>
                <w:rFonts w:hint="eastAsia" w:ascii="仿宋" w:hAnsi="仿宋" w:eastAsia="仿宋"/>
                <w:bCs/>
                <w:color w:val="auto"/>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color w:val="auto"/>
                <w:szCs w:val="21"/>
              </w:rPr>
            </w:pPr>
            <w:r>
              <w:rPr>
                <w:rFonts w:hint="eastAsia" w:ascii="仿宋" w:hAnsi="仿宋" w:eastAsia="仿宋"/>
                <w:bCs/>
                <w:color w:val="auto"/>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color w:val="auto"/>
                <w:szCs w:val="21"/>
              </w:rPr>
            </w:pPr>
            <w:r>
              <w:rPr>
                <w:rFonts w:hint="eastAsia" w:ascii="仿宋" w:hAnsi="仿宋" w:eastAsia="仿宋"/>
                <w:b/>
                <w:bCs/>
                <w:color w:val="auto"/>
                <w:szCs w:val="21"/>
              </w:rPr>
              <w:t>华夏理财有权在成立日采取比例确认等方式对认购申请给予部分确认。</w:t>
            </w:r>
            <w:r>
              <w:rPr>
                <w:rFonts w:hint="eastAsia" w:ascii="仿宋" w:hAnsi="仿宋" w:eastAsia="仿宋"/>
                <w:b/>
                <w:color w:val="auto"/>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color w:val="auto"/>
                <w:szCs w:val="21"/>
              </w:rPr>
            </w:pPr>
            <w:r>
              <w:rPr>
                <w:rFonts w:hint="eastAsia" w:ascii="仿宋" w:hAnsi="仿宋" w:eastAsia="仿宋"/>
                <w:bCs/>
                <w:color w:val="auto"/>
                <w:szCs w:val="21"/>
              </w:rPr>
              <w:t>若因超过产品规模上限,华夏理财拒绝或部分接受投资者的认购</w:t>
            </w:r>
            <w:r>
              <w:rPr>
                <w:rFonts w:ascii="仿宋" w:hAnsi="仿宋" w:eastAsia="仿宋"/>
                <w:bCs/>
                <w:color w:val="auto"/>
                <w:szCs w:val="21"/>
              </w:rPr>
              <w:t>申请时，</w:t>
            </w:r>
            <w:r>
              <w:rPr>
                <w:rFonts w:hint="eastAsia" w:ascii="仿宋" w:hAnsi="仿宋" w:eastAsia="仿宋"/>
                <w:bCs/>
                <w:color w:val="auto"/>
                <w:szCs w:val="21"/>
              </w:rPr>
              <w:t>华夏理财将于2个</w:t>
            </w:r>
            <w:r>
              <w:rPr>
                <w:rFonts w:ascii="仿宋" w:hAnsi="仿宋" w:eastAsia="仿宋"/>
                <w:bCs/>
                <w:color w:val="auto"/>
                <w:szCs w:val="21"/>
              </w:rPr>
              <w:t>工作日</w:t>
            </w:r>
            <w:r>
              <w:rPr>
                <w:rFonts w:hint="eastAsia" w:ascii="仿宋" w:hAnsi="仿宋" w:eastAsia="仿宋"/>
                <w:bCs/>
                <w:color w:val="auto"/>
                <w:szCs w:val="21"/>
              </w:rPr>
              <w:t>内</w:t>
            </w:r>
            <w:r>
              <w:rPr>
                <w:rFonts w:ascii="仿宋" w:hAnsi="仿宋" w:eastAsia="仿宋"/>
                <w:bCs/>
                <w:color w:val="auto"/>
                <w:szCs w:val="21"/>
              </w:rPr>
              <w:t>通过</w:t>
            </w:r>
            <w:r>
              <w:rPr>
                <w:rFonts w:hint="eastAsia" w:ascii="仿宋" w:hAnsi="仿宋" w:eastAsia="仿宋"/>
                <w:bCs/>
                <w:color w:val="auto"/>
                <w:szCs w:val="21"/>
              </w:rPr>
              <w:t>本产品说明书约定的信息披露渠道</w:t>
            </w:r>
            <w:r>
              <w:rPr>
                <w:rFonts w:ascii="仿宋" w:hAnsi="仿宋" w:eastAsia="仿宋"/>
                <w:bCs/>
                <w:color w:val="auto"/>
                <w:szCs w:val="21"/>
              </w:rPr>
              <w:t>披露</w:t>
            </w:r>
            <w:r>
              <w:rPr>
                <w:rFonts w:hint="eastAsia" w:ascii="仿宋" w:hAnsi="仿宋" w:eastAsia="仿宋"/>
                <w:bCs/>
                <w:color w:val="auto"/>
                <w:szCs w:val="21"/>
              </w:rPr>
              <w:t>相应</w:t>
            </w:r>
            <w:r>
              <w:rPr>
                <w:rFonts w:ascii="仿宋" w:hAnsi="仿宋" w:eastAsia="仿宋"/>
                <w:bCs/>
                <w:color w:val="auto"/>
                <w:szCs w:val="21"/>
              </w:rPr>
              <w:t>信息</w:t>
            </w:r>
            <w:r>
              <w:rPr>
                <w:rFonts w:hint="eastAsia" w:ascii="仿宋" w:hAnsi="仿宋" w:eastAsia="仿宋"/>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（1</w:t>
            </w:r>
            <w:r>
              <w:rPr>
                <w:rFonts w:hint="eastAsia" w:ascii="仿宋" w:hAnsi="仿宋" w:eastAsia="仿宋"/>
                <w:bCs/>
                <w:color w:val="auto"/>
                <w:szCs w:val="21"/>
              </w:rPr>
              <w:t>）通过华夏理财自有销售渠道认购的，投资者撤销的本金在</w:t>
            </w:r>
            <w:r>
              <w:rPr>
                <w:rFonts w:ascii="仿宋" w:hAnsi="仿宋" w:eastAsia="仿宋"/>
                <w:bCs/>
                <w:color w:val="auto"/>
                <w:szCs w:val="21"/>
                <w:u w:val="single"/>
              </w:rPr>
              <w:t>2</w:t>
            </w:r>
            <w:r>
              <w:rPr>
                <w:rFonts w:ascii="仿宋" w:hAnsi="仿宋" w:eastAsia="仿宋"/>
                <w:bCs/>
                <w:color w:val="auto"/>
                <w:szCs w:val="21"/>
              </w:rPr>
              <w:t>个工作日内</w:t>
            </w:r>
            <w:r>
              <w:rPr>
                <w:rFonts w:hint="eastAsia" w:ascii="仿宋" w:hAnsi="仿宋" w:eastAsia="仿宋"/>
                <w:bCs/>
                <w:color w:val="auto"/>
                <w:szCs w:val="21"/>
              </w:rPr>
              <w:t>到账。</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（2</w:t>
            </w:r>
            <w:r>
              <w:rPr>
                <w:rFonts w:hint="eastAsia" w:ascii="仿宋" w:hAnsi="仿宋" w:eastAsia="仿宋"/>
                <w:bCs/>
                <w:color w:val="auto"/>
                <w:szCs w:val="21"/>
              </w:rPr>
              <w:t>）通过华夏银行认购的，投资者撤销的本金实时到账。</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（3</w:t>
            </w:r>
            <w:r>
              <w:rPr>
                <w:rFonts w:hint="eastAsia" w:ascii="仿宋" w:hAnsi="仿宋" w:eastAsia="仿宋"/>
                <w:bCs/>
                <w:color w:val="auto"/>
                <w:szCs w:val="21"/>
              </w:rPr>
              <w:t>）通过华夏理财认购的</w:t>
            </w:r>
            <w:r>
              <w:rPr>
                <w:rFonts w:ascii="仿宋" w:hAnsi="仿宋" w:eastAsia="仿宋"/>
                <w:bCs/>
                <w:color w:val="auto"/>
                <w:szCs w:val="21"/>
              </w:rPr>
              <w:t>，</w:t>
            </w:r>
            <w:r>
              <w:rPr>
                <w:rFonts w:hint="eastAsia" w:ascii="仿宋" w:hAnsi="仿宋" w:eastAsia="仿宋"/>
                <w:color w:val="auto"/>
              </w:rPr>
              <w:t>募集期最后一日1</w:t>
            </w:r>
            <w:r>
              <w:rPr>
                <w:rFonts w:ascii="仿宋" w:hAnsi="仿宋" w:eastAsia="仿宋"/>
                <w:color w:val="auto"/>
              </w:rPr>
              <w:t>7</w:t>
            </w:r>
            <w:r>
              <w:rPr>
                <w:rFonts w:hint="eastAsia" w:ascii="仿宋" w:hAnsi="仿宋" w:eastAsia="仿宋"/>
                <w:color w:val="auto"/>
              </w:rPr>
              <w:t>:30（含）之后</w:t>
            </w:r>
            <w:r>
              <w:rPr>
                <w:rFonts w:hint="eastAsia" w:ascii="仿宋" w:hAnsi="仿宋" w:eastAsia="仿宋"/>
                <w:bCs/>
                <w:color w:val="auto"/>
                <w:szCs w:val="21"/>
              </w:rPr>
              <w:t>不能进行撤销。</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（4</w:t>
            </w:r>
            <w:r>
              <w:rPr>
                <w:rFonts w:hint="eastAsia" w:ascii="仿宋" w:hAnsi="仿宋" w:eastAsia="仿宋"/>
                <w:bCs/>
                <w:color w:val="auto"/>
                <w:szCs w:val="21"/>
              </w:rPr>
              <w:t>）通过华夏银行认购的</w:t>
            </w:r>
            <w:r>
              <w:rPr>
                <w:rFonts w:ascii="仿宋" w:hAnsi="仿宋" w:eastAsia="仿宋"/>
                <w:bCs/>
                <w:color w:val="auto"/>
                <w:szCs w:val="21"/>
              </w:rPr>
              <w:t>，</w:t>
            </w:r>
            <w:r>
              <w:rPr>
                <w:rFonts w:hint="eastAsia" w:ascii="仿宋" w:hAnsi="仿宋" w:eastAsia="仿宋"/>
                <w:color w:val="auto"/>
              </w:rPr>
              <w:t>募集期最后一日1</w:t>
            </w:r>
            <w:r>
              <w:rPr>
                <w:rFonts w:ascii="仿宋" w:hAnsi="仿宋" w:eastAsia="仿宋"/>
                <w:color w:val="auto"/>
              </w:rPr>
              <w:t>7</w:t>
            </w:r>
            <w:r>
              <w:rPr>
                <w:rFonts w:hint="eastAsia" w:ascii="仿宋" w:hAnsi="仿宋" w:eastAsia="仿宋"/>
                <w:color w:val="auto"/>
              </w:rPr>
              <w:t>:30（含）之后</w:t>
            </w:r>
            <w:r>
              <w:rPr>
                <w:rFonts w:hint="eastAsia" w:ascii="仿宋" w:hAnsi="仿宋" w:eastAsia="仿宋"/>
                <w:bCs/>
                <w:color w:val="auto"/>
                <w:szCs w:val="21"/>
              </w:rPr>
              <w:t>不能进行撤销。</w:t>
            </w:r>
          </w:p>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本理财产品为</w:t>
            </w:r>
            <w:r>
              <w:rPr>
                <w:rFonts w:ascii="仿宋" w:hAnsi="仿宋" w:eastAsia="仿宋"/>
                <w:bCs/>
                <w:color w:val="auto"/>
                <w:szCs w:val="21"/>
              </w:rPr>
              <w:t>公募</w:t>
            </w:r>
            <w:r>
              <w:rPr>
                <w:rFonts w:hint="eastAsia" w:ascii="仿宋" w:hAnsi="仿宋" w:eastAsia="仿宋"/>
                <w:bCs/>
                <w:color w:val="auto"/>
                <w:szCs w:val="21"/>
              </w:rPr>
              <w:t>理财</w:t>
            </w:r>
            <w:r>
              <w:rPr>
                <w:rFonts w:ascii="仿宋" w:hAnsi="仿宋" w:eastAsia="仿宋"/>
                <w:bCs/>
                <w:color w:val="auto"/>
                <w:szCs w:val="21"/>
              </w:rPr>
              <w:t>产品</w:t>
            </w:r>
            <w:r>
              <w:rPr>
                <w:rFonts w:hint="eastAsia" w:ascii="仿宋" w:hAnsi="仿宋" w:eastAsia="仿宋"/>
                <w:bCs/>
                <w:color w:val="auto"/>
                <w:szCs w:val="21"/>
              </w:rPr>
              <w:t>，根据监管</w:t>
            </w:r>
            <w:r>
              <w:rPr>
                <w:rFonts w:ascii="仿宋" w:hAnsi="仿宋" w:eastAsia="仿宋"/>
                <w:bCs/>
                <w:color w:val="auto"/>
                <w:szCs w:val="21"/>
              </w:rPr>
              <w:t>部门规定，</w:t>
            </w:r>
            <w:r>
              <w:rPr>
                <w:rFonts w:hint="eastAsia" w:ascii="仿宋" w:hAnsi="仿宋" w:eastAsia="仿宋"/>
                <w:bCs/>
                <w:color w:val="auto"/>
                <w:szCs w:val="21"/>
              </w:rPr>
              <w:t>无需</w:t>
            </w:r>
            <w:r>
              <w:rPr>
                <w:rFonts w:ascii="仿宋" w:hAnsi="仿宋" w:eastAsia="仿宋"/>
                <w:bCs/>
                <w:color w:val="auto"/>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color w:val="auto"/>
                <w:szCs w:val="21"/>
              </w:rPr>
            </w:pPr>
            <w:r>
              <w:rPr>
                <w:rFonts w:hint="eastAsia" w:ascii="仿宋" w:hAnsi="仿宋" w:eastAsia="仿宋"/>
                <w:b/>
                <w:bCs w:val="0"/>
                <w:color w:val="auto"/>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val="0"/>
                <w:color w:val="auto"/>
                <w:szCs w:val="21"/>
              </w:rPr>
            </w:pPr>
            <w:r>
              <w:rPr>
                <w:rFonts w:hint="eastAsia" w:ascii="仿宋" w:hAnsi="仿宋" w:eastAsia="仿宋"/>
                <w:b/>
                <w:bCs w:val="0"/>
                <w:color w:val="auto"/>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bCs w:val="0"/>
                <w:color w:val="auto"/>
                <w:szCs w:val="21"/>
              </w:rPr>
            </w:pPr>
            <w:r>
              <w:rPr>
                <w:rFonts w:hint="eastAsia" w:ascii="仿宋" w:hAnsi="仿宋" w:eastAsia="仿宋"/>
                <w:b/>
                <w:bCs w:val="0"/>
                <w:color w:val="auto"/>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color w:val="auto"/>
                <w:szCs w:val="21"/>
              </w:rPr>
            </w:pPr>
            <w:r>
              <w:rPr>
                <w:rFonts w:hint="eastAsia" w:ascii="仿宋" w:hAnsi="仿宋" w:eastAsia="仿宋"/>
                <w:b/>
                <w:bCs w:val="0"/>
                <w:color w:val="auto"/>
                <w:szCs w:val="21"/>
              </w:rPr>
              <w:t>0.03%/年，以前一日资产净值为基数，每日计提。公式如下：</w:t>
            </w:r>
          </w:p>
          <w:p>
            <w:pPr>
              <w:adjustRightInd w:val="0"/>
              <w:snapToGrid w:val="0"/>
              <w:spacing w:line="240" w:lineRule="atLeast"/>
              <w:ind w:firstLine="420"/>
              <w:jc w:val="left"/>
              <w:rPr>
                <w:rFonts w:ascii="仿宋" w:hAnsi="仿宋" w:eastAsia="仿宋"/>
                <w:b/>
                <w:bCs w:val="0"/>
                <w:color w:val="auto"/>
                <w:szCs w:val="21"/>
              </w:rPr>
            </w:pPr>
            <w:r>
              <w:rPr>
                <w:rFonts w:hint="eastAsia" w:ascii="仿宋" w:hAnsi="仿宋" w:eastAsia="仿宋"/>
                <w:b/>
                <w:bCs w:val="0"/>
                <w:color w:val="auto"/>
                <w:szCs w:val="21"/>
              </w:rPr>
              <w:t>F=E×【0.03%】/当年天数。F为托管费；E为计算</w:t>
            </w:r>
            <w:r>
              <w:rPr>
                <w:rFonts w:ascii="仿宋" w:hAnsi="仿宋" w:eastAsia="仿宋"/>
                <w:b/>
                <w:bCs w:val="0"/>
                <w:color w:val="auto"/>
                <w:szCs w:val="21"/>
              </w:rPr>
              <w:t>基数</w:t>
            </w:r>
            <w:r>
              <w:rPr>
                <w:rFonts w:hint="eastAsia" w:ascii="仿宋" w:hAnsi="仿宋" w:eastAsia="仿宋"/>
                <w:b/>
                <w:bCs w:val="0"/>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color w:val="auto"/>
                <w:szCs w:val="21"/>
              </w:rPr>
            </w:pPr>
            <w:r>
              <w:rPr>
                <w:rFonts w:hint="eastAsia" w:ascii="仿宋" w:hAnsi="仿宋" w:eastAsia="仿宋"/>
                <w:b/>
                <w:bCs w:val="0"/>
                <w:color w:val="auto"/>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left"/>
              <w:rPr>
                <w:rFonts w:hint="eastAsia" w:ascii="仿宋" w:hAnsi="仿宋" w:eastAsia="仿宋" w:cs="Cambria"/>
                <w:b/>
                <w:bCs w:val="0"/>
                <w:color w:val="auto"/>
                <w:szCs w:val="21"/>
                <w:lang w:val="en-US" w:eastAsia="zh-CN"/>
              </w:rPr>
            </w:pPr>
            <w:r>
              <w:rPr>
                <w:rFonts w:hint="eastAsia" w:ascii="仿宋" w:hAnsi="仿宋" w:eastAsia="仿宋" w:cs="Cambria"/>
                <w:b/>
                <w:bCs w:val="0"/>
                <w:color w:val="auto"/>
                <w:szCs w:val="21"/>
                <w:lang w:val="en-US" w:eastAsia="zh-CN"/>
              </w:rPr>
              <w:t xml:space="preserve">    A</w:t>
            </w:r>
            <w:r>
              <w:rPr>
                <w:rFonts w:hint="eastAsia" w:ascii="仿宋" w:hAnsi="仿宋" w:eastAsia="仿宋" w:cs="Cambria"/>
                <w:b/>
                <w:bCs w:val="0"/>
                <w:color w:val="auto"/>
                <w:szCs w:val="21"/>
              </w:rPr>
              <w:t>份额：</w:t>
            </w:r>
            <w:r>
              <w:rPr>
                <w:rFonts w:hint="eastAsia" w:ascii="仿宋" w:hAnsi="仿宋" w:eastAsia="仿宋"/>
                <w:b/>
                <w:bCs w:val="0"/>
                <w:color w:val="auto"/>
                <w:szCs w:val="21"/>
              </w:rPr>
              <w:t>销售</w:t>
            </w:r>
            <w:r>
              <w:rPr>
                <w:rFonts w:ascii="仿宋" w:hAnsi="仿宋" w:eastAsia="仿宋"/>
                <w:b/>
                <w:bCs w:val="0"/>
                <w:color w:val="auto"/>
                <w:szCs w:val="21"/>
              </w:rPr>
              <w:t>手续费率</w:t>
            </w:r>
            <w:r>
              <w:rPr>
                <w:rFonts w:hint="eastAsia" w:ascii="仿宋" w:hAnsi="仿宋" w:eastAsia="仿宋"/>
                <w:b/>
                <w:bCs w:val="0"/>
                <w:color w:val="auto"/>
                <w:szCs w:val="21"/>
              </w:rPr>
              <w:t>为</w:t>
            </w:r>
            <w:r>
              <w:rPr>
                <w:rFonts w:ascii="仿宋" w:hAnsi="仿宋" w:eastAsia="仿宋"/>
                <w:b/>
                <w:bCs w:val="0"/>
                <w:color w:val="auto"/>
                <w:szCs w:val="21"/>
              </w:rPr>
              <w:t>0.</w:t>
            </w:r>
            <w:r>
              <w:rPr>
                <w:rFonts w:hint="eastAsia" w:ascii="仿宋" w:hAnsi="仿宋" w:eastAsia="仿宋"/>
                <w:b/>
                <w:bCs w:val="0"/>
                <w:color w:val="auto"/>
                <w:szCs w:val="21"/>
                <w:lang w:val="en-US" w:eastAsia="zh-CN"/>
              </w:rPr>
              <w:t>10</w:t>
            </w:r>
            <w:r>
              <w:rPr>
                <w:rFonts w:hint="eastAsia" w:ascii="仿宋" w:hAnsi="仿宋" w:eastAsia="仿宋"/>
                <w:b/>
                <w:bCs w:val="0"/>
                <w:color w:val="auto"/>
                <w:szCs w:val="21"/>
              </w:rPr>
              <w:t>%/年，以前一日资产净值为基数，每日计提。</w:t>
            </w:r>
          </w:p>
          <w:p>
            <w:pPr>
              <w:adjustRightInd w:val="0"/>
              <w:snapToGrid w:val="0"/>
              <w:spacing w:line="300" w:lineRule="exact"/>
              <w:jc w:val="left"/>
              <w:rPr>
                <w:rFonts w:hint="eastAsia" w:ascii="仿宋" w:hAnsi="仿宋" w:eastAsia="仿宋"/>
                <w:b/>
                <w:bCs w:val="0"/>
                <w:color w:val="auto"/>
                <w:szCs w:val="21"/>
              </w:rPr>
            </w:pPr>
            <w:r>
              <w:rPr>
                <w:rFonts w:hint="eastAsia" w:ascii="仿宋" w:hAnsi="仿宋" w:eastAsia="仿宋" w:cs="Cambria"/>
                <w:b/>
                <w:bCs w:val="0"/>
                <w:color w:val="auto"/>
                <w:szCs w:val="21"/>
                <w:lang w:val="en-US" w:eastAsia="zh-CN"/>
              </w:rPr>
              <w:t xml:space="preserve">    B</w:t>
            </w:r>
            <w:r>
              <w:rPr>
                <w:rFonts w:hint="eastAsia" w:ascii="仿宋" w:hAnsi="仿宋" w:eastAsia="仿宋" w:cs="Cambria"/>
                <w:b/>
                <w:bCs w:val="0"/>
                <w:color w:val="auto"/>
                <w:szCs w:val="21"/>
              </w:rPr>
              <w:t>份额：</w:t>
            </w:r>
            <w:r>
              <w:rPr>
                <w:rFonts w:hint="eastAsia" w:ascii="仿宋" w:hAnsi="仿宋" w:eastAsia="仿宋"/>
                <w:b/>
                <w:bCs w:val="0"/>
                <w:color w:val="auto"/>
                <w:szCs w:val="21"/>
              </w:rPr>
              <w:t>销售</w:t>
            </w:r>
            <w:r>
              <w:rPr>
                <w:rFonts w:ascii="仿宋" w:hAnsi="仿宋" w:eastAsia="仿宋"/>
                <w:b/>
                <w:bCs w:val="0"/>
                <w:color w:val="auto"/>
                <w:szCs w:val="21"/>
              </w:rPr>
              <w:t>手续费率</w:t>
            </w:r>
            <w:r>
              <w:rPr>
                <w:rFonts w:hint="eastAsia" w:ascii="仿宋" w:hAnsi="仿宋" w:eastAsia="仿宋"/>
                <w:b/>
                <w:bCs w:val="0"/>
                <w:color w:val="auto"/>
                <w:szCs w:val="21"/>
              </w:rPr>
              <w:t>为</w:t>
            </w:r>
            <w:r>
              <w:rPr>
                <w:rFonts w:ascii="仿宋" w:hAnsi="仿宋" w:eastAsia="仿宋"/>
                <w:b/>
                <w:bCs w:val="0"/>
                <w:color w:val="auto"/>
                <w:szCs w:val="21"/>
              </w:rPr>
              <w:t>0.</w:t>
            </w:r>
            <w:r>
              <w:rPr>
                <w:rFonts w:hint="eastAsia" w:ascii="仿宋" w:hAnsi="仿宋" w:eastAsia="仿宋"/>
                <w:b/>
                <w:bCs w:val="0"/>
                <w:color w:val="auto"/>
                <w:szCs w:val="21"/>
                <w:lang w:val="en-US" w:eastAsia="zh-CN"/>
              </w:rPr>
              <w:t>15</w:t>
            </w:r>
            <w:r>
              <w:rPr>
                <w:rFonts w:hint="eastAsia" w:ascii="仿宋" w:hAnsi="仿宋" w:eastAsia="仿宋"/>
                <w:b/>
                <w:bCs w:val="0"/>
                <w:color w:val="auto"/>
                <w:szCs w:val="21"/>
              </w:rPr>
              <w:t>%/年，以前一日资产净值为基数，每日计提。</w:t>
            </w:r>
          </w:p>
          <w:p>
            <w:pPr>
              <w:adjustRightInd w:val="0"/>
              <w:snapToGrid w:val="0"/>
              <w:spacing w:line="300" w:lineRule="exact"/>
              <w:ind w:firstLine="420"/>
              <w:jc w:val="left"/>
              <w:rPr>
                <w:rFonts w:hint="eastAsia" w:ascii="仿宋" w:hAnsi="仿宋" w:eastAsia="仿宋"/>
                <w:b/>
                <w:bCs w:val="0"/>
                <w:color w:val="auto"/>
                <w:szCs w:val="21"/>
              </w:rPr>
            </w:pPr>
            <w:r>
              <w:rPr>
                <w:rFonts w:hint="eastAsia" w:ascii="仿宋" w:hAnsi="仿宋" w:eastAsia="仿宋" w:cs="Cambria"/>
                <w:b/>
                <w:bCs w:val="0"/>
                <w:color w:val="auto"/>
                <w:szCs w:val="21"/>
                <w:lang w:val="en-US" w:eastAsia="zh-CN"/>
              </w:rPr>
              <w:t>C</w:t>
            </w:r>
            <w:r>
              <w:rPr>
                <w:rFonts w:hint="eastAsia" w:ascii="仿宋" w:hAnsi="仿宋" w:eastAsia="仿宋" w:cs="Cambria"/>
                <w:b/>
                <w:bCs w:val="0"/>
                <w:color w:val="auto"/>
                <w:szCs w:val="21"/>
              </w:rPr>
              <w:t>份额：</w:t>
            </w:r>
            <w:r>
              <w:rPr>
                <w:rFonts w:hint="eastAsia" w:ascii="仿宋" w:hAnsi="仿宋" w:eastAsia="仿宋"/>
                <w:b/>
                <w:bCs w:val="0"/>
                <w:color w:val="auto"/>
                <w:szCs w:val="21"/>
              </w:rPr>
              <w:t>销售</w:t>
            </w:r>
            <w:r>
              <w:rPr>
                <w:rFonts w:ascii="仿宋" w:hAnsi="仿宋" w:eastAsia="仿宋"/>
                <w:b/>
                <w:bCs w:val="0"/>
                <w:color w:val="auto"/>
                <w:szCs w:val="21"/>
              </w:rPr>
              <w:t>手续费率</w:t>
            </w:r>
            <w:r>
              <w:rPr>
                <w:rFonts w:hint="eastAsia" w:ascii="仿宋" w:hAnsi="仿宋" w:eastAsia="仿宋"/>
                <w:b/>
                <w:bCs w:val="0"/>
                <w:color w:val="auto"/>
                <w:szCs w:val="21"/>
              </w:rPr>
              <w:t>为</w:t>
            </w:r>
            <w:r>
              <w:rPr>
                <w:rFonts w:ascii="仿宋" w:hAnsi="仿宋" w:eastAsia="仿宋"/>
                <w:b/>
                <w:bCs w:val="0"/>
                <w:color w:val="auto"/>
                <w:szCs w:val="21"/>
              </w:rPr>
              <w:t>0.</w:t>
            </w:r>
            <w:r>
              <w:rPr>
                <w:rFonts w:hint="eastAsia" w:ascii="仿宋" w:hAnsi="仿宋" w:eastAsia="仿宋"/>
                <w:b/>
                <w:bCs w:val="0"/>
                <w:color w:val="auto"/>
                <w:szCs w:val="21"/>
                <w:lang w:val="en-US" w:eastAsia="zh-CN"/>
              </w:rPr>
              <w:t>20</w:t>
            </w:r>
            <w:r>
              <w:rPr>
                <w:rFonts w:hint="eastAsia" w:ascii="仿宋" w:hAnsi="仿宋" w:eastAsia="仿宋"/>
                <w:b/>
                <w:bCs w:val="0"/>
                <w:color w:val="auto"/>
                <w:szCs w:val="21"/>
              </w:rPr>
              <w:t>%/年，以前一日资产净值为基数，每日计提。</w:t>
            </w:r>
          </w:p>
          <w:p>
            <w:pPr>
              <w:adjustRightInd w:val="0"/>
              <w:snapToGrid w:val="0"/>
              <w:spacing w:line="300" w:lineRule="exact"/>
              <w:ind w:firstLine="420"/>
              <w:jc w:val="left"/>
              <w:rPr>
                <w:rFonts w:hint="eastAsia" w:ascii="仿宋" w:hAnsi="仿宋" w:eastAsia="仿宋"/>
                <w:b/>
                <w:bCs w:val="0"/>
                <w:color w:val="auto"/>
                <w:szCs w:val="21"/>
              </w:rPr>
            </w:pPr>
            <w:r>
              <w:rPr>
                <w:rFonts w:hint="eastAsia" w:ascii="仿宋" w:hAnsi="仿宋" w:eastAsia="仿宋" w:cs="Cambria"/>
                <w:b/>
                <w:bCs w:val="0"/>
                <w:color w:val="auto"/>
                <w:szCs w:val="21"/>
                <w:lang w:val="en-US" w:eastAsia="zh-CN"/>
              </w:rPr>
              <w:t>D</w:t>
            </w:r>
            <w:r>
              <w:rPr>
                <w:rFonts w:hint="eastAsia" w:ascii="仿宋" w:hAnsi="仿宋" w:eastAsia="仿宋" w:cs="Cambria"/>
                <w:b/>
                <w:bCs w:val="0"/>
                <w:color w:val="auto"/>
                <w:szCs w:val="21"/>
              </w:rPr>
              <w:t>份额：</w:t>
            </w:r>
            <w:r>
              <w:rPr>
                <w:rFonts w:hint="eastAsia" w:ascii="仿宋" w:hAnsi="仿宋" w:eastAsia="仿宋"/>
                <w:b/>
                <w:bCs w:val="0"/>
                <w:color w:val="auto"/>
                <w:szCs w:val="21"/>
              </w:rPr>
              <w:t>销售</w:t>
            </w:r>
            <w:r>
              <w:rPr>
                <w:rFonts w:ascii="仿宋" w:hAnsi="仿宋" w:eastAsia="仿宋"/>
                <w:b/>
                <w:bCs w:val="0"/>
                <w:color w:val="auto"/>
                <w:szCs w:val="21"/>
              </w:rPr>
              <w:t>手续费率</w:t>
            </w:r>
            <w:r>
              <w:rPr>
                <w:rFonts w:hint="eastAsia" w:ascii="仿宋" w:hAnsi="仿宋" w:eastAsia="仿宋"/>
                <w:b/>
                <w:bCs w:val="0"/>
                <w:color w:val="auto"/>
                <w:szCs w:val="21"/>
              </w:rPr>
              <w:t>为</w:t>
            </w:r>
            <w:r>
              <w:rPr>
                <w:rFonts w:ascii="仿宋" w:hAnsi="仿宋" w:eastAsia="仿宋"/>
                <w:b/>
                <w:bCs w:val="0"/>
                <w:color w:val="auto"/>
                <w:szCs w:val="21"/>
              </w:rPr>
              <w:t>0.</w:t>
            </w:r>
            <w:r>
              <w:rPr>
                <w:rFonts w:hint="eastAsia" w:ascii="仿宋" w:hAnsi="仿宋" w:eastAsia="仿宋"/>
                <w:b/>
                <w:bCs w:val="0"/>
                <w:color w:val="auto"/>
                <w:szCs w:val="21"/>
                <w:lang w:val="en-US" w:eastAsia="zh-CN"/>
              </w:rPr>
              <w:t>25</w:t>
            </w:r>
            <w:r>
              <w:rPr>
                <w:rFonts w:hint="eastAsia" w:ascii="仿宋" w:hAnsi="仿宋" w:eastAsia="仿宋"/>
                <w:b/>
                <w:bCs w:val="0"/>
                <w:color w:val="auto"/>
                <w:szCs w:val="21"/>
              </w:rPr>
              <w:t>%/年，以前一日资产净值为基数，每日计提。</w:t>
            </w:r>
          </w:p>
          <w:p>
            <w:pPr>
              <w:adjustRightInd w:val="0"/>
              <w:snapToGrid w:val="0"/>
              <w:spacing w:line="300" w:lineRule="exact"/>
              <w:ind w:firstLine="420"/>
              <w:jc w:val="left"/>
              <w:rPr>
                <w:rFonts w:hint="eastAsia" w:ascii="仿宋" w:hAnsi="仿宋" w:eastAsia="仿宋"/>
                <w:b/>
                <w:bCs w:val="0"/>
                <w:color w:val="auto"/>
                <w:szCs w:val="21"/>
              </w:rPr>
            </w:pPr>
            <w:r>
              <w:rPr>
                <w:rFonts w:hint="eastAsia" w:ascii="仿宋" w:hAnsi="仿宋" w:eastAsia="仿宋" w:cs="Cambria"/>
                <w:b/>
                <w:bCs w:val="0"/>
                <w:color w:val="auto"/>
                <w:szCs w:val="21"/>
                <w:lang w:val="en-US" w:eastAsia="zh-CN"/>
              </w:rPr>
              <w:t>E</w:t>
            </w:r>
            <w:r>
              <w:rPr>
                <w:rFonts w:hint="eastAsia" w:ascii="仿宋" w:hAnsi="仿宋" w:eastAsia="仿宋" w:cs="Cambria"/>
                <w:b/>
                <w:bCs w:val="0"/>
                <w:color w:val="auto"/>
                <w:szCs w:val="21"/>
              </w:rPr>
              <w:t>份额：</w:t>
            </w:r>
            <w:r>
              <w:rPr>
                <w:rFonts w:hint="eastAsia" w:ascii="仿宋" w:hAnsi="仿宋" w:eastAsia="仿宋"/>
                <w:b/>
                <w:bCs w:val="0"/>
                <w:color w:val="auto"/>
                <w:szCs w:val="21"/>
              </w:rPr>
              <w:t>销售</w:t>
            </w:r>
            <w:r>
              <w:rPr>
                <w:rFonts w:ascii="仿宋" w:hAnsi="仿宋" w:eastAsia="仿宋"/>
                <w:b/>
                <w:bCs w:val="0"/>
                <w:color w:val="auto"/>
                <w:szCs w:val="21"/>
              </w:rPr>
              <w:t>手续费率</w:t>
            </w:r>
            <w:r>
              <w:rPr>
                <w:rFonts w:hint="eastAsia" w:ascii="仿宋" w:hAnsi="仿宋" w:eastAsia="仿宋"/>
                <w:b/>
                <w:bCs w:val="0"/>
                <w:color w:val="auto"/>
                <w:szCs w:val="21"/>
              </w:rPr>
              <w:t>为</w:t>
            </w:r>
            <w:r>
              <w:rPr>
                <w:rFonts w:ascii="仿宋" w:hAnsi="仿宋" w:eastAsia="仿宋"/>
                <w:b/>
                <w:bCs w:val="0"/>
                <w:color w:val="auto"/>
                <w:szCs w:val="21"/>
              </w:rPr>
              <w:t>0.</w:t>
            </w:r>
            <w:r>
              <w:rPr>
                <w:rFonts w:hint="eastAsia" w:ascii="仿宋" w:hAnsi="仿宋" w:eastAsia="仿宋"/>
                <w:b/>
                <w:bCs w:val="0"/>
                <w:color w:val="auto"/>
                <w:szCs w:val="21"/>
                <w:lang w:val="en-US" w:eastAsia="zh-CN"/>
              </w:rPr>
              <w:t>30</w:t>
            </w:r>
            <w:r>
              <w:rPr>
                <w:rFonts w:hint="eastAsia" w:ascii="仿宋" w:hAnsi="仿宋" w:eastAsia="仿宋"/>
                <w:b/>
                <w:bCs w:val="0"/>
                <w:color w:val="auto"/>
                <w:szCs w:val="21"/>
              </w:rPr>
              <w:t>%/年，以前一日资产净值为基数，每日计提。</w:t>
            </w:r>
          </w:p>
          <w:p>
            <w:pPr>
              <w:adjustRightInd w:val="0"/>
              <w:snapToGrid w:val="0"/>
              <w:spacing w:line="300" w:lineRule="exact"/>
              <w:ind w:firstLine="420"/>
              <w:jc w:val="left"/>
              <w:rPr>
                <w:rFonts w:ascii="仿宋" w:hAnsi="仿宋" w:eastAsia="仿宋"/>
                <w:b/>
                <w:bCs w:val="0"/>
                <w:color w:val="auto"/>
                <w:szCs w:val="21"/>
              </w:rPr>
            </w:pPr>
            <w:r>
              <w:rPr>
                <w:rFonts w:hint="eastAsia" w:ascii="仿宋" w:hAnsi="仿宋" w:eastAsia="仿宋"/>
                <w:b/>
                <w:bCs w:val="0"/>
                <w:color w:val="auto"/>
                <w:szCs w:val="21"/>
              </w:rPr>
              <w:t>公式如下：</w:t>
            </w:r>
          </w:p>
          <w:p>
            <w:pPr>
              <w:adjustRightInd w:val="0"/>
              <w:snapToGrid w:val="0"/>
              <w:spacing w:line="240" w:lineRule="atLeast"/>
              <w:ind w:firstLine="420"/>
              <w:jc w:val="left"/>
              <w:rPr>
                <w:rFonts w:ascii="仿宋" w:hAnsi="仿宋" w:eastAsia="仿宋"/>
                <w:b/>
                <w:bCs w:val="0"/>
                <w:color w:val="auto"/>
                <w:szCs w:val="21"/>
              </w:rPr>
            </w:pPr>
            <w:r>
              <w:rPr>
                <w:rFonts w:hint="eastAsia" w:ascii="仿宋" w:hAnsi="仿宋" w:eastAsia="仿宋"/>
                <w:b/>
                <w:bCs w:val="0"/>
                <w:color w:val="auto"/>
                <w:szCs w:val="21"/>
              </w:rPr>
              <w:t>F=E×【各</w:t>
            </w:r>
            <w:r>
              <w:rPr>
                <w:rFonts w:ascii="仿宋" w:hAnsi="仿宋" w:eastAsia="仿宋"/>
                <w:b/>
                <w:bCs w:val="0"/>
                <w:color w:val="auto"/>
                <w:szCs w:val="21"/>
              </w:rPr>
              <w:t>份额</w:t>
            </w:r>
            <w:r>
              <w:rPr>
                <w:rFonts w:hint="eastAsia" w:ascii="仿宋" w:hAnsi="仿宋" w:eastAsia="仿宋"/>
                <w:b/>
                <w:bCs w:val="0"/>
                <w:color w:val="auto"/>
                <w:szCs w:val="21"/>
              </w:rPr>
              <w:t>销售</w:t>
            </w:r>
            <w:r>
              <w:rPr>
                <w:rFonts w:ascii="仿宋" w:hAnsi="仿宋" w:eastAsia="仿宋"/>
                <w:b/>
                <w:bCs w:val="0"/>
                <w:color w:val="auto"/>
                <w:szCs w:val="21"/>
              </w:rPr>
              <w:t>手续费率</w:t>
            </w:r>
            <w:r>
              <w:rPr>
                <w:rFonts w:hint="eastAsia" w:ascii="仿宋" w:hAnsi="仿宋" w:eastAsia="仿宋"/>
                <w:b/>
                <w:bCs w:val="0"/>
                <w:color w:val="auto"/>
                <w:szCs w:val="21"/>
              </w:rPr>
              <w:t>】/当年</w:t>
            </w:r>
            <w:r>
              <w:rPr>
                <w:rFonts w:ascii="仿宋" w:hAnsi="仿宋" w:eastAsia="仿宋"/>
                <w:b/>
                <w:bCs w:val="0"/>
                <w:color w:val="auto"/>
                <w:szCs w:val="21"/>
              </w:rPr>
              <w:t>天数</w:t>
            </w:r>
            <w:r>
              <w:rPr>
                <w:rFonts w:hint="eastAsia" w:ascii="仿宋" w:hAnsi="仿宋" w:eastAsia="仿宋"/>
                <w:b/>
                <w:bCs w:val="0"/>
                <w:color w:val="auto"/>
                <w:szCs w:val="21"/>
              </w:rPr>
              <w:t>。F为各</w:t>
            </w:r>
            <w:r>
              <w:rPr>
                <w:rFonts w:ascii="仿宋" w:hAnsi="仿宋" w:eastAsia="仿宋"/>
                <w:b/>
                <w:bCs w:val="0"/>
                <w:color w:val="auto"/>
                <w:szCs w:val="21"/>
              </w:rPr>
              <w:t>份额</w:t>
            </w:r>
            <w:r>
              <w:rPr>
                <w:rFonts w:hint="eastAsia" w:ascii="仿宋" w:hAnsi="仿宋" w:eastAsia="仿宋"/>
                <w:b/>
                <w:bCs w:val="0"/>
                <w:color w:val="auto"/>
                <w:szCs w:val="21"/>
              </w:rPr>
              <w:t>销售</w:t>
            </w:r>
            <w:r>
              <w:rPr>
                <w:rFonts w:ascii="仿宋" w:hAnsi="仿宋" w:eastAsia="仿宋"/>
                <w:b/>
                <w:bCs w:val="0"/>
                <w:color w:val="auto"/>
                <w:szCs w:val="21"/>
              </w:rPr>
              <w:t>手续费</w:t>
            </w:r>
            <w:r>
              <w:rPr>
                <w:rFonts w:hint="eastAsia" w:ascii="仿宋" w:hAnsi="仿宋" w:eastAsia="仿宋"/>
                <w:b/>
                <w:bCs w:val="0"/>
                <w:color w:val="auto"/>
                <w:szCs w:val="21"/>
              </w:rPr>
              <w:t>；E为计算</w:t>
            </w:r>
            <w:r>
              <w:rPr>
                <w:rFonts w:ascii="仿宋" w:hAnsi="仿宋" w:eastAsia="仿宋"/>
                <w:b/>
                <w:bCs w:val="0"/>
                <w:color w:val="auto"/>
                <w:szCs w:val="21"/>
              </w:rPr>
              <w:t>基数</w:t>
            </w:r>
            <w:r>
              <w:rPr>
                <w:rFonts w:hint="eastAsia" w:ascii="仿宋" w:hAnsi="仿宋" w:eastAsia="仿宋"/>
                <w:b/>
                <w:bCs w:val="0"/>
                <w:color w:val="auto"/>
                <w:szCs w:val="21"/>
              </w:rPr>
              <w:t>。</w:t>
            </w:r>
          </w:p>
          <w:p>
            <w:pPr>
              <w:adjustRightInd w:val="0"/>
              <w:snapToGrid w:val="0"/>
              <w:spacing w:line="240" w:lineRule="atLeast"/>
              <w:ind w:firstLine="420"/>
              <w:jc w:val="left"/>
              <w:rPr>
                <w:rFonts w:hint="eastAsia" w:ascii="仿宋" w:hAnsi="仿宋" w:eastAsia="仿宋"/>
                <w:b/>
                <w:bCs w:val="0"/>
                <w:color w:val="auto"/>
                <w:szCs w:val="21"/>
              </w:rPr>
            </w:pPr>
            <w:r>
              <w:rPr>
                <w:rFonts w:hint="eastAsia" w:ascii="仿宋" w:hAnsi="仿宋" w:eastAsia="仿宋"/>
                <w:b/>
                <w:bCs w:val="0"/>
                <w:color w:val="auto"/>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color w:val="auto"/>
                <w:szCs w:val="21"/>
              </w:rPr>
            </w:pPr>
            <w:r>
              <w:rPr>
                <w:rFonts w:hint="eastAsia" w:ascii="仿宋" w:hAnsi="仿宋" w:eastAsia="仿宋"/>
                <w:b/>
                <w:bCs w:val="0"/>
                <w:color w:val="auto"/>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color w:val="auto"/>
                <w:szCs w:val="21"/>
              </w:rPr>
            </w:pPr>
            <w:r>
              <w:rPr>
                <w:rFonts w:ascii="仿宋" w:hAnsi="仿宋" w:eastAsia="仿宋"/>
                <w:b/>
                <w:bCs w:val="0"/>
                <w:color w:val="auto"/>
                <w:szCs w:val="21"/>
              </w:rPr>
              <w:t>0.</w:t>
            </w:r>
            <w:r>
              <w:rPr>
                <w:rFonts w:hint="eastAsia" w:ascii="仿宋" w:hAnsi="仿宋" w:eastAsia="仿宋"/>
                <w:b/>
                <w:bCs w:val="0"/>
                <w:color w:val="auto"/>
                <w:szCs w:val="21"/>
                <w:lang w:val="en-US" w:eastAsia="zh-CN"/>
              </w:rPr>
              <w:t>15</w:t>
            </w:r>
            <w:r>
              <w:rPr>
                <w:rFonts w:hint="eastAsia" w:ascii="仿宋" w:hAnsi="仿宋" w:eastAsia="仿宋"/>
                <w:b/>
                <w:bCs w:val="0"/>
                <w:color w:val="auto"/>
                <w:szCs w:val="21"/>
              </w:rPr>
              <w:t>%/年，以前一日资产净值为基数，每日计提。公式如下：</w:t>
            </w:r>
          </w:p>
          <w:p>
            <w:pPr>
              <w:adjustRightInd w:val="0"/>
              <w:snapToGrid w:val="0"/>
              <w:spacing w:line="240" w:lineRule="atLeast"/>
              <w:ind w:firstLine="420"/>
              <w:jc w:val="left"/>
              <w:rPr>
                <w:rFonts w:ascii="仿宋" w:hAnsi="仿宋" w:eastAsia="仿宋"/>
                <w:b/>
                <w:bCs w:val="0"/>
                <w:color w:val="auto"/>
                <w:szCs w:val="21"/>
              </w:rPr>
            </w:pPr>
            <w:r>
              <w:rPr>
                <w:rFonts w:hint="eastAsia" w:ascii="仿宋" w:hAnsi="仿宋" w:eastAsia="仿宋"/>
                <w:b/>
                <w:bCs w:val="0"/>
                <w:color w:val="auto"/>
                <w:szCs w:val="21"/>
              </w:rPr>
              <w:t>F=E×【</w:t>
            </w:r>
            <w:r>
              <w:rPr>
                <w:rFonts w:ascii="仿宋" w:hAnsi="仿宋" w:eastAsia="仿宋"/>
                <w:b/>
                <w:bCs w:val="0"/>
                <w:color w:val="auto"/>
                <w:szCs w:val="21"/>
              </w:rPr>
              <w:t>0.</w:t>
            </w:r>
            <w:r>
              <w:rPr>
                <w:rFonts w:hint="eastAsia" w:ascii="仿宋" w:hAnsi="仿宋" w:eastAsia="仿宋"/>
                <w:b/>
                <w:bCs w:val="0"/>
                <w:color w:val="auto"/>
                <w:szCs w:val="21"/>
                <w:lang w:val="en-US" w:eastAsia="zh-CN"/>
              </w:rPr>
              <w:t>15</w:t>
            </w:r>
            <w:r>
              <w:rPr>
                <w:rFonts w:hint="eastAsia" w:ascii="仿宋" w:hAnsi="仿宋" w:eastAsia="仿宋"/>
                <w:b/>
                <w:bCs w:val="0"/>
                <w:color w:val="auto"/>
                <w:szCs w:val="21"/>
              </w:rPr>
              <w:t>%】/当年</w:t>
            </w:r>
            <w:r>
              <w:rPr>
                <w:rFonts w:ascii="仿宋" w:hAnsi="仿宋" w:eastAsia="仿宋"/>
                <w:b/>
                <w:bCs w:val="0"/>
                <w:color w:val="auto"/>
                <w:szCs w:val="21"/>
              </w:rPr>
              <w:t>天数</w:t>
            </w:r>
            <w:r>
              <w:rPr>
                <w:rFonts w:hint="eastAsia" w:ascii="仿宋" w:hAnsi="仿宋" w:eastAsia="仿宋"/>
                <w:b/>
                <w:bCs w:val="0"/>
                <w:color w:val="auto"/>
                <w:szCs w:val="21"/>
              </w:rPr>
              <w:t>。F为固定管理费；E为计算</w:t>
            </w:r>
            <w:r>
              <w:rPr>
                <w:rFonts w:ascii="仿宋" w:hAnsi="仿宋" w:eastAsia="仿宋"/>
                <w:b/>
                <w:bCs w:val="0"/>
                <w:color w:val="auto"/>
                <w:szCs w:val="21"/>
              </w:rPr>
              <w:t>基数</w:t>
            </w:r>
            <w:r>
              <w:rPr>
                <w:rFonts w:hint="eastAsia" w:ascii="仿宋" w:hAnsi="仿宋" w:eastAsia="仿宋"/>
                <w:b/>
                <w:bCs w:val="0"/>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color w:val="auto"/>
                <w:szCs w:val="21"/>
              </w:rPr>
            </w:pPr>
            <w:r>
              <w:rPr>
                <w:rFonts w:hint="eastAsia" w:ascii="仿宋" w:hAnsi="仿宋" w:eastAsia="仿宋"/>
                <w:b/>
                <w:bCs w:val="0"/>
                <w:color w:val="auto"/>
                <w:szCs w:val="21"/>
              </w:rPr>
              <w:t>超额</w:t>
            </w:r>
            <w:r>
              <w:rPr>
                <w:rFonts w:ascii="仿宋" w:hAnsi="仿宋" w:eastAsia="仿宋"/>
                <w:b/>
                <w:bCs w:val="0"/>
                <w:color w:val="auto"/>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color w:val="auto"/>
                <w:szCs w:val="21"/>
                <w:lang w:val="en-US" w:eastAsia="zh-CN"/>
              </w:rPr>
              <w:t xml:space="preserve">   </w:t>
            </w:r>
            <w:r>
              <w:rPr>
                <w:rFonts w:hint="eastAsia" w:ascii="仿宋" w:hAnsi="仿宋" w:eastAsia="仿宋" w:cs="Cambria"/>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A份额超额管理费计提基准为</w:t>
            </w:r>
            <w:r>
              <w:rPr>
                <w:rFonts w:hint="eastAsia" w:ascii="仿宋" w:hAnsi="仿宋" w:eastAsia="仿宋" w:cs="Cambria"/>
                <w:b/>
                <w:bCs w:val="0"/>
                <w:szCs w:val="21"/>
                <w:lang w:val="en-US" w:eastAsia="zh-CN"/>
              </w:rPr>
              <w:t>4.35</w:t>
            </w:r>
            <w:r>
              <w:rPr>
                <w:rFonts w:ascii="仿宋" w:hAnsi="仿宋" w:eastAsia="仿宋" w:cs="Cambria"/>
                <w:b/>
                <w:bCs w:val="0"/>
                <w:szCs w:val="21"/>
              </w:rPr>
              <w:t>%</w:t>
            </w:r>
            <w:r>
              <w:rPr>
                <w:rFonts w:hint="eastAsia" w:ascii="仿宋" w:hAnsi="仿宋" w:eastAsia="仿宋" w:cs="Cambria"/>
                <w:b/>
                <w:bCs w:val="0"/>
                <w:szCs w:val="21"/>
              </w:rPr>
              <w:t>（年化）；B份额超额管理费计提基准为</w:t>
            </w:r>
            <w:r>
              <w:rPr>
                <w:rFonts w:hint="eastAsia" w:ascii="仿宋" w:hAnsi="仿宋" w:eastAsia="仿宋" w:cs="Cambria"/>
                <w:b/>
                <w:bCs w:val="0"/>
                <w:szCs w:val="21"/>
                <w:lang w:val="en-US" w:eastAsia="zh-CN"/>
              </w:rPr>
              <w:t>4.30</w:t>
            </w:r>
            <w:r>
              <w:rPr>
                <w:rFonts w:ascii="仿宋" w:hAnsi="仿宋" w:eastAsia="仿宋" w:cs="Cambria"/>
                <w:b/>
                <w:bCs w:val="0"/>
                <w:szCs w:val="21"/>
              </w:rPr>
              <w:t>%</w:t>
            </w:r>
            <w:r>
              <w:rPr>
                <w:rFonts w:hint="eastAsia" w:ascii="仿宋" w:hAnsi="仿宋" w:eastAsia="仿宋" w:cs="Cambria"/>
                <w:b/>
                <w:bCs w:val="0"/>
                <w:szCs w:val="21"/>
              </w:rPr>
              <w:t>（年化）；C份额超额管理费计提基准为</w:t>
            </w:r>
            <w:r>
              <w:rPr>
                <w:rFonts w:hint="eastAsia" w:ascii="仿宋" w:hAnsi="仿宋" w:eastAsia="仿宋" w:cs="Cambria"/>
                <w:b/>
                <w:bCs w:val="0"/>
                <w:szCs w:val="21"/>
                <w:lang w:val="en-US" w:eastAsia="zh-CN"/>
              </w:rPr>
              <w:t>4.25</w:t>
            </w:r>
            <w:r>
              <w:rPr>
                <w:rFonts w:ascii="仿宋" w:hAnsi="仿宋" w:eastAsia="仿宋" w:cs="Cambria"/>
                <w:b/>
                <w:bCs w:val="0"/>
                <w:szCs w:val="21"/>
              </w:rPr>
              <w:t>%</w:t>
            </w:r>
            <w:r>
              <w:rPr>
                <w:rFonts w:hint="eastAsia" w:ascii="仿宋" w:hAnsi="仿宋" w:eastAsia="仿宋" w:cs="Cambria"/>
                <w:b/>
                <w:bCs w:val="0"/>
                <w:szCs w:val="21"/>
              </w:rPr>
              <w:t>（年化）；D份额超额管理费计提基准为</w:t>
            </w:r>
            <w:r>
              <w:rPr>
                <w:rFonts w:hint="eastAsia" w:ascii="仿宋" w:hAnsi="仿宋" w:eastAsia="仿宋" w:cs="Cambria"/>
                <w:b/>
                <w:bCs w:val="0"/>
                <w:szCs w:val="21"/>
                <w:lang w:val="en-US" w:eastAsia="zh-CN"/>
              </w:rPr>
              <w:t>4.20</w:t>
            </w:r>
            <w:r>
              <w:rPr>
                <w:rFonts w:ascii="仿宋" w:hAnsi="仿宋" w:eastAsia="仿宋" w:cs="Cambria"/>
                <w:b/>
                <w:bCs w:val="0"/>
                <w:szCs w:val="21"/>
              </w:rPr>
              <w:t>%</w:t>
            </w:r>
            <w:r>
              <w:rPr>
                <w:rFonts w:hint="eastAsia" w:ascii="仿宋" w:hAnsi="仿宋" w:eastAsia="仿宋" w:cs="Cambria"/>
                <w:b/>
                <w:bCs w:val="0"/>
                <w:szCs w:val="21"/>
              </w:rPr>
              <w:t>（年化）；E份额超额管理费计提基准为</w:t>
            </w:r>
            <w:r>
              <w:rPr>
                <w:rFonts w:hint="eastAsia" w:ascii="仿宋" w:hAnsi="仿宋" w:eastAsia="仿宋" w:cs="Cambria"/>
                <w:b/>
                <w:bCs w:val="0"/>
                <w:szCs w:val="21"/>
                <w:lang w:val="en-US" w:eastAsia="zh-CN"/>
              </w:rPr>
              <w:t>4.15</w:t>
            </w:r>
            <w:r>
              <w:rPr>
                <w:rFonts w:ascii="仿宋" w:hAnsi="仿宋" w:eastAsia="仿宋" w:cs="Cambria"/>
                <w:b/>
                <w:bCs w:val="0"/>
                <w:szCs w:val="21"/>
              </w:rPr>
              <w:t>%</w:t>
            </w:r>
            <w:r>
              <w:rPr>
                <w:rFonts w:hint="eastAsia" w:ascii="仿宋" w:hAnsi="仿宋" w:eastAsia="仿宋" w:cs="Cambria"/>
                <w:b/>
                <w:bCs w:val="0"/>
                <w:szCs w:val="21"/>
              </w:rPr>
              <w:t>（年化）。</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本产品超额管理费的计算公式：</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其中：年化收益率=（计提日累计单位净值-1.0000）÷1.0000×365÷当期持有天数。</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val="0"/>
                <w:color w:val="auto"/>
                <w:szCs w:val="21"/>
                <w:u w:val="single"/>
              </w:rPr>
            </w:pPr>
            <w:r>
              <w:rPr>
                <w:rFonts w:hint="eastAsia" w:ascii="仿宋" w:hAnsi="仿宋" w:eastAsia="仿宋"/>
                <w:b/>
                <w:bCs w:val="0"/>
                <w:color w:val="000000"/>
                <w:szCs w:val="21"/>
              </w:rPr>
              <w:t>华夏理财有权根据市场</w:t>
            </w:r>
            <w:r>
              <w:rPr>
                <w:rFonts w:hint="eastAsia" w:ascii="仿宋" w:hAnsi="仿宋" w:eastAsia="仿宋"/>
                <w:b/>
                <w:bCs w:val="0"/>
                <w:szCs w:val="21"/>
              </w:rPr>
              <w:t>及产品运作情况调整上述规则，并至少于生效前3个工作日通过本产品说明书约定的信息披露渠道进行公告</w:t>
            </w:r>
            <w:r>
              <w:rPr>
                <w:rFonts w:hint="eastAsia" w:ascii="仿宋" w:hAnsi="仿宋" w:eastAsia="仿宋"/>
                <w:b/>
                <w:bCs w:val="0"/>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color w:val="auto"/>
                <w:szCs w:val="21"/>
              </w:rPr>
            </w:pPr>
            <w:r>
              <w:rPr>
                <w:rFonts w:hint="eastAsia" w:ascii="仿宋" w:hAnsi="仿宋" w:eastAsia="仿宋"/>
                <w:b/>
                <w:bCs w:val="0"/>
                <w:color w:val="auto"/>
                <w:szCs w:val="21"/>
              </w:rPr>
              <w:t>其他</w:t>
            </w:r>
            <w:r>
              <w:rPr>
                <w:rFonts w:ascii="仿宋" w:hAnsi="仿宋" w:eastAsia="仿宋"/>
                <w:b/>
                <w:bCs w:val="0"/>
                <w:color w:val="auto"/>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bCs w:val="0"/>
                <w:color w:val="auto"/>
                <w:szCs w:val="21"/>
              </w:rPr>
            </w:pPr>
            <w:r>
              <w:rPr>
                <w:rFonts w:hint="eastAsia" w:ascii="仿宋" w:hAnsi="仿宋" w:eastAsia="仿宋"/>
                <w:b/>
                <w:bCs w:val="0"/>
                <w:color w:val="auto"/>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bCs/>
                <w:color w:val="auto"/>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color w:val="auto"/>
                <w:szCs w:val="21"/>
              </w:rPr>
              <w:t>4</w:t>
            </w:r>
            <w:r>
              <w:rPr>
                <w:rFonts w:hint="eastAsia" w:ascii="仿宋" w:hAnsi="仿宋" w:eastAsia="仿宋"/>
                <w:bCs/>
                <w:color w:val="auto"/>
                <w:szCs w:val="21"/>
              </w:rPr>
              <w:t>位，小数点后第</w:t>
            </w:r>
            <w:r>
              <w:rPr>
                <w:rFonts w:ascii="仿宋" w:hAnsi="仿宋" w:eastAsia="仿宋"/>
                <w:bCs/>
                <w:color w:val="auto"/>
                <w:szCs w:val="21"/>
              </w:rPr>
              <w:t>5</w:t>
            </w:r>
            <w:r>
              <w:rPr>
                <w:rFonts w:hint="eastAsia" w:ascii="仿宋" w:hAnsi="仿宋" w:eastAsia="仿宋"/>
                <w:bCs/>
                <w:color w:val="auto"/>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color w:val="auto"/>
                <w:szCs w:val="21"/>
              </w:rPr>
            </w:pPr>
            <w:r>
              <w:rPr>
                <w:rFonts w:hint="eastAsia" w:ascii="仿宋" w:hAnsi="仿宋" w:eastAsia="仿宋" w:cs="Cambria"/>
                <w:bCs/>
                <w:color w:val="auto"/>
                <w:szCs w:val="21"/>
              </w:rPr>
              <w:t>每周五后的第3个工作日</w:t>
            </w:r>
            <w:r>
              <w:rPr>
                <w:rFonts w:hint="eastAsia" w:ascii="仿宋" w:hAnsi="仿宋" w:eastAsia="仿宋"/>
                <w:bCs/>
                <w:color w:val="auto"/>
                <w:szCs w:val="21"/>
              </w:rPr>
              <w:t>为份额净值公告日，公告</w:t>
            </w:r>
            <w:r>
              <w:rPr>
                <w:rFonts w:hint="eastAsia" w:ascii="仿宋" w:hAnsi="仿宋" w:eastAsia="仿宋" w:cs="Cambria"/>
                <w:bCs/>
                <w:color w:val="auto"/>
                <w:szCs w:val="21"/>
              </w:rPr>
              <w:t>每周五</w:t>
            </w:r>
            <w:r>
              <w:rPr>
                <w:rFonts w:hint="eastAsia" w:ascii="仿宋" w:hAnsi="仿宋" w:eastAsia="仿宋"/>
                <w:bCs/>
                <w:color w:val="auto"/>
                <w:szCs w:val="21"/>
              </w:rPr>
              <w:t>份额净值（</w:t>
            </w:r>
            <w:r>
              <w:rPr>
                <w:rFonts w:hint="eastAsia" w:ascii="仿宋" w:hAnsi="仿宋" w:eastAsia="仿宋" w:cs="Cambria"/>
                <w:bCs/>
                <w:color w:val="auto"/>
                <w:szCs w:val="21"/>
              </w:rPr>
              <w:t>如周五为非工作日，则公告周五上1个工作日的份额净值；如当周没有第3个工作日，</w:t>
            </w:r>
            <w:r>
              <w:rPr>
                <w:rFonts w:ascii="仿宋" w:hAnsi="仿宋" w:eastAsia="仿宋" w:cs="Cambria"/>
                <w:bCs/>
                <w:color w:val="auto"/>
                <w:szCs w:val="21"/>
              </w:rPr>
              <w:t>则顺延至下</w:t>
            </w:r>
            <w:r>
              <w:rPr>
                <w:rFonts w:hint="eastAsia" w:ascii="仿宋" w:hAnsi="仿宋" w:eastAsia="仿宋" w:cs="Cambria"/>
                <w:bCs/>
                <w:color w:val="auto"/>
                <w:szCs w:val="21"/>
              </w:rPr>
              <w:t>1</w:t>
            </w:r>
            <w:r>
              <w:rPr>
                <w:rFonts w:ascii="仿宋" w:hAnsi="仿宋" w:eastAsia="仿宋" w:cs="Cambria"/>
                <w:bCs/>
                <w:color w:val="auto"/>
                <w:szCs w:val="21"/>
              </w:rPr>
              <w:t>个工作日</w:t>
            </w:r>
            <w:r>
              <w:rPr>
                <w:rFonts w:ascii="仿宋" w:hAnsi="仿宋" w:eastAsia="仿宋"/>
                <w:bCs/>
                <w:color w:val="auto"/>
                <w:szCs w:val="21"/>
              </w:rPr>
              <w:t>）</w:t>
            </w:r>
            <w:r>
              <w:rPr>
                <w:rFonts w:hint="eastAsia" w:ascii="仿宋" w:hAnsi="仿宋" w:eastAsia="仿宋"/>
                <w:bCs/>
                <w:color w:val="auto"/>
                <w:szCs w:val="21"/>
              </w:rPr>
              <w:t>。产品到期/终止</w:t>
            </w:r>
            <w:r>
              <w:rPr>
                <w:rFonts w:ascii="仿宋" w:hAnsi="仿宋" w:eastAsia="仿宋"/>
                <w:bCs/>
                <w:color w:val="auto"/>
                <w:szCs w:val="21"/>
              </w:rPr>
              <w:t>后的</w:t>
            </w:r>
            <w:r>
              <w:rPr>
                <w:rFonts w:hint="eastAsia" w:ascii="仿宋" w:hAnsi="仿宋" w:eastAsia="仿宋"/>
                <w:bCs/>
                <w:color w:val="auto"/>
                <w:szCs w:val="21"/>
              </w:rPr>
              <w:t>第</w:t>
            </w:r>
            <w:r>
              <w:rPr>
                <w:rFonts w:hint="eastAsia" w:ascii="仿宋" w:hAnsi="仿宋" w:eastAsia="仿宋" w:cs="Cambria"/>
                <w:bCs/>
                <w:color w:val="auto"/>
                <w:szCs w:val="21"/>
              </w:rPr>
              <w:t>2</w:t>
            </w:r>
            <w:r>
              <w:rPr>
                <w:rFonts w:hint="eastAsia" w:ascii="仿宋" w:hAnsi="仿宋" w:eastAsia="仿宋"/>
                <w:bCs/>
                <w:color w:val="auto"/>
                <w:szCs w:val="21"/>
              </w:rPr>
              <w:t>个</w:t>
            </w:r>
            <w:r>
              <w:rPr>
                <w:rFonts w:ascii="仿宋" w:hAnsi="仿宋" w:eastAsia="仿宋"/>
                <w:bCs/>
                <w:color w:val="auto"/>
                <w:szCs w:val="21"/>
              </w:rPr>
              <w:t>工作日为</w:t>
            </w:r>
            <w:r>
              <w:rPr>
                <w:rFonts w:hint="eastAsia" w:ascii="仿宋" w:hAnsi="仿宋" w:eastAsia="仿宋"/>
                <w:bCs/>
                <w:color w:val="auto"/>
                <w:szCs w:val="21"/>
              </w:rPr>
              <w:t>份额净值</w:t>
            </w:r>
            <w:r>
              <w:rPr>
                <w:rFonts w:ascii="仿宋" w:hAnsi="仿宋" w:eastAsia="仿宋"/>
                <w:bCs/>
                <w:color w:val="auto"/>
                <w:szCs w:val="21"/>
              </w:rPr>
              <w:t>公告日，</w:t>
            </w:r>
            <w:r>
              <w:rPr>
                <w:rFonts w:hint="eastAsia" w:ascii="仿宋" w:hAnsi="仿宋" w:eastAsia="仿宋"/>
                <w:bCs/>
                <w:color w:val="auto"/>
                <w:szCs w:val="21"/>
              </w:rPr>
              <w:t>公告产品到期/终止</w:t>
            </w:r>
            <w:r>
              <w:rPr>
                <w:rFonts w:ascii="仿宋" w:hAnsi="仿宋" w:eastAsia="仿宋"/>
                <w:bCs/>
                <w:color w:val="auto"/>
                <w:szCs w:val="21"/>
              </w:rPr>
              <w:t>日的</w:t>
            </w:r>
            <w:r>
              <w:rPr>
                <w:rFonts w:hint="eastAsia" w:ascii="仿宋" w:hAnsi="仿宋" w:eastAsia="仿宋"/>
                <w:bCs/>
                <w:color w:val="auto"/>
                <w:szCs w:val="21"/>
              </w:rPr>
              <w:t>份额净值</w:t>
            </w:r>
            <w:r>
              <w:rPr>
                <w:rFonts w:ascii="仿宋" w:hAnsi="仿宋" w:eastAsia="仿宋"/>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color w:val="auto"/>
                <w:kern w:val="0"/>
              </w:rPr>
            </w:pPr>
            <w:r>
              <w:rPr>
                <w:rFonts w:hint="eastAsia" w:ascii="仿宋" w:hAnsi="仿宋" w:eastAsia="仿宋"/>
                <w:bCs/>
                <w:color w:val="auto"/>
                <w:szCs w:val="21"/>
              </w:rPr>
              <w:t>本理财产品</w:t>
            </w:r>
            <w:r>
              <w:rPr>
                <w:rFonts w:ascii="仿宋" w:hAnsi="仿宋" w:eastAsia="仿宋"/>
                <w:bCs/>
                <w:color w:val="auto"/>
                <w:szCs w:val="21"/>
              </w:rPr>
              <w:t>不分红</w:t>
            </w:r>
            <w:r>
              <w:rPr>
                <w:rFonts w:hint="eastAsia" w:ascii="仿宋" w:hAnsi="仿宋" w:eastAsia="仿宋" w:cs="Cambria"/>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Cs/>
                <w:color w:val="auto"/>
                <w:szCs w:val="21"/>
              </w:rPr>
            </w:pPr>
            <w:r>
              <w:rPr>
                <w:rFonts w:hint="eastAsia" w:ascii="仿宋" w:hAnsi="仿宋" w:eastAsia="仿宋" w:cs="Cambria"/>
                <w:bCs/>
                <w:color w:val="auto"/>
                <w:szCs w:val="21"/>
              </w:rPr>
              <w:t>本说明书中所写的“确认日”、“到账日”，除非特别说明均为工作日，若遇非工作日顺延至下一工作日。</w:t>
            </w:r>
          </w:p>
          <w:p>
            <w:pPr>
              <w:adjustRightInd w:val="0"/>
              <w:snapToGrid w:val="0"/>
              <w:spacing w:line="300" w:lineRule="exact"/>
              <w:ind w:right="-44" w:firstLine="420" w:firstLineChars="200"/>
              <w:jc w:val="left"/>
              <w:rPr>
                <w:rFonts w:ascii="仿宋" w:hAnsi="仿宋" w:eastAsia="仿宋"/>
                <w:bCs/>
                <w:color w:val="auto"/>
                <w:szCs w:val="21"/>
              </w:rPr>
            </w:pPr>
            <w:r>
              <w:rPr>
                <w:rFonts w:hint="eastAsia" w:ascii="仿宋" w:hAnsi="仿宋" w:eastAsia="仿宋" w:cs="Cambria"/>
                <w:bCs/>
                <w:color w:val="auto"/>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ascii="仿宋" w:hAnsi="仿宋" w:eastAsia="仿宋"/>
                <w:bCs/>
                <w:color w:val="auto"/>
                <w:szCs w:val="21"/>
              </w:rPr>
              <w:t>一、</w:t>
            </w:r>
            <w:r>
              <w:rPr>
                <w:rFonts w:ascii="仿宋" w:hAnsi="仿宋" w:eastAsia="仿宋"/>
                <w:b/>
                <w:color w:val="auto"/>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color w:val="auto"/>
                <w:szCs w:val="21"/>
              </w:rPr>
            </w:pPr>
            <w:r>
              <w:rPr>
                <w:rFonts w:hint="eastAsia" w:ascii="仿宋" w:hAnsi="仿宋" w:eastAsia="仿宋"/>
                <w:b/>
                <w:color w:val="auto"/>
                <w:szCs w:val="21"/>
              </w:rPr>
              <w:t>华夏理财调整</w:t>
            </w:r>
            <w:r>
              <w:rPr>
                <w:rFonts w:ascii="仿宋" w:hAnsi="仿宋" w:eastAsia="仿宋"/>
                <w:b/>
                <w:color w:val="auto"/>
                <w:szCs w:val="21"/>
              </w:rPr>
              <w:t>本理财产品的</w:t>
            </w:r>
            <w:r>
              <w:rPr>
                <w:rFonts w:hint="eastAsia" w:ascii="仿宋" w:hAnsi="仿宋" w:eastAsia="仿宋"/>
                <w:b/>
                <w:color w:val="auto"/>
                <w:szCs w:val="21"/>
              </w:rPr>
              <w:t>投资范围、投资品种、投资比例、</w:t>
            </w:r>
            <w:r>
              <w:rPr>
                <w:rFonts w:ascii="仿宋" w:hAnsi="仿宋" w:eastAsia="仿宋"/>
                <w:b/>
                <w:color w:val="auto"/>
                <w:szCs w:val="21"/>
              </w:rPr>
              <w:t>收费项目、收费条件、收费标准和收费方式</w:t>
            </w:r>
            <w:r>
              <w:rPr>
                <w:rFonts w:hint="eastAsia" w:ascii="仿宋" w:hAnsi="仿宋" w:eastAsia="仿宋"/>
                <w:b/>
                <w:color w:val="auto"/>
                <w:szCs w:val="21"/>
              </w:rPr>
              <w:t>等，或补充和修订本产品说明书相关条款，将提前3个工作日</w:t>
            </w:r>
            <w:r>
              <w:rPr>
                <w:rFonts w:ascii="仿宋" w:hAnsi="仿宋" w:eastAsia="仿宋"/>
                <w:b/>
                <w:color w:val="auto"/>
                <w:szCs w:val="21"/>
              </w:rPr>
              <w:t>通过</w:t>
            </w:r>
            <w:r>
              <w:rPr>
                <w:rFonts w:hint="eastAsia" w:ascii="仿宋" w:hAnsi="仿宋" w:eastAsia="仿宋"/>
                <w:b/>
                <w:color w:val="auto"/>
                <w:szCs w:val="21"/>
              </w:rPr>
              <w:t>本产品说明书约定的信息披露渠道</w:t>
            </w:r>
            <w:r>
              <w:rPr>
                <w:rFonts w:ascii="仿宋" w:hAnsi="仿宋" w:eastAsia="仿宋"/>
                <w:b/>
                <w:color w:val="auto"/>
                <w:szCs w:val="21"/>
              </w:rPr>
              <w:t>公告</w:t>
            </w:r>
            <w:r>
              <w:rPr>
                <w:rFonts w:hint="eastAsia" w:ascii="仿宋" w:hAnsi="仿宋" w:eastAsia="仿宋"/>
                <w:bCs/>
                <w:color w:val="auto"/>
                <w:szCs w:val="21"/>
              </w:rPr>
              <w:t>。除本产品说明书第十部分“特别提示”所列情形外，</w:t>
            </w:r>
            <w:r>
              <w:rPr>
                <w:rFonts w:ascii="仿宋" w:hAnsi="仿宋" w:eastAsia="仿宋"/>
                <w:bCs/>
                <w:color w:val="auto"/>
                <w:szCs w:val="21"/>
              </w:rPr>
              <w:t>投资者不接受调整的，应在公告确定的期限内向</w:t>
            </w:r>
            <w:r>
              <w:rPr>
                <w:rFonts w:hint="eastAsia" w:ascii="仿宋" w:hAnsi="仿宋" w:eastAsia="仿宋"/>
                <w:bCs/>
                <w:color w:val="auto"/>
                <w:szCs w:val="21"/>
              </w:rPr>
              <w:t>对应销售机构</w:t>
            </w:r>
            <w:r>
              <w:rPr>
                <w:rFonts w:ascii="仿宋" w:hAnsi="仿宋" w:eastAsia="仿宋"/>
                <w:bCs/>
                <w:color w:val="auto"/>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ascii="仿宋" w:hAnsi="仿宋" w:eastAsia="仿宋"/>
                <w:bCs/>
                <w:color w:val="auto"/>
                <w:szCs w:val="21"/>
              </w:rPr>
              <w:t>二、华夏</w:t>
            </w:r>
            <w:r>
              <w:rPr>
                <w:rFonts w:hint="eastAsia" w:ascii="仿宋" w:hAnsi="仿宋" w:eastAsia="仿宋"/>
                <w:bCs/>
                <w:color w:val="auto"/>
                <w:szCs w:val="21"/>
              </w:rPr>
              <w:t>理财</w:t>
            </w:r>
            <w:r>
              <w:rPr>
                <w:rFonts w:ascii="仿宋" w:hAnsi="仿宋" w:eastAsia="仿宋"/>
                <w:bCs/>
                <w:color w:val="auto"/>
                <w:szCs w:val="21"/>
              </w:rPr>
              <w:t>提前终止权</w:t>
            </w:r>
          </w:p>
          <w:p>
            <w:pPr>
              <w:autoSpaceDE w:val="0"/>
              <w:autoSpaceDN w:val="0"/>
              <w:adjustRightInd w:val="0"/>
              <w:snapToGrid w:val="0"/>
              <w:spacing w:line="300" w:lineRule="exact"/>
              <w:jc w:val="left"/>
              <w:rPr>
                <w:rFonts w:ascii="仿宋" w:hAnsi="仿宋" w:eastAsia="仿宋"/>
                <w:b/>
                <w:bCs/>
                <w:color w:val="auto"/>
                <w:szCs w:val="21"/>
              </w:rPr>
            </w:pPr>
            <w:r>
              <w:rPr>
                <w:rFonts w:ascii="仿宋" w:hAnsi="仿宋" w:eastAsia="仿宋"/>
                <w:bCs/>
                <w:color w:val="auto"/>
                <w:szCs w:val="21"/>
              </w:rPr>
              <w:t xml:space="preserve">    </w:t>
            </w:r>
            <w:r>
              <w:rPr>
                <w:rFonts w:ascii="仿宋" w:hAnsi="仿宋" w:eastAsia="仿宋"/>
                <w:b/>
                <w:bCs/>
                <w:color w:val="auto"/>
                <w:szCs w:val="21"/>
              </w:rPr>
              <w:t>1．出现下列情形，华夏</w:t>
            </w:r>
            <w:r>
              <w:rPr>
                <w:rFonts w:hint="eastAsia" w:ascii="仿宋" w:hAnsi="仿宋" w:eastAsia="仿宋"/>
                <w:b/>
                <w:bCs/>
                <w:color w:val="auto"/>
                <w:szCs w:val="21"/>
              </w:rPr>
              <w:t>理财</w:t>
            </w:r>
            <w:r>
              <w:rPr>
                <w:rFonts w:ascii="仿宋" w:hAnsi="仿宋" w:eastAsia="仿宋"/>
                <w:b/>
                <w:bCs/>
                <w:color w:val="auto"/>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cs="宋体"/>
                <w:bCs/>
                <w:color w:val="auto"/>
                <w:szCs w:val="21"/>
              </w:rPr>
              <w:t>①</w:t>
            </w:r>
            <w:r>
              <w:rPr>
                <w:rFonts w:hint="eastAsia" w:ascii="仿宋" w:hAnsi="仿宋" w:eastAsia="仿宋"/>
                <w:bCs/>
                <w:color w:val="auto"/>
                <w:szCs w:val="21"/>
              </w:rPr>
              <w:t>法律法规、监管规定、国家政策</w:t>
            </w:r>
            <w:r>
              <w:rPr>
                <w:rFonts w:ascii="仿宋" w:hAnsi="仿宋" w:eastAsia="仿宋"/>
                <w:bCs/>
                <w:color w:val="auto"/>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cs="宋体"/>
                <w:bCs/>
                <w:color w:val="auto"/>
                <w:szCs w:val="21"/>
              </w:rPr>
              <w:t>②</w:t>
            </w:r>
            <w:r>
              <w:rPr>
                <w:rFonts w:hint="eastAsia" w:ascii="仿宋" w:hAnsi="仿宋" w:eastAsia="仿宋"/>
                <w:bCs/>
                <w:color w:val="auto"/>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cs="宋体"/>
                <w:bCs/>
                <w:color w:val="auto"/>
                <w:szCs w:val="21"/>
              </w:rPr>
              <w:t>③</w:t>
            </w:r>
            <w:r>
              <w:rPr>
                <w:rFonts w:ascii="仿宋" w:hAnsi="仿宋" w:eastAsia="仿宋"/>
                <w:bCs/>
                <w:color w:val="auto"/>
                <w:szCs w:val="21"/>
              </w:rPr>
              <w:t>理财资金所投资的</w:t>
            </w:r>
            <w:r>
              <w:rPr>
                <w:rFonts w:hint="eastAsia" w:ascii="仿宋" w:hAnsi="仿宋" w:eastAsia="仿宋"/>
                <w:bCs/>
                <w:color w:val="auto"/>
                <w:szCs w:val="21"/>
              </w:rPr>
              <w:t>相关资产</w:t>
            </w:r>
            <w:r>
              <w:rPr>
                <w:rFonts w:ascii="仿宋" w:hAnsi="仿宋" w:eastAsia="仿宋"/>
                <w:bCs/>
                <w:color w:val="auto"/>
                <w:szCs w:val="21"/>
              </w:rPr>
              <w:t>提前终止</w:t>
            </w:r>
            <w:r>
              <w:rPr>
                <w:rFonts w:hint="eastAsia" w:ascii="仿宋" w:hAnsi="仿宋" w:eastAsia="仿宋"/>
                <w:bCs/>
                <w:color w:val="auto"/>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cs="宋体"/>
                <w:bCs/>
                <w:color w:val="auto"/>
                <w:szCs w:val="21"/>
              </w:rPr>
              <w:t>④</w:t>
            </w:r>
            <w:r>
              <w:rPr>
                <w:rFonts w:ascii="仿宋" w:hAnsi="仿宋" w:eastAsia="仿宋"/>
                <w:bCs/>
                <w:color w:val="auto"/>
                <w:szCs w:val="21"/>
              </w:rPr>
              <w:t>法律法规、监管规定及国家政策规定的其他情形</w:t>
            </w:r>
            <w:r>
              <w:rPr>
                <w:rFonts w:hint="eastAsia" w:ascii="仿宋" w:hAnsi="仿宋" w:eastAsia="仿宋"/>
                <w:bCs/>
                <w:color w:val="auto"/>
                <w:szCs w:val="21"/>
              </w:rPr>
              <w:t>或华夏理财认为需要提前终止的其他情形</w:t>
            </w:r>
            <w:r>
              <w:rPr>
                <w:rFonts w:ascii="仿宋" w:hAnsi="仿宋" w:eastAsia="仿宋"/>
                <w:bCs/>
                <w:color w:val="auto"/>
                <w:szCs w:val="21"/>
              </w:rPr>
              <w:t>。</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ascii="仿宋" w:hAnsi="仿宋" w:eastAsia="仿宋"/>
                <w:bCs/>
                <w:color w:val="auto"/>
                <w:szCs w:val="21"/>
              </w:rPr>
              <w:t>2．华夏</w:t>
            </w:r>
            <w:r>
              <w:rPr>
                <w:rFonts w:hint="eastAsia" w:ascii="仿宋" w:hAnsi="仿宋" w:eastAsia="仿宋"/>
                <w:bCs/>
                <w:color w:val="auto"/>
                <w:szCs w:val="21"/>
              </w:rPr>
              <w:t>理财</w:t>
            </w:r>
            <w:r>
              <w:rPr>
                <w:rFonts w:ascii="仿宋" w:hAnsi="仿宋" w:eastAsia="仿宋"/>
                <w:bCs/>
                <w:color w:val="auto"/>
                <w:szCs w:val="21"/>
              </w:rPr>
              <w:t>提前终止本理财产品的，在提前终止日前3个工作日通过</w:t>
            </w:r>
            <w:r>
              <w:rPr>
                <w:rFonts w:hint="eastAsia" w:ascii="仿宋" w:hAnsi="仿宋" w:eastAsia="仿宋"/>
                <w:bCs/>
                <w:color w:val="auto"/>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color w:val="auto"/>
                <w:szCs w:val="21"/>
              </w:rPr>
            </w:pPr>
            <w:r>
              <w:rPr>
                <w:rFonts w:hint="eastAsia" w:ascii="仿宋" w:hAnsi="仿宋" w:eastAsia="仿宋"/>
                <w:bCs/>
                <w:color w:val="auto"/>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理财收益的应纳税款由投资者自行申报及缴纳，但若根据法律法规等规定或税务等国家机关的命令或要求，华夏</w:t>
            </w:r>
            <w:r>
              <w:rPr>
                <w:rFonts w:hint="eastAsia" w:ascii="仿宋" w:hAnsi="仿宋" w:eastAsia="仿宋"/>
                <w:bCs/>
                <w:color w:val="auto"/>
                <w:szCs w:val="21"/>
              </w:rPr>
              <w:t>理财</w:t>
            </w:r>
            <w:r>
              <w:rPr>
                <w:rFonts w:ascii="仿宋" w:hAnsi="仿宋" w:eastAsia="仿宋"/>
                <w:bCs/>
                <w:color w:val="auto"/>
                <w:szCs w:val="21"/>
              </w:rPr>
              <w:t>有义务代扣代缴投资者承担的税费时，华夏</w:t>
            </w:r>
            <w:r>
              <w:rPr>
                <w:rFonts w:hint="eastAsia" w:ascii="仿宋" w:hAnsi="仿宋" w:eastAsia="仿宋"/>
                <w:bCs/>
                <w:color w:val="auto"/>
                <w:szCs w:val="21"/>
              </w:rPr>
              <w:t>理财</w:t>
            </w:r>
            <w:r>
              <w:rPr>
                <w:rFonts w:ascii="仿宋" w:hAnsi="仿宋" w:eastAsia="仿宋"/>
                <w:bCs/>
                <w:color w:val="auto"/>
                <w:szCs w:val="21"/>
              </w:rPr>
              <w:t>将</w:t>
            </w:r>
            <w:r>
              <w:rPr>
                <w:rFonts w:hint="eastAsia" w:ascii="仿宋" w:hAnsi="仿宋" w:eastAsia="仿宋"/>
                <w:bCs/>
                <w:color w:val="auto"/>
                <w:szCs w:val="21"/>
              </w:rPr>
              <w:t>予以</w:t>
            </w:r>
            <w:r>
              <w:rPr>
                <w:rFonts w:ascii="仿宋" w:hAnsi="仿宋" w:eastAsia="仿宋"/>
                <w:bCs/>
                <w:color w:val="auto"/>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color w:val="auto"/>
                <w:kern w:val="0"/>
                <w:szCs w:val="21"/>
              </w:rPr>
            </w:pPr>
            <w:r>
              <w:rPr>
                <w:rFonts w:ascii="仿宋" w:hAnsi="仿宋" w:eastAsia="仿宋" w:cs="宋体"/>
                <w:color w:val="auto"/>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color w:val="auto"/>
                <w:kern w:val="0"/>
                <w:szCs w:val="21"/>
              </w:rPr>
            </w:pPr>
            <w:r>
              <w:rPr>
                <w:rFonts w:ascii="仿宋" w:hAnsi="仿宋" w:eastAsia="仿宋"/>
                <w:bCs/>
                <w:color w:val="auto"/>
                <w:szCs w:val="21"/>
              </w:rPr>
              <w:t>（1</w:t>
            </w:r>
            <w:r>
              <w:rPr>
                <w:rFonts w:hint="eastAsia" w:ascii="仿宋" w:hAnsi="仿宋" w:eastAsia="仿宋"/>
                <w:bCs/>
                <w:color w:val="auto"/>
                <w:szCs w:val="21"/>
              </w:rPr>
              <w:t>）</w:t>
            </w:r>
            <w:r>
              <w:rPr>
                <w:rFonts w:hint="eastAsia" w:ascii="仿宋" w:hAnsi="仿宋" w:eastAsia="仿宋" w:cs="宋体"/>
                <w:color w:val="auto"/>
                <w:kern w:val="0"/>
                <w:szCs w:val="21"/>
              </w:rPr>
              <w:t>由华夏理财销售的，募集期认购资金</w:t>
            </w:r>
            <w:r>
              <w:rPr>
                <w:rFonts w:ascii="仿宋" w:hAnsi="仿宋" w:eastAsia="仿宋" w:cs="宋体"/>
                <w:color w:val="auto"/>
                <w:kern w:val="0"/>
                <w:szCs w:val="21"/>
              </w:rPr>
              <w:t>计息规则</w:t>
            </w:r>
            <w:r>
              <w:rPr>
                <w:rFonts w:hint="eastAsia" w:ascii="仿宋" w:hAnsi="仿宋" w:eastAsia="仿宋" w:cs="宋体"/>
                <w:color w:val="auto"/>
                <w:kern w:val="0"/>
                <w:szCs w:val="21"/>
              </w:rPr>
              <w:t>以华夏理财渠道披露的理财</w:t>
            </w:r>
            <w:r>
              <w:rPr>
                <w:rFonts w:ascii="仿宋" w:hAnsi="仿宋" w:eastAsia="仿宋" w:cs="宋体"/>
                <w:color w:val="auto"/>
                <w:kern w:val="0"/>
                <w:szCs w:val="21"/>
              </w:rPr>
              <w:t>产品销售协议书</w:t>
            </w:r>
            <w:r>
              <w:rPr>
                <w:rFonts w:hint="eastAsia" w:ascii="仿宋" w:hAnsi="仿宋" w:eastAsia="仿宋" w:cs="宋体"/>
                <w:color w:val="auto"/>
                <w:kern w:val="0"/>
                <w:szCs w:val="21"/>
              </w:rPr>
              <w:t>约定为准。</w:t>
            </w:r>
          </w:p>
          <w:p>
            <w:pPr>
              <w:adjustRightInd w:val="0"/>
              <w:snapToGrid w:val="0"/>
              <w:spacing w:line="240" w:lineRule="atLeast"/>
              <w:ind w:firstLine="420" w:firstLineChars="200"/>
              <w:rPr>
                <w:rFonts w:ascii="仿宋" w:hAnsi="仿宋" w:eastAsia="仿宋" w:cs="宋体"/>
                <w:color w:val="auto"/>
                <w:kern w:val="0"/>
                <w:szCs w:val="21"/>
              </w:rPr>
            </w:pPr>
            <w:r>
              <w:rPr>
                <w:rFonts w:ascii="仿宋" w:hAnsi="仿宋" w:eastAsia="仿宋"/>
                <w:bCs/>
                <w:color w:val="auto"/>
                <w:szCs w:val="21"/>
              </w:rPr>
              <w:t>（2</w:t>
            </w:r>
            <w:r>
              <w:rPr>
                <w:rFonts w:hint="eastAsia" w:ascii="仿宋" w:hAnsi="仿宋" w:eastAsia="仿宋"/>
                <w:bCs/>
                <w:color w:val="auto"/>
                <w:szCs w:val="21"/>
              </w:rPr>
              <w:t>）</w:t>
            </w:r>
            <w:r>
              <w:rPr>
                <w:rFonts w:hint="eastAsia" w:ascii="仿宋" w:hAnsi="仿宋" w:eastAsia="仿宋" w:cs="宋体"/>
                <w:color w:val="auto"/>
                <w:kern w:val="0"/>
                <w:szCs w:val="21"/>
              </w:rPr>
              <w:t>由华夏银行销售的，募集期</w:t>
            </w:r>
            <w:r>
              <w:rPr>
                <w:rFonts w:ascii="仿宋" w:hAnsi="仿宋" w:eastAsia="仿宋" w:cs="宋体"/>
                <w:color w:val="auto"/>
                <w:kern w:val="0"/>
                <w:szCs w:val="21"/>
              </w:rPr>
              <w:t>认购申请日（含）至</w:t>
            </w:r>
            <w:r>
              <w:rPr>
                <w:rFonts w:hint="eastAsia" w:ascii="仿宋" w:hAnsi="仿宋" w:eastAsia="仿宋" w:cs="宋体"/>
                <w:color w:val="auto"/>
                <w:kern w:val="0"/>
                <w:szCs w:val="21"/>
              </w:rPr>
              <w:t>成立</w:t>
            </w:r>
            <w:r>
              <w:rPr>
                <w:rFonts w:ascii="仿宋" w:hAnsi="仿宋" w:eastAsia="仿宋" w:cs="宋体"/>
                <w:color w:val="auto"/>
                <w:kern w:val="0"/>
                <w:szCs w:val="21"/>
              </w:rPr>
              <w:t>日（</w:t>
            </w:r>
            <w:r>
              <w:rPr>
                <w:rFonts w:hint="eastAsia" w:ascii="仿宋" w:hAnsi="仿宋" w:eastAsia="仿宋" w:cs="宋体"/>
                <w:color w:val="auto"/>
                <w:kern w:val="0"/>
                <w:szCs w:val="21"/>
              </w:rPr>
              <w:t>不含</w:t>
            </w:r>
            <w:r>
              <w:rPr>
                <w:rFonts w:ascii="仿宋" w:hAnsi="仿宋" w:eastAsia="仿宋" w:cs="宋体"/>
                <w:color w:val="auto"/>
                <w:kern w:val="0"/>
                <w:szCs w:val="21"/>
              </w:rPr>
              <w:t>）</w:t>
            </w:r>
            <w:r>
              <w:rPr>
                <w:rFonts w:hint="eastAsia" w:ascii="仿宋" w:hAnsi="仿宋" w:eastAsia="仿宋" w:cs="宋体"/>
                <w:color w:val="auto"/>
                <w:kern w:val="0"/>
                <w:szCs w:val="21"/>
              </w:rPr>
              <w:t>或认购</w:t>
            </w:r>
            <w:r>
              <w:rPr>
                <w:rFonts w:ascii="仿宋" w:hAnsi="仿宋" w:eastAsia="仿宋" w:cs="宋体"/>
                <w:color w:val="auto"/>
                <w:kern w:val="0"/>
                <w:szCs w:val="21"/>
              </w:rPr>
              <w:t>撤销日（</w:t>
            </w:r>
            <w:r>
              <w:rPr>
                <w:rFonts w:hint="eastAsia" w:ascii="仿宋" w:hAnsi="仿宋" w:eastAsia="仿宋" w:cs="宋体"/>
                <w:color w:val="auto"/>
                <w:kern w:val="0"/>
                <w:szCs w:val="21"/>
              </w:rPr>
              <w:t>不含</w:t>
            </w:r>
            <w:r>
              <w:rPr>
                <w:rFonts w:ascii="仿宋" w:hAnsi="仿宋" w:eastAsia="仿宋" w:cs="宋体"/>
                <w:color w:val="auto"/>
                <w:kern w:val="0"/>
                <w:szCs w:val="21"/>
              </w:rPr>
              <w:t>）</w:t>
            </w:r>
            <w:r>
              <w:rPr>
                <w:rFonts w:hint="eastAsia" w:ascii="仿宋" w:hAnsi="仿宋" w:eastAsia="仿宋" w:cs="宋体"/>
                <w:color w:val="auto"/>
                <w:kern w:val="0"/>
                <w:szCs w:val="21"/>
              </w:rPr>
              <w:t>之间，</w:t>
            </w:r>
            <w:r>
              <w:rPr>
                <w:rFonts w:ascii="仿宋" w:hAnsi="仿宋" w:eastAsia="仿宋" w:cs="宋体"/>
                <w:color w:val="auto"/>
                <w:kern w:val="0"/>
                <w:szCs w:val="21"/>
              </w:rPr>
              <w:t>投资者</w:t>
            </w:r>
            <w:r>
              <w:rPr>
                <w:rFonts w:hint="eastAsia" w:ascii="仿宋" w:hAnsi="仿宋" w:eastAsia="仿宋" w:cs="宋体"/>
                <w:color w:val="auto"/>
                <w:kern w:val="0"/>
                <w:szCs w:val="21"/>
              </w:rPr>
              <w:t>认购</w:t>
            </w:r>
            <w:r>
              <w:rPr>
                <w:rFonts w:ascii="仿宋" w:hAnsi="仿宋" w:eastAsia="仿宋" w:cs="宋体"/>
                <w:color w:val="auto"/>
                <w:kern w:val="0"/>
                <w:szCs w:val="21"/>
              </w:rPr>
              <w:t>资金</w:t>
            </w:r>
            <w:r>
              <w:rPr>
                <w:rFonts w:hint="eastAsia" w:ascii="仿宋" w:hAnsi="仿宋" w:eastAsia="仿宋" w:cs="宋体"/>
                <w:color w:val="auto"/>
                <w:kern w:val="0"/>
                <w:szCs w:val="21"/>
              </w:rPr>
              <w:t>按期间每日挂牌</w:t>
            </w:r>
            <w:r>
              <w:rPr>
                <w:rFonts w:ascii="仿宋" w:hAnsi="仿宋" w:eastAsia="仿宋" w:cs="宋体"/>
                <w:color w:val="auto"/>
                <w:kern w:val="0"/>
                <w:szCs w:val="21"/>
              </w:rPr>
              <w:t>活期存款利率计</w:t>
            </w:r>
            <w:r>
              <w:rPr>
                <w:rFonts w:hint="eastAsia" w:ascii="仿宋" w:hAnsi="仿宋" w:eastAsia="仿宋" w:cs="宋体"/>
                <w:color w:val="auto"/>
                <w:kern w:val="0"/>
                <w:szCs w:val="21"/>
              </w:rPr>
              <w:t>算利</w:t>
            </w:r>
            <w:r>
              <w:rPr>
                <w:rFonts w:ascii="仿宋" w:hAnsi="仿宋" w:eastAsia="仿宋" w:cs="宋体"/>
                <w:color w:val="auto"/>
                <w:kern w:val="0"/>
                <w:szCs w:val="21"/>
              </w:rPr>
              <w:t>息，且该利息不计入认购本金</w:t>
            </w:r>
            <w:r>
              <w:rPr>
                <w:rFonts w:hint="eastAsia" w:ascii="仿宋" w:hAnsi="仿宋" w:eastAsia="仿宋" w:cs="宋体"/>
                <w:color w:val="auto"/>
                <w:kern w:val="0"/>
                <w:szCs w:val="21"/>
              </w:rPr>
              <w:t>。</w:t>
            </w:r>
          </w:p>
          <w:p>
            <w:pPr>
              <w:adjustRightInd w:val="0"/>
              <w:snapToGrid w:val="0"/>
              <w:spacing w:line="300" w:lineRule="exact"/>
              <w:ind w:firstLine="420" w:firstLineChars="200"/>
              <w:rPr>
                <w:rFonts w:ascii="仿宋" w:hAnsi="仿宋" w:eastAsia="仿宋" w:cs="宋体"/>
                <w:color w:val="auto"/>
                <w:kern w:val="0"/>
                <w:szCs w:val="21"/>
              </w:rPr>
            </w:pPr>
            <w:r>
              <w:rPr>
                <w:rFonts w:ascii="仿宋" w:hAnsi="仿宋" w:eastAsia="仿宋"/>
                <w:bCs/>
                <w:color w:val="auto"/>
                <w:szCs w:val="21"/>
              </w:rPr>
              <w:t>（3</w:t>
            </w:r>
            <w:r>
              <w:rPr>
                <w:rFonts w:hint="eastAsia" w:ascii="仿宋" w:hAnsi="仿宋" w:eastAsia="仿宋"/>
                <w:bCs/>
                <w:color w:val="auto"/>
                <w:szCs w:val="21"/>
              </w:rPr>
              <w:t>）</w:t>
            </w:r>
            <w:r>
              <w:rPr>
                <w:rFonts w:hint="eastAsia" w:ascii="仿宋" w:hAnsi="仿宋" w:eastAsia="仿宋" w:cs="宋体"/>
                <w:color w:val="auto"/>
                <w:kern w:val="0"/>
                <w:szCs w:val="21"/>
              </w:rPr>
              <w:t>由</w:t>
            </w:r>
            <w:r>
              <w:rPr>
                <w:rFonts w:ascii="仿宋" w:hAnsi="仿宋" w:eastAsia="仿宋" w:cs="宋体"/>
                <w:color w:val="auto"/>
                <w:kern w:val="0"/>
                <w:szCs w:val="21"/>
              </w:rPr>
              <w:t>代销机构</w:t>
            </w:r>
            <w:r>
              <w:rPr>
                <w:rFonts w:hint="eastAsia" w:ascii="仿宋" w:hAnsi="仿宋" w:eastAsia="仿宋" w:cs="宋体"/>
                <w:color w:val="auto"/>
                <w:kern w:val="0"/>
                <w:szCs w:val="21"/>
              </w:rPr>
              <w:t>销售</w:t>
            </w:r>
            <w:r>
              <w:rPr>
                <w:rFonts w:ascii="仿宋" w:hAnsi="仿宋" w:eastAsia="仿宋" w:cs="宋体"/>
                <w:color w:val="auto"/>
                <w:kern w:val="0"/>
                <w:szCs w:val="21"/>
              </w:rPr>
              <w:t>的，</w:t>
            </w:r>
            <w:r>
              <w:rPr>
                <w:rFonts w:hint="eastAsia" w:ascii="仿宋" w:hAnsi="仿宋" w:eastAsia="仿宋" w:cs="宋体"/>
                <w:color w:val="auto"/>
                <w:kern w:val="0"/>
                <w:szCs w:val="21"/>
              </w:rPr>
              <w:t>募集期</w:t>
            </w:r>
            <w:r>
              <w:rPr>
                <w:rFonts w:ascii="仿宋" w:hAnsi="仿宋" w:eastAsia="仿宋" w:cs="宋体"/>
                <w:color w:val="auto"/>
                <w:kern w:val="0"/>
                <w:szCs w:val="21"/>
              </w:rPr>
              <w:t>认购申请日（含）至</w:t>
            </w:r>
            <w:r>
              <w:rPr>
                <w:rFonts w:hint="eastAsia" w:ascii="仿宋" w:hAnsi="仿宋" w:eastAsia="仿宋" w:cs="宋体"/>
                <w:color w:val="auto"/>
                <w:kern w:val="0"/>
                <w:szCs w:val="21"/>
              </w:rPr>
              <w:t>成立</w:t>
            </w:r>
            <w:r>
              <w:rPr>
                <w:rFonts w:ascii="仿宋" w:hAnsi="仿宋" w:eastAsia="仿宋" w:cs="宋体"/>
                <w:color w:val="auto"/>
                <w:kern w:val="0"/>
                <w:szCs w:val="21"/>
              </w:rPr>
              <w:t>日（</w:t>
            </w:r>
            <w:r>
              <w:rPr>
                <w:rFonts w:hint="eastAsia" w:ascii="仿宋" w:hAnsi="仿宋" w:eastAsia="仿宋" w:cs="宋体"/>
                <w:color w:val="auto"/>
                <w:kern w:val="0"/>
                <w:szCs w:val="21"/>
              </w:rPr>
              <w:t>不含</w:t>
            </w:r>
            <w:r>
              <w:rPr>
                <w:rFonts w:ascii="仿宋" w:hAnsi="仿宋" w:eastAsia="仿宋" w:cs="宋体"/>
                <w:color w:val="auto"/>
                <w:kern w:val="0"/>
                <w:szCs w:val="21"/>
              </w:rPr>
              <w:t>）</w:t>
            </w:r>
            <w:r>
              <w:rPr>
                <w:rFonts w:hint="eastAsia" w:ascii="仿宋" w:hAnsi="仿宋" w:eastAsia="仿宋" w:cs="宋体"/>
                <w:color w:val="auto"/>
                <w:kern w:val="0"/>
                <w:szCs w:val="21"/>
              </w:rPr>
              <w:t>或认购</w:t>
            </w:r>
            <w:r>
              <w:rPr>
                <w:rFonts w:ascii="仿宋" w:hAnsi="仿宋" w:eastAsia="仿宋" w:cs="宋体"/>
                <w:color w:val="auto"/>
                <w:kern w:val="0"/>
                <w:szCs w:val="21"/>
              </w:rPr>
              <w:t>撤销日（</w:t>
            </w:r>
            <w:r>
              <w:rPr>
                <w:rFonts w:hint="eastAsia" w:ascii="仿宋" w:hAnsi="仿宋" w:eastAsia="仿宋" w:cs="宋体"/>
                <w:color w:val="auto"/>
                <w:kern w:val="0"/>
                <w:szCs w:val="21"/>
              </w:rPr>
              <w:t>不含</w:t>
            </w:r>
            <w:r>
              <w:rPr>
                <w:rFonts w:ascii="仿宋" w:hAnsi="仿宋" w:eastAsia="仿宋" w:cs="宋体"/>
                <w:color w:val="auto"/>
                <w:kern w:val="0"/>
                <w:szCs w:val="21"/>
              </w:rPr>
              <w:t>）</w:t>
            </w:r>
            <w:r>
              <w:rPr>
                <w:rFonts w:hint="eastAsia" w:ascii="仿宋" w:hAnsi="仿宋" w:eastAsia="仿宋" w:cs="宋体"/>
                <w:color w:val="auto"/>
                <w:kern w:val="0"/>
                <w:szCs w:val="21"/>
              </w:rPr>
              <w:t>之间，</w:t>
            </w:r>
            <w:r>
              <w:rPr>
                <w:rFonts w:ascii="仿宋" w:hAnsi="仿宋" w:eastAsia="仿宋" w:cs="宋体"/>
                <w:color w:val="auto"/>
                <w:kern w:val="0"/>
                <w:szCs w:val="21"/>
              </w:rPr>
              <w:t>投资者</w:t>
            </w:r>
            <w:r>
              <w:rPr>
                <w:rFonts w:hint="eastAsia" w:ascii="仿宋" w:hAnsi="仿宋" w:eastAsia="仿宋" w:cs="宋体"/>
                <w:color w:val="auto"/>
                <w:kern w:val="0"/>
                <w:szCs w:val="21"/>
              </w:rPr>
              <w:t>认购</w:t>
            </w:r>
            <w:r>
              <w:rPr>
                <w:rFonts w:ascii="仿宋" w:hAnsi="仿宋" w:eastAsia="仿宋" w:cs="宋体"/>
                <w:color w:val="auto"/>
                <w:kern w:val="0"/>
                <w:szCs w:val="21"/>
              </w:rPr>
              <w:t>资金按照代销机构</w:t>
            </w:r>
            <w:r>
              <w:rPr>
                <w:rFonts w:hint="eastAsia" w:ascii="仿宋" w:hAnsi="仿宋" w:eastAsia="仿宋" w:cs="宋体"/>
                <w:color w:val="auto"/>
                <w:kern w:val="0"/>
                <w:szCs w:val="21"/>
              </w:rPr>
              <w:t>与</w:t>
            </w:r>
            <w:r>
              <w:rPr>
                <w:rFonts w:ascii="仿宋" w:hAnsi="仿宋" w:eastAsia="仿宋" w:cs="宋体"/>
                <w:color w:val="auto"/>
                <w:kern w:val="0"/>
                <w:szCs w:val="21"/>
              </w:rPr>
              <w:t>投资人约定的</w:t>
            </w:r>
            <w:r>
              <w:rPr>
                <w:rFonts w:hint="eastAsia" w:ascii="仿宋" w:hAnsi="仿宋" w:eastAsia="仿宋" w:cs="宋体"/>
                <w:color w:val="auto"/>
                <w:kern w:val="0"/>
                <w:szCs w:val="21"/>
              </w:rPr>
              <w:t>计息方式执行</w:t>
            </w:r>
            <w:r>
              <w:rPr>
                <w:rFonts w:ascii="仿宋" w:hAnsi="仿宋" w:eastAsia="仿宋" w:cs="宋体"/>
                <w:color w:val="auto"/>
                <w:kern w:val="0"/>
                <w:szCs w:val="21"/>
              </w:rPr>
              <w:t>。</w:t>
            </w:r>
          </w:p>
          <w:p>
            <w:pPr>
              <w:adjustRightInd w:val="0"/>
              <w:snapToGrid w:val="0"/>
              <w:spacing w:line="300" w:lineRule="exact"/>
              <w:ind w:firstLine="420" w:firstLineChars="200"/>
              <w:rPr>
                <w:rFonts w:ascii="仿宋" w:hAnsi="仿宋" w:eastAsia="仿宋" w:cs="宋体"/>
                <w:color w:val="auto"/>
                <w:kern w:val="0"/>
                <w:szCs w:val="21"/>
              </w:rPr>
            </w:pPr>
            <w:r>
              <w:rPr>
                <w:rFonts w:ascii="仿宋" w:hAnsi="仿宋" w:eastAsia="仿宋"/>
                <w:bCs/>
                <w:color w:val="auto"/>
                <w:szCs w:val="21"/>
              </w:rPr>
              <w:t>（4</w:t>
            </w:r>
            <w:r>
              <w:rPr>
                <w:rFonts w:hint="eastAsia" w:ascii="仿宋" w:hAnsi="仿宋" w:eastAsia="仿宋"/>
                <w:bCs/>
                <w:color w:val="auto"/>
                <w:szCs w:val="21"/>
              </w:rPr>
              <w:t>）</w:t>
            </w:r>
            <w:r>
              <w:rPr>
                <w:rFonts w:hint="eastAsia" w:ascii="仿宋" w:hAnsi="仿宋" w:eastAsia="仿宋" w:cs="宋体"/>
                <w:color w:val="auto"/>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w:t>
      </w:r>
      <w:r>
        <w:rPr>
          <w:rFonts w:hint="eastAsia" w:ascii="仿宋" w:hAnsi="仿宋" w:eastAsia="仿宋" w:cs="宋体"/>
          <w:color w:val="000000"/>
          <w:kern w:val="0"/>
          <w:sz w:val="24"/>
          <w:lang w:val="en-US" w:eastAsia="zh-CN"/>
        </w:rPr>
        <w:t>债权类资产、非标准化</w:t>
      </w:r>
      <w:r>
        <w:rPr>
          <w:rFonts w:hint="eastAsia" w:ascii="仿宋" w:hAnsi="仿宋" w:eastAsia="仿宋" w:cs="宋体"/>
          <w:color w:val="000000"/>
          <w:kern w:val="0"/>
          <w:sz w:val="24"/>
        </w:rPr>
        <w:t>债权类资产等固定收益类资产，权益类资产，商品及金融衍生品类资产。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lang w:val="en-US" w:eastAsia="zh-CN"/>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商品类资产包括贵金属和大宗商品等以实物形式存在的商品资产；金融衍生品类资产包括但不限于远期合同、期货合同、互换和期权，以及具有远期合同、期货合同、互换和期权一种或一种以上特征的工具。</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10"/>
        <w:tblW w:w="8336" w:type="dxa"/>
        <w:jc w:val="center"/>
        <w:tblCellSpacing w:w="0" w:type="dxa"/>
        <w:tblInd w:w="-93"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5685"/>
        <w:gridCol w:w="2651"/>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5685"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2651"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eastAsia="仿宋"/>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5685"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固定收益类</w:t>
            </w:r>
          </w:p>
        </w:tc>
        <w:tc>
          <w:tcPr>
            <w:tcW w:w="2651"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88" w:lineRule="auto"/>
              <w:jc w:val="center"/>
              <w:rPr>
                <w:kern w:val="0"/>
                <w:sz w:val="24"/>
              </w:rPr>
            </w:pPr>
            <w:r>
              <w:rPr>
                <w:rFonts w:ascii="仿宋" w:hAnsi="仿宋" w:eastAsia="仿宋" w:cs="宋体"/>
                <w:color w:val="000000"/>
                <w:kern w:val="0"/>
                <w:sz w:val="24"/>
              </w:rPr>
              <w:t>95</w:t>
            </w:r>
            <w:r>
              <w:rPr>
                <w:rFonts w:hint="eastAsia" w:ascii="仿宋" w:hAnsi="仿宋" w:eastAsia="仿宋" w:cs="宋体"/>
                <w:color w:val="000000"/>
                <w:kern w:val="0"/>
                <w:sz w:val="24"/>
              </w:rPr>
              <w:t>%-100%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11" w:hRule="atLeast"/>
          <w:tblCellSpacing w:w="0" w:type="dxa"/>
          <w:jc w:val="center"/>
        </w:trPr>
        <w:tc>
          <w:tcPr>
            <w:tcW w:w="5685"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88" w:lineRule="auto"/>
              <w:jc w:val="center"/>
              <w:rPr>
                <w:rFonts w:ascii="仿宋" w:hAnsi="仿宋" w:eastAsia="仿宋" w:cs="宋体"/>
                <w:color w:val="000000"/>
                <w:kern w:val="0"/>
                <w:sz w:val="24"/>
              </w:rPr>
            </w:pPr>
            <w:r>
              <w:rPr>
                <w:rFonts w:hint="eastAsia" w:ascii="仿宋" w:hAnsi="仿宋" w:eastAsia="仿宋" w:cs="宋体"/>
                <w:color w:val="000000"/>
                <w:kern w:val="0"/>
                <w:sz w:val="24"/>
              </w:rPr>
              <w:t>权益类</w:t>
            </w:r>
          </w:p>
          <w:p>
            <w:pPr>
              <w:adjustRightInd w:val="0"/>
              <w:snapToGrid w:val="0"/>
              <w:spacing w:line="288" w:lineRule="auto"/>
              <w:jc w:val="center"/>
              <w:rPr>
                <w:rFonts w:hint="eastAsia" w:ascii="仿宋" w:hAnsi="仿宋" w:eastAsia="仿宋" w:cs="宋体"/>
                <w:color w:val="000000"/>
                <w:kern w:val="0"/>
                <w:sz w:val="24"/>
              </w:rPr>
            </w:pPr>
            <w:r>
              <w:rPr>
                <w:rFonts w:hint="eastAsia" w:ascii="仿宋" w:hAnsi="仿宋" w:eastAsia="仿宋" w:cs="宋体"/>
                <w:color w:val="000000"/>
                <w:kern w:val="0"/>
                <w:sz w:val="24"/>
              </w:rPr>
              <w:t>商品及金融衍生品类</w:t>
            </w:r>
          </w:p>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（商品及金融衍生品类资产投资须符合监管要求）</w:t>
            </w:r>
          </w:p>
        </w:tc>
        <w:tc>
          <w:tcPr>
            <w:tcW w:w="2651"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88" w:lineRule="auto"/>
              <w:jc w:val="center"/>
              <w:rPr>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5</w:t>
            </w:r>
            <w:r>
              <w:rPr>
                <w:rFonts w:hint="eastAsia" w:ascii="仿宋" w:hAnsi="仿宋" w:eastAsia="仿宋" w:cs="宋体"/>
                <w:color w:val="000000"/>
                <w:kern w:val="0"/>
                <w:sz w:val="24"/>
              </w:rPr>
              <w:t>%</w:t>
            </w:r>
          </w:p>
        </w:tc>
      </w:tr>
    </w:tbl>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b/>
          <w:bCs/>
          <w:color w:val="000000"/>
          <w:kern w:val="0"/>
          <w:sz w:val="24"/>
          <w:lang w:eastAsia="zh-CN"/>
        </w:rPr>
        <w:t>：</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hint="eastAsia"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w:t>
      </w:r>
      <w:r>
        <w:rPr>
          <w:rFonts w:ascii="仿宋" w:hAnsi="仿宋" w:eastAsia="仿宋"/>
          <w:color w:val="auto"/>
        </w:rPr>
        <w:t>本</w:t>
      </w:r>
      <w:r>
        <w:rPr>
          <w:rFonts w:hint="eastAsia" w:ascii="仿宋" w:hAnsi="仿宋" w:eastAsia="仿宋"/>
          <w:color w:val="auto"/>
        </w:rPr>
        <w:t>理财</w:t>
      </w:r>
      <w:r>
        <w:rPr>
          <w:rFonts w:ascii="仿宋" w:hAnsi="仿宋" w:eastAsia="仿宋"/>
          <w:color w:val="auto"/>
        </w:rPr>
        <w:t>产品管理人为华夏理财有限责任公司。</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w:t>
      </w:r>
      <w:r>
        <w:rPr>
          <w:rFonts w:ascii="仿宋" w:hAnsi="仿宋" w:eastAsia="仿宋"/>
          <w:color w:val="auto"/>
        </w:rPr>
        <w:t>本理财产品</w:t>
      </w:r>
      <w:r>
        <w:rPr>
          <w:rFonts w:hint="eastAsia" w:ascii="仿宋" w:hAnsi="仿宋" w:eastAsia="仿宋"/>
          <w:color w:val="auto"/>
        </w:rPr>
        <w:t>托管人为华夏银行股份有限公司</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 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3.拒绝或暂停认购的情形</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可以采取认购风险应对措施，拒绝或暂停接受认购申请：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hint="eastAsia" w:ascii="仿宋" w:hAnsi="仿宋" w:eastAsia="仿宋"/>
        </w:rPr>
      </w:pPr>
      <w:r>
        <w:rPr>
          <w:rFonts w:hint="eastAsia" w:ascii="仿宋" w:hAnsi="仿宋" w:eastAsia="仿宋" w:cs="宋体"/>
          <w:color w:val="000000"/>
          <w:kern w:val="0"/>
          <w:sz w:val="24"/>
        </w:rPr>
        <w:t>如果投资人的认购申请被全部或部分拒绝的，被拒绝的认购款项将退还给投资人。在暂停认购的情况消除时，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w:t>
      </w:r>
      <w:r>
        <w:rPr>
          <w:rFonts w:hint="eastAsia" w:ascii="仿宋" w:hAnsi="仿宋" w:eastAsia="仿宋" w:cs="仿宋"/>
          <w:sz w:val="24"/>
          <w:lang w:val="en-US" w:eastAsia="zh-CN"/>
        </w:rPr>
        <w:t>06</w:t>
      </w:r>
      <w:r>
        <w:rPr>
          <w:rFonts w:ascii="仿宋" w:hAnsi="仿宋" w:eastAsia="仿宋" w:cs="仿宋"/>
          <w:sz w:val="24"/>
        </w:rPr>
        <w:t>00</w:t>
      </w:r>
      <w:r>
        <w:rPr>
          <w:rFonts w:hint="eastAsia" w:ascii="仿宋" w:hAnsi="仿宋" w:eastAsia="仿宋" w:cs="仿宋"/>
          <w:sz w:val="24"/>
        </w:rPr>
        <w:t>，客户到期获得的金额为：</w:t>
      </w:r>
      <w:r>
        <w:rPr>
          <w:rFonts w:ascii="仿宋" w:hAnsi="仿宋" w:eastAsia="仿宋" w:cs="仿宋"/>
          <w:sz w:val="24"/>
        </w:rPr>
        <w:t>100,000*1.</w:t>
      </w:r>
      <w:r>
        <w:rPr>
          <w:rFonts w:hint="eastAsia" w:ascii="仿宋" w:hAnsi="仿宋" w:eastAsia="仿宋" w:cs="仿宋"/>
          <w:sz w:val="24"/>
          <w:lang w:val="en-US" w:eastAsia="zh-CN"/>
        </w:rPr>
        <w:t>06</w:t>
      </w:r>
      <w:r>
        <w:rPr>
          <w:rFonts w:ascii="仿宋" w:hAnsi="仿宋" w:eastAsia="仿宋" w:cs="仿宋"/>
          <w:sz w:val="24"/>
        </w:rPr>
        <w:t>00=1</w:t>
      </w:r>
      <w:r>
        <w:rPr>
          <w:rFonts w:hint="eastAsia" w:ascii="仿宋" w:hAnsi="仿宋" w:eastAsia="仿宋" w:cs="仿宋"/>
          <w:sz w:val="24"/>
          <w:lang w:val="en-US" w:eastAsia="zh-CN"/>
        </w:rPr>
        <w:t>06</w:t>
      </w:r>
      <w:r>
        <w:rPr>
          <w:rFonts w:ascii="仿宋" w:hAnsi="仿宋" w:eastAsia="仿宋" w:cs="仿宋"/>
          <w:sz w:val="24"/>
        </w:rPr>
        <w:t>,000.00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本理财产品所投资的银行存款、货币市场工具、债券等标准化债权类资产、非标准化债权类资产、权益类资产以及资产管理产品等资产。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的影响。在最不利的情况下，理财产品到期/终止时投资者可能无法获得理财产品投资收益，甚至损失全部理财本金，由此产生的风险由投资者自行承担。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投资者无权随时提前赎回</w:t>
      </w:r>
      <w:r>
        <w:rPr>
          <w:rFonts w:hint="eastAsia" w:ascii="Times New Roman" w:eastAsia="黑体" w:cs="Times New Roman"/>
          <w:b/>
          <w:color w:val="auto"/>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（十）延期风险：</w:t>
      </w:r>
      <w:r>
        <w:rPr>
          <w:rFonts w:ascii="Times New Roman" w:eastAsia="黑体" w:cs="Times New Roman"/>
          <w:b/>
          <w:color w:val="auto"/>
        </w:rPr>
        <w:t>如因与理财产品投资资产相关的</w:t>
      </w:r>
      <w:r>
        <w:rPr>
          <w:rFonts w:hint="eastAsia" w:ascii="Times New Roman" w:eastAsia="黑体" w:cs="Times New Roman"/>
          <w:b/>
          <w:color w:val="auto"/>
        </w:rPr>
        <w:t>资产管理计划管理人、</w:t>
      </w:r>
      <w:r>
        <w:rPr>
          <w:rFonts w:ascii="Times New Roman" w:eastAsia="黑体" w:cs="Times New Roman"/>
          <w:b/>
          <w:color w:val="auto"/>
        </w:rPr>
        <w:t>信托受托人、债务人、担保人（如有）等主体发生违约，导致本理财产品不能按时偿</w:t>
      </w:r>
      <w:r>
        <w:rPr>
          <w:rFonts w:hint="eastAsia" w:ascii="Times New Roman" w:eastAsia="黑体" w:cs="Times New Roman"/>
          <w:b/>
          <w:color w:val="auto"/>
        </w:rPr>
        <w:t>付</w:t>
      </w:r>
      <w:r>
        <w:rPr>
          <w:rFonts w:ascii="Times New Roman" w:eastAsia="黑体" w:cs="Times New Roman"/>
          <w:b/>
          <w:color w:val="auto"/>
        </w:rPr>
        <w:t>理财本金及收益</w:t>
      </w:r>
      <w:r>
        <w:rPr>
          <w:rFonts w:hint="eastAsia" w:ascii="Times New Roman" w:eastAsia="黑体" w:cs="Times New Roman"/>
          <w:b/>
          <w:color w:val="auto"/>
        </w:rPr>
        <w:t>；或因市场成交量不足、资产限制赎回、暂停交易、缺乏意愿交易对手等原因，管理人未能及时完成资产变现，则本</w:t>
      </w:r>
      <w:r>
        <w:rPr>
          <w:rFonts w:ascii="Times New Roman" w:eastAsia="黑体" w:cs="Times New Roman"/>
          <w:b/>
          <w:color w:val="auto"/>
        </w:rPr>
        <w:t>理财</w:t>
      </w:r>
      <w:r>
        <w:rPr>
          <w:rFonts w:hint="eastAsia" w:ascii="Times New Roman" w:eastAsia="黑体" w:cs="Times New Roman"/>
          <w:b/>
          <w:color w:val="auto"/>
        </w:rPr>
        <w:t>产品</w:t>
      </w:r>
      <w:r>
        <w:rPr>
          <w:rFonts w:ascii="Times New Roman" w:eastAsia="黑体" w:cs="Times New Roman"/>
          <w:b/>
          <w:color w:val="auto"/>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（十三）拟投资市场及资产的流动性风险评估</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（十四）流动性应对措施及对投资者的潜在影响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或非华夏理财原因发生的计算机系统故障、网络故障、通讯故障、电力故障等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D0355"/>
    <w:rsid w:val="000F06E2"/>
    <w:rsid w:val="000F0814"/>
    <w:rsid w:val="00103712"/>
    <w:rsid w:val="00133FA8"/>
    <w:rsid w:val="0013677C"/>
    <w:rsid w:val="00165B63"/>
    <w:rsid w:val="0017498E"/>
    <w:rsid w:val="00183EA3"/>
    <w:rsid w:val="00186079"/>
    <w:rsid w:val="00190BB4"/>
    <w:rsid w:val="001D2415"/>
    <w:rsid w:val="001E1606"/>
    <w:rsid w:val="001E41AD"/>
    <w:rsid w:val="001F7D2D"/>
    <w:rsid w:val="00215C06"/>
    <w:rsid w:val="002318DF"/>
    <w:rsid w:val="00244A8F"/>
    <w:rsid w:val="002553C2"/>
    <w:rsid w:val="00257913"/>
    <w:rsid w:val="00257999"/>
    <w:rsid w:val="00262B55"/>
    <w:rsid w:val="00280398"/>
    <w:rsid w:val="002960B6"/>
    <w:rsid w:val="002A05D2"/>
    <w:rsid w:val="002B2BDD"/>
    <w:rsid w:val="002F6B80"/>
    <w:rsid w:val="00305047"/>
    <w:rsid w:val="00316AFC"/>
    <w:rsid w:val="003243A1"/>
    <w:rsid w:val="00333AEC"/>
    <w:rsid w:val="0033431D"/>
    <w:rsid w:val="00344E4C"/>
    <w:rsid w:val="003536CA"/>
    <w:rsid w:val="003750FE"/>
    <w:rsid w:val="00380E25"/>
    <w:rsid w:val="00383192"/>
    <w:rsid w:val="00386DF5"/>
    <w:rsid w:val="003C19A7"/>
    <w:rsid w:val="003C47F9"/>
    <w:rsid w:val="003C561D"/>
    <w:rsid w:val="003C737C"/>
    <w:rsid w:val="003D0255"/>
    <w:rsid w:val="003D1B1D"/>
    <w:rsid w:val="003D7791"/>
    <w:rsid w:val="003F0CFC"/>
    <w:rsid w:val="00400CDC"/>
    <w:rsid w:val="004128C5"/>
    <w:rsid w:val="00420E68"/>
    <w:rsid w:val="00443D10"/>
    <w:rsid w:val="00482583"/>
    <w:rsid w:val="0048600F"/>
    <w:rsid w:val="004A2CEA"/>
    <w:rsid w:val="004B3C7D"/>
    <w:rsid w:val="004C7E7D"/>
    <w:rsid w:val="004D72E5"/>
    <w:rsid w:val="004E7458"/>
    <w:rsid w:val="004F3054"/>
    <w:rsid w:val="00511A6C"/>
    <w:rsid w:val="00511F92"/>
    <w:rsid w:val="005228EC"/>
    <w:rsid w:val="00541B21"/>
    <w:rsid w:val="005622E8"/>
    <w:rsid w:val="00587F99"/>
    <w:rsid w:val="005902F0"/>
    <w:rsid w:val="005A1AD3"/>
    <w:rsid w:val="005B0C42"/>
    <w:rsid w:val="005B7E09"/>
    <w:rsid w:val="005D1B39"/>
    <w:rsid w:val="005D5825"/>
    <w:rsid w:val="005E4F8D"/>
    <w:rsid w:val="006030F8"/>
    <w:rsid w:val="00603823"/>
    <w:rsid w:val="00623292"/>
    <w:rsid w:val="006309B4"/>
    <w:rsid w:val="0064430D"/>
    <w:rsid w:val="006609EB"/>
    <w:rsid w:val="00661DAE"/>
    <w:rsid w:val="00664F8D"/>
    <w:rsid w:val="00665902"/>
    <w:rsid w:val="00695DD6"/>
    <w:rsid w:val="00697279"/>
    <w:rsid w:val="006A3BD2"/>
    <w:rsid w:val="006B7A12"/>
    <w:rsid w:val="006D1929"/>
    <w:rsid w:val="006D5CC0"/>
    <w:rsid w:val="006D61F9"/>
    <w:rsid w:val="006E465C"/>
    <w:rsid w:val="006E5108"/>
    <w:rsid w:val="006F108E"/>
    <w:rsid w:val="006F7A5D"/>
    <w:rsid w:val="0070057F"/>
    <w:rsid w:val="00712D65"/>
    <w:rsid w:val="00714FA0"/>
    <w:rsid w:val="0073124D"/>
    <w:rsid w:val="00740606"/>
    <w:rsid w:val="0075453D"/>
    <w:rsid w:val="00755C63"/>
    <w:rsid w:val="00757C4D"/>
    <w:rsid w:val="007660D1"/>
    <w:rsid w:val="0077151B"/>
    <w:rsid w:val="0078428F"/>
    <w:rsid w:val="0079392E"/>
    <w:rsid w:val="00794BCC"/>
    <w:rsid w:val="007A782E"/>
    <w:rsid w:val="007B16C0"/>
    <w:rsid w:val="007D7E45"/>
    <w:rsid w:val="007E69F8"/>
    <w:rsid w:val="007F34D2"/>
    <w:rsid w:val="008111D2"/>
    <w:rsid w:val="00813D80"/>
    <w:rsid w:val="008218B0"/>
    <w:rsid w:val="00826EBE"/>
    <w:rsid w:val="0084396D"/>
    <w:rsid w:val="00852297"/>
    <w:rsid w:val="00853BBD"/>
    <w:rsid w:val="0087356D"/>
    <w:rsid w:val="00891BE8"/>
    <w:rsid w:val="008A758D"/>
    <w:rsid w:val="008C587B"/>
    <w:rsid w:val="008C7FC7"/>
    <w:rsid w:val="008D32C9"/>
    <w:rsid w:val="008D4672"/>
    <w:rsid w:val="008E0E7F"/>
    <w:rsid w:val="00904F66"/>
    <w:rsid w:val="0092398B"/>
    <w:rsid w:val="00926B88"/>
    <w:rsid w:val="00940AE1"/>
    <w:rsid w:val="009767AD"/>
    <w:rsid w:val="00991585"/>
    <w:rsid w:val="0099257B"/>
    <w:rsid w:val="009A1572"/>
    <w:rsid w:val="009B40CA"/>
    <w:rsid w:val="009B5749"/>
    <w:rsid w:val="009B654D"/>
    <w:rsid w:val="009C25C2"/>
    <w:rsid w:val="009E64E1"/>
    <w:rsid w:val="009F3291"/>
    <w:rsid w:val="00A10AA6"/>
    <w:rsid w:val="00A23D14"/>
    <w:rsid w:val="00A40B5C"/>
    <w:rsid w:val="00A80484"/>
    <w:rsid w:val="00AA20BC"/>
    <w:rsid w:val="00AB6C5C"/>
    <w:rsid w:val="00AC051A"/>
    <w:rsid w:val="00AC0C84"/>
    <w:rsid w:val="00AC28C2"/>
    <w:rsid w:val="00AD5773"/>
    <w:rsid w:val="00AE3F67"/>
    <w:rsid w:val="00AE55A6"/>
    <w:rsid w:val="00AF0D6A"/>
    <w:rsid w:val="00AF2148"/>
    <w:rsid w:val="00AF4114"/>
    <w:rsid w:val="00AF79D6"/>
    <w:rsid w:val="00B13FB3"/>
    <w:rsid w:val="00B2549A"/>
    <w:rsid w:val="00B26E45"/>
    <w:rsid w:val="00B302D6"/>
    <w:rsid w:val="00B33142"/>
    <w:rsid w:val="00B34C10"/>
    <w:rsid w:val="00B37587"/>
    <w:rsid w:val="00B64A10"/>
    <w:rsid w:val="00B835AA"/>
    <w:rsid w:val="00B86087"/>
    <w:rsid w:val="00B90CDB"/>
    <w:rsid w:val="00B960A6"/>
    <w:rsid w:val="00B97A5C"/>
    <w:rsid w:val="00BC2671"/>
    <w:rsid w:val="00BE486A"/>
    <w:rsid w:val="00BF2EF2"/>
    <w:rsid w:val="00C2501F"/>
    <w:rsid w:val="00C27850"/>
    <w:rsid w:val="00C32BF2"/>
    <w:rsid w:val="00C34C70"/>
    <w:rsid w:val="00C9651A"/>
    <w:rsid w:val="00CA72BA"/>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7DB8"/>
    <w:rsid w:val="00DF01F0"/>
    <w:rsid w:val="00E01C5E"/>
    <w:rsid w:val="00E02F1C"/>
    <w:rsid w:val="00E064E3"/>
    <w:rsid w:val="00E32C0D"/>
    <w:rsid w:val="00E53D13"/>
    <w:rsid w:val="00E65F0B"/>
    <w:rsid w:val="00E8067C"/>
    <w:rsid w:val="00E91719"/>
    <w:rsid w:val="00E93A95"/>
    <w:rsid w:val="00EA4EFE"/>
    <w:rsid w:val="00EC1941"/>
    <w:rsid w:val="00ED51B9"/>
    <w:rsid w:val="00ED5CA8"/>
    <w:rsid w:val="00EE0EFC"/>
    <w:rsid w:val="00EE4B28"/>
    <w:rsid w:val="00F02D76"/>
    <w:rsid w:val="00F045C3"/>
    <w:rsid w:val="00F05127"/>
    <w:rsid w:val="00F512E9"/>
    <w:rsid w:val="00F54606"/>
    <w:rsid w:val="00F67A6A"/>
    <w:rsid w:val="00F67A9C"/>
    <w:rsid w:val="00F72DB1"/>
    <w:rsid w:val="00F77DC9"/>
    <w:rsid w:val="00F82368"/>
    <w:rsid w:val="00FB10EC"/>
    <w:rsid w:val="00FC0983"/>
    <w:rsid w:val="00FC21F8"/>
    <w:rsid w:val="00FC5EEF"/>
    <w:rsid w:val="00FF5911"/>
    <w:rsid w:val="015E11C2"/>
    <w:rsid w:val="02417756"/>
    <w:rsid w:val="02E40AD0"/>
    <w:rsid w:val="033A4D39"/>
    <w:rsid w:val="034644C7"/>
    <w:rsid w:val="04196F12"/>
    <w:rsid w:val="04435A9E"/>
    <w:rsid w:val="04950991"/>
    <w:rsid w:val="05351A10"/>
    <w:rsid w:val="054B7EFA"/>
    <w:rsid w:val="05831998"/>
    <w:rsid w:val="060A409E"/>
    <w:rsid w:val="0610015A"/>
    <w:rsid w:val="066C6455"/>
    <w:rsid w:val="06930C07"/>
    <w:rsid w:val="072859C3"/>
    <w:rsid w:val="07853686"/>
    <w:rsid w:val="07B45D81"/>
    <w:rsid w:val="07C26F1E"/>
    <w:rsid w:val="07C52B3D"/>
    <w:rsid w:val="07D6576F"/>
    <w:rsid w:val="07F1682B"/>
    <w:rsid w:val="08064FC2"/>
    <w:rsid w:val="080D6F41"/>
    <w:rsid w:val="08A87A0E"/>
    <w:rsid w:val="08D300AE"/>
    <w:rsid w:val="09277EEB"/>
    <w:rsid w:val="096506FA"/>
    <w:rsid w:val="0A01440A"/>
    <w:rsid w:val="0A513B0D"/>
    <w:rsid w:val="0A5478A3"/>
    <w:rsid w:val="0D3600BA"/>
    <w:rsid w:val="0DD32259"/>
    <w:rsid w:val="0EF43DB9"/>
    <w:rsid w:val="0F850895"/>
    <w:rsid w:val="102F133E"/>
    <w:rsid w:val="10987645"/>
    <w:rsid w:val="10ED247D"/>
    <w:rsid w:val="110764BF"/>
    <w:rsid w:val="113A6DA1"/>
    <w:rsid w:val="114758B1"/>
    <w:rsid w:val="119A5652"/>
    <w:rsid w:val="11BA7B51"/>
    <w:rsid w:val="120F1E2C"/>
    <w:rsid w:val="12540566"/>
    <w:rsid w:val="128B3205"/>
    <w:rsid w:val="12946645"/>
    <w:rsid w:val="12D3200B"/>
    <w:rsid w:val="13495D69"/>
    <w:rsid w:val="13B7767A"/>
    <w:rsid w:val="13B9670D"/>
    <w:rsid w:val="13DE4767"/>
    <w:rsid w:val="14484DCB"/>
    <w:rsid w:val="14852776"/>
    <w:rsid w:val="15140BCE"/>
    <w:rsid w:val="1584793E"/>
    <w:rsid w:val="15874EAA"/>
    <w:rsid w:val="15C47445"/>
    <w:rsid w:val="15E41B70"/>
    <w:rsid w:val="16440A35"/>
    <w:rsid w:val="16577530"/>
    <w:rsid w:val="167255CF"/>
    <w:rsid w:val="16840173"/>
    <w:rsid w:val="16FB6F37"/>
    <w:rsid w:val="17D31FDC"/>
    <w:rsid w:val="17D76C2B"/>
    <w:rsid w:val="17F8769D"/>
    <w:rsid w:val="18041AB4"/>
    <w:rsid w:val="190F268E"/>
    <w:rsid w:val="19287585"/>
    <w:rsid w:val="19610BFF"/>
    <w:rsid w:val="19953307"/>
    <w:rsid w:val="19A07D04"/>
    <w:rsid w:val="1A041D63"/>
    <w:rsid w:val="1B2C6F2C"/>
    <w:rsid w:val="1B5D5F33"/>
    <w:rsid w:val="1BA134BF"/>
    <w:rsid w:val="1BA24967"/>
    <w:rsid w:val="1BAF6A57"/>
    <w:rsid w:val="1BCE5D96"/>
    <w:rsid w:val="1BDE2098"/>
    <w:rsid w:val="1C465E86"/>
    <w:rsid w:val="1C726314"/>
    <w:rsid w:val="1CE252F3"/>
    <w:rsid w:val="1D104FDC"/>
    <w:rsid w:val="1D117096"/>
    <w:rsid w:val="1DE516B8"/>
    <w:rsid w:val="1E433C85"/>
    <w:rsid w:val="1ED877DF"/>
    <w:rsid w:val="1F0B3DFE"/>
    <w:rsid w:val="1F5522A7"/>
    <w:rsid w:val="1F7B1BD0"/>
    <w:rsid w:val="1FD45CE1"/>
    <w:rsid w:val="21433609"/>
    <w:rsid w:val="214D162F"/>
    <w:rsid w:val="22171129"/>
    <w:rsid w:val="222D0D62"/>
    <w:rsid w:val="2350568B"/>
    <w:rsid w:val="237F35E5"/>
    <w:rsid w:val="23A50D24"/>
    <w:rsid w:val="23BB3E13"/>
    <w:rsid w:val="23E44373"/>
    <w:rsid w:val="242806AA"/>
    <w:rsid w:val="24392A65"/>
    <w:rsid w:val="2467066D"/>
    <w:rsid w:val="24E91956"/>
    <w:rsid w:val="252E26F1"/>
    <w:rsid w:val="25C3267A"/>
    <w:rsid w:val="25D568B4"/>
    <w:rsid w:val="25F33B9E"/>
    <w:rsid w:val="260C731E"/>
    <w:rsid w:val="26103F21"/>
    <w:rsid w:val="270B308D"/>
    <w:rsid w:val="27EA63D1"/>
    <w:rsid w:val="287A5D0E"/>
    <w:rsid w:val="28B05EE9"/>
    <w:rsid w:val="28D30187"/>
    <w:rsid w:val="28E571A8"/>
    <w:rsid w:val="294C4E21"/>
    <w:rsid w:val="296D4B02"/>
    <w:rsid w:val="2A103412"/>
    <w:rsid w:val="2A1E1418"/>
    <w:rsid w:val="2A770C99"/>
    <w:rsid w:val="2A9A7D70"/>
    <w:rsid w:val="2BBB2833"/>
    <w:rsid w:val="2BC42334"/>
    <w:rsid w:val="2C1011CD"/>
    <w:rsid w:val="2C40390A"/>
    <w:rsid w:val="2C4C703B"/>
    <w:rsid w:val="2D0852EE"/>
    <w:rsid w:val="2D241337"/>
    <w:rsid w:val="2D753D30"/>
    <w:rsid w:val="2DC02129"/>
    <w:rsid w:val="2E010168"/>
    <w:rsid w:val="2E6A7D66"/>
    <w:rsid w:val="2EA972CC"/>
    <w:rsid w:val="2EC31B75"/>
    <w:rsid w:val="2FE72027"/>
    <w:rsid w:val="306A1371"/>
    <w:rsid w:val="3127549C"/>
    <w:rsid w:val="31533557"/>
    <w:rsid w:val="31B41A9A"/>
    <w:rsid w:val="31C74937"/>
    <w:rsid w:val="31F02E84"/>
    <w:rsid w:val="32062205"/>
    <w:rsid w:val="322068C9"/>
    <w:rsid w:val="326170B4"/>
    <w:rsid w:val="328F3B54"/>
    <w:rsid w:val="329A11A0"/>
    <w:rsid w:val="32EB1F9F"/>
    <w:rsid w:val="32FF7EB7"/>
    <w:rsid w:val="33830490"/>
    <w:rsid w:val="345E593B"/>
    <w:rsid w:val="34605A84"/>
    <w:rsid w:val="346C230B"/>
    <w:rsid w:val="35034F52"/>
    <w:rsid w:val="352C602C"/>
    <w:rsid w:val="35B16527"/>
    <w:rsid w:val="36B76A85"/>
    <w:rsid w:val="36B82ADE"/>
    <w:rsid w:val="376879F0"/>
    <w:rsid w:val="37EC4B4C"/>
    <w:rsid w:val="387B665C"/>
    <w:rsid w:val="39690814"/>
    <w:rsid w:val="39B76C90"/>
    <w:rsid w:val="39C37A55"/>
    <w:rsid w:val="39C53B44"/>
    <w:rsid w:val="39EF39C3"/>
    <w:rsid w:val="3A23092B"/>
    <w:rsid w:val="3A35598B"/>
    <w:rsid w:val="3A595F4B"/>
    <w:rsid w:val="3B0D6CB1"/>
    <w:rsid w:val="3B4C73CF"/>
    <w:rsid w:val="3BC55932"/>
    <w:rsid w:val="3C4353DD"/>
    <w:rsid w:val="3C7826C2"/>
    <w:rsid w:val="3C8F2051"/>
    <w:rsid w:val="3CD87A38"/>
    <w:rsid w:val="3D83215E"/>
    <w:rsid w:val="3DFF3A1A"/>
    <w:rsid w:val="3EA946F7"/>
    <w:rsid w:val="3ED615CF"/>
    <w:rsid w:val="3EEC674A"/>
    <w:rsid w:val="3F3A6280"/>
    <w:rsid w:val="3F8907F6"/>
    <w:rsid w:val="3F8B7D7F"/>
    <w:rsid w:val="3FDA33E1"/>
    <w:rsid w:val="3FDD61C2"/>
    <w:rsid w:val="3FF20B0E"/>
    <w:rsid w:val="40670EF7"/>
    <w:rsid w:val="40974D22"/>
    <w:rsid w:val="40AB1A12"/>
    <w:rsid w:val="41012626"/>
    <w:rsid w:val="417575F2"/>
    <w:rsid w:val="41BD7655"/>
    <w:rsid w:val="41CC7DB7"/>
    <w:rsid w:val="42F60353"/>
    <w:rsid w:val="438556A7"/>
    <w:rsid w:val="43A6228A"/>
    <w:rsid w:val="4524487F"/>
    <w:rsid w:val="455123EC"/>
    <w:rsid w:val="45CC078F"/>
    <w:rsid w:val="466B6F06"/>
    <w:rsid w:val="46860155"/>
    <w:rsid w:val="476049FD"/>
    <w:rsid w:val="47802A85"/>
    <w:rsid w:val="487C60FD"/>
    <w:rsid w:val="489E098C"/>
    <w:rsid w:val="48B61CC6"/>
    <w:rsid w:val="48F11FB7"/>
    <w:rsid w:val="492A5B50"/>
    <w:rsid w:val="49321AAF"/>
    <w:rsid w:val="493A681C"/>
    <w:rsid w:val="493C2E02"/>
    <w:rsid w:val="494D579F"/>
    <w:rsid w:val="498C1FB1"/>
    <w:rsid w:val="4A255416"/>
    <w:rsid w:val="4A937164"/>
    <w:rsid w:val="4A9750EA"/>
    <w:rsid w:val="4AA40703"/>
    <w:rsid w:val="4B1D70C8"/>
    <w:rsid w:val="4B647634"/>
    <w:rsid w:val="4B690413"/>
    <w:rsid w:val="4BB86F47"/>
    <w:rsid w:val="4BF60566"/>
    <w:rsid w:val="4C263A21"/>
    <w:rsid w:val="4C973694"/>
    <w:rsid w:val="4CCE54E6"/>
    <w:rsid w:val="4DE843F0"/>
    <w:rsid w:val="4EDD4EDE"/>
    <w:rsid w:val="4EE45C33"/>
    <w:rsid w:val="4F0D20A6"/>
    <w:rsid w:val="500C5A60"/>
    <w:rsid w:val="50461117"/>
    <w:rsid w:val="509A5F14"/>
    <w:rsid w:val="514005B6"/>
    <w:rsid w:val="51954E8A"/>
    <w:rsid w:val="519B5496"/>
    <w:rsid w:val="51D20DCB"/>
    <w:rsid w:val="524B3F1B"/>
    <w:rsid w:val="52667895"/>
    <w:rsid w:val="52B20439"/>
    <w:rsid w:val="53735224"/>
    <w:rsid w:val="537D24F6"/>
    <w:rsid w:val="5395034E"/>
    <w:rsid w:val="543C05E0"/>
    <w:rsid w:val="547F3EAC"/>
    <w:rsid w:val="54B9651A"/>
    <w:rsid w:val="54F9389F"/>
    <w:rsid w:val="55222910"/>
    <w:rsid w:val="55643FAD"/>
    <w:rsid w:val="559032FC"/>
    <w:rsid w:val="55C46330"/>
    <w:rsid w:val="55EF2193"/>
    <w:rsid w:val="560165A7"/>
    <w:rsid w:val="560B3FD6"/>
    <w:rsid w:val="563121A3"/>
    <w:rsid w:val="563A5292"/>
    <w:rsid w:val="5646747A"/>
    <w:rsid w:val="567B0F8C"/>
    <w:rsid w:val="56D476A1"/>
    <w:rsid w:val="56F03CB1"/>
    <w:rsid w:val="574328BF"/>
    <w:rsid w:val="584667E1"/>
    <w:rsid w:val="5884596F"/>
    <w:rsid w:val="598336AE"/>
    <w:rsid w:val="599B3F0F"/>
    <w:rsid w:val="59A2047A"/>
    <w:rsid w:val="5A41650D"/>
    <w:rsid w:val="5A7852B1"/>
    <w:rsid w:val="5AA97C90"/>
    <w:rsid w:val="5AE4319D"/>
    <w:rsid w:val="5C7E5C8C"/>
    <w:rsid w:val="5CE90207"/>
    <w:rsid w:val="5D8D61EF"/>
    <w:rsid w:val="5E3B759B"/>
    <w:rsid w:val="5E501568"/>
    <w:rsid w:val="5E50611E"/>
    <w:rsid w:val="5EB138AE"/>
    <w:rsid w:val="5EB53035"/>
    <w:rsid w:val="5ECD3218"/>
    <w:rsid w:val="5ED23CC7"/>
    <w:rsid w:val="5EE6353D"/>
    <w:rsid w:val="5F0310B7"/>
    <w:rsid w:val="5F0C287E"/>
    <w:rsid w:val="5F5952B0"/>
    <w:rsid w:val="602E28A2"/>
    <w:rsid w:val="60C0423D"/>
    <w:rsid w:val="60E7450D"/>
    <w:rsid w:val="6166406C"/>
    <w:rsid w:val="618F3AF2"/>
    <w:rsid w:val="61BB6950"/>
    <w:rsid w:val="61DA68DC"/>
    <w:rsid w:val="622708C6"/>
    <w:rsid w:val="62460A47"/>
    <w:rsid w:val="63554C8E"/>
    <w:rsid w:val="63890B77"/>
    <w:rsid w:val="639D1EC4"/>
    <w:rsid w:val="63A13700"/>
    <w:rsid w:val="63DA03E2"/>
    <w:rsid w:val="643861FD"/>
    <w:rsid w:val="64541B77"/>
    <w:rsid w:val="64667487"/>
    <w:rsid w:val="646C214C"/>
    <w:rsid w:val="64E9282A"/>
    <w:rsid w:val="654650B5"/>
    <w:rsid w:val="65C63D9B"/>
    <w:rsid w:val="66103AAA"/>
    <w:rsid w:val="667640C4"/>
    <w:rsid w:val="6697375D"/>
    <w:rsid w:val="66DC24A5"/>
    <w:rsid w:val="66DF3B52"/>
    <w:rsid w:val="67217323"/>
    <w:rsid w:val="672963E0"/>
    <w:rsid w:val="675A4556"/>
    <w:rsid w:val="675C47D1"/>
    <w:rsid w:val="675E5725"/>
    <w:rsid w:val="679271B5"/>
    <w:rsid w:val="67AE1BA6"/>
    <w:rsid w:val="68191A65"/>
    <w:rsid w:val="68F60924"/>
    <w:rsid w:val="69572330"/>
    <w:rsid w:val="698C4C9E"/>
    <w:rsid w:val="69E719A0"/>
    <w:rsid w:val="6A166B97"/>
    <w:rsid w:val="6A5B0FA5"/>
    <w:rsid w:val="6A754FA8"/>
    <w:rsid w:val="6A897CE1"/>
    <w:rsid w:val="6A983C35"/>
    <w:rsid w:val="6B4C2F45"/>
    <w:rsid w:val="6B966680"/>
    <w:rsid w:val="6C161AD0"/>
    <w:rsid w:val="6D157AE9"/>
    <w:rsid w:val="6D2E7D50"/>
    <w:rsid w:val="6DB009C6"/>
    <w:rsid w:val="6DC10226"/>
    <w:rsid w:val="6DD90E21"/>
    <w:rsid w:val="6DE0162F"/>
    <w:rsid w:val="6DFA3383"/>
    <w:rsid w:val="6E1A49C5"/>
    <w:rsid w:val="6E254EA7"/>
    <w:rsid w:val="6EBB30B7"/>
    <w:rsid w:val="6F786BDA"/>
    <w:rsid w:val="7018621E"/>
    <w:rsid w:val="709573C6"/>
    <w:rsid w:val="709E2354"/>
    <w:rsid w:val="70E70772"/>
    <w:rsid w:val="71900429"/>
    <w:rsid w:val="719027A5"/>
    <w:rsid w:val="71C9496E"/>
    <w:rsid w:val="71EE76F7"/>
    <w:rsid w:val="724D102D"/>
    <w:rsid w:val="725F0CAE"/>
    <w:rsid w:val="729670D4"/>
    <w:rsid w:val="72981180"/>
    <w:rsid w:val="729C09F9"/>
    <w:rsid w:val="73155C46"/>
    <w:rsid w:val="7366194C"/>
    <w:rsid w:val="74062834"/>
    <w:rsid w:val="740D552E"/>
    <w:rsid w:val="74136087"/>
    <w:rsid w:val="74A805D6"/>
    <w:rsid w:val="74A870B6"/>
    <w:rsid w:val="74FA0674"/>
    <w:rsid w:val="754F1383"/>
    <w:rsid w:val="75DC198B"/>
    <w:rsid w:val="763F7244"/>
    <w:rsid w:val="764A2B58"/>
    <w:rsid w:val="76661B90"/>
    <w:rsid w:val="767F0302"/>
    <w:rsid w:val="76CD53F1"/>
    <w:rsid w:val="77731DCC"/>
    <w:rsid w:val="77F43C8B"/>
    <w:rsid w:val="78A33979"/>
    <w:rsid w:val="78FB1E09"/>
    <w:rsid w:val="79BB4445"/>
    <w:rsid w:val="79CC1086"/>
    <w:rsid w:val="79EF28EF"/>
    <w:rsid w:val="7A0E66B3"/>
    <w:rsid w:val="7A300713"/>
    <w:rsid w:val="7A3B7268"/>
    <w:rsid w:val="7AB968E7"/>
    <w:rsid w:val="7AC65BFC"/>
    <w:rsid w:val="7B0735D8"/>
    <w:rsid w:val="7B0F7EA2"/>
    <w:rsid w:val="7B2F3DDD"/>
    <w:rsid w:val="7B4B41CD"/>
    <w:rsid w:val="7B5A24C6"/>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4"/>
    <w:uiPriority w:val="0"/>
    <w:rPr>
      <w:b/>
      <w:bCs/>
    </w:rPr>
  </w:style>
  <w:style w:type="paragraph" w:styleId="3">
    <w:name w:val="annotation text"/>
    <w:basedOn w:val="1"/>
    <w:link w:val="13"/>
    <w:uiPriority w:val="0"/>
    <w:pPr>
      <w:jc w:val="left"/>
    </w:pPr>
  </w:style>
  <w:style w:type="paragraph" w:styleId="4">
    <w:name w:val="Body Text Indent"/>
    <w:basedOn w:val="1"/>
    <w:unhideWhenUsed/>
    <w:uiPriority w:val="0"/>
    <w:pPr>
      <w:ind w:firstLine="630"/>
    </w:pPr>
    <w:rPr>
      <w:kern w:val="0"/>
      <w:sz w:val="24"/>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uiPriority w:val="0"/>
    <w:rPr>
      <w:sz w:val="21"/>
      <w:szCs w:val="21"/>
    </w:rPr>
  </w:style>
  <w:style w:type="paragraph" w:customStyle="1" w:styleId="11">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
    <w:name w:val="Revision"/>
    <w:unhideWhenUsed/>
    <w:uiPriority w:val="99"/>
    <w:rPr>
      <w:rFonts w:ascii="Times New Roman" w:hAnsi="Times New Roman" w:eastAsia="宋体" w:cs="Times New Roman"/>
      <w:kern w:val="2"/>
      <w:sz w:val="21"/>
      <w:szCs w:val="24"/>
      <w:lang w:val="en-US" w:eastAsia="zh-CN" w:bidi="ar-SA"/>
    </w:rPr>
  </w:style>
  <w:style w:type="character" w:customStyle="1" w:styleId="13">
    <w:name w:val="批注文字 Char"/>
    <w:link w:val="3"/>
    <w:uiPriority w:val="0"/>
    <w:rPr>
      <w:kern w:val="2"/>
      <w:sz w:val="21"/>
      <w:szCs w:val="24"/>
    </w:rPr>
  </w:style>
  <w:style w:type="character" w:customStyle="1" w:styleId="14">
    <w:name w:val="批注主题 Char"/>
    <w:link w:val="2"/>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2489</Words>
  <Characters>14191</Characters>
  <Lines>118</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2022-07-19T12:34:00Z</dcterms:created>
  <dc:creator>ylh;李子家</dc:creator>
  <cp:keywords>22Y7</cp:keywords>
  <cp:lastModifiedBy>RORO</cp:lastModifiedBy>
  <cp:lastPrinted>2021-07-21T07:06:00Z</cp:lastPrinted>
  <dcterms:modified xsi:type="dcterms:W3CDTF">2023-02-09T03:41:51Z</dcterms:modified>
  <dc:title>华夏理财固定收益增强型精选封闭式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F1F6118076854A19BA3D04EB58E7529E</vt:lpwstr>
  </property>
</Properties>
</file>