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73</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73</w:t>
            </w:r>
            <w:r>
              <w:rPr>
                <w:rFonts w:hint="eastAsia" w:ascii="仿宋" w:hAnsi="仿宋" w:eastAsia="仿宋"/>
                <w:b/>
                <w:bCs/>
                <w:szCs w:val="21"/>
              </w:rPr>
              <w:t>号</w:t>
            </w:r>
          </w:p>
          <w:p>
            <w:pPr>
              <w:adjustRightInd w:val="0"/>
              <w:snapToGrid w:val="0"/>
              <w:spacing w:line="300" w:lineRule="exact"/>
              <w:jc w:val="center"/>
            </w:pPr>
            <w:r>
              <w:rPr>
                <w:rFonts w:hint="eastAsia" w:ascii="仿宋" w:hAnsi="仿宋" w:eastAsia="仿宋"/>
                <w:b/>
                <w:bCs/>
                <w:szCs w:val="21"/>
              </w:rPr>
              <w:t>简称：“华夏理财固收债权封闭式</w:t>
            </w:r>
            <w:r>
              <w:rPr>
                <w:rFonts w:hint="eastAsia" w:ascii="仿宋" w:hAnsi="仿宋" w:eastAsia="仿宋"/>
                <w:b/>
                <w:bCs/>
                <w:szCs w:val="21"/>
                <w:lang w:val="en-US" w:eastAsia="zh-CN"/>
              </w:rPr>
              <w:t>73</w:t>
            </w:r>
            <w:r>
              <w:rPr>
                <w:rFonts w:hint="eastAsia" w:ascii="仿宋" w:hAnsi="仿宋" w:eastAsia="仿宋"/>
                <w:b/>
                <w:bCs/>
                <w:szCs w:val="21"/>
              </w:rPr>
              <w:t>号</w:t>
            </w:r>
            <w:r>
              <w:rPr>
                <w:rFonts w:hint="eastAsia" w:ascii="仿宋" w:hAnsi="仿宋" w:eastAsia="仿宋"/>
                <w:b/>
                <w:bCs/>
                <w:szCs w:val="21"/>
                <w:lang w:val="en-US" w:eastAsia="zh-CN"/>
              </w:rPr>
              <w:t>203</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eastAsia="宋体"/>
                <w:lang w:eastAsia="zh-CN"/>
              </w:rPr>
            </w:pPr>
            <w:r>
              <w:rPr>
                <w:rFonts w:hint="eastAsia" w:ascii="仿宋" w:hAnsi="仿宋" w:eastAsia="仿宋"/>
                <w:bCs/>
                <w:szCs w:val="21"/>
                <w:lang w:val="en-US" w:eastAsia="zh-CN"/>
              </w:rPr>
              <w:t>23121073（仅面向民生银行渠道）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Z7003923000073</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3.20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rPr>
              <w:t>以产品投资利率债仓位0-10%，信用债仓位70%-80%，非标债权类资产仓位0-</w:t>
            </w:r>
            <w:r>
              <w:rPr>
                <w:rFonts w:hint="eastAsia" w:ascii="仿宋" w:hAnsi="仿宋" w:eastAsia="仿宋" w:cs="Cambria"/>
                <w:bCs/>
                <w:szCs w:val="21"/>
                <w:lang w:val="en-US" w:eastAsia="zh-CN"/>
              </w:rPr>
              <w:t>25</w:t>
            </w:r>
            <w:r>
              <w:rPr>
                <w:rFonts w:hint="eastAsia" w:ascii="仿宋" w:hAnsi="仿宋" w:eastAsia="仿宋" w:cs="Cambria"/>
                <w:bCs/>
                <w:szCs w:val="21"/>
              </w:rPr>
              <w:t>%，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w:t>
            </w:r>
            <w:bookmarkStart w:id="6" w:name="_GoBack"/>
            <w:bookmarkEnd w:id="6"/>
            <w:r>
              <w:rPr>
                <w:rFonts w:hint="eastAsia" w:ascii="仿宋" w:hAnsi="仿宋" w:eastAsia="仿宋" w:cs="Cambria"/>
                <w:bCs/>
                <w:szCs w:val="21"/>
              </w:rPr>
              <w:t>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203</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lang w:val="en-US" w:eastAsia="zh-CN"/>
              </w:rPr>
              <w:t xml:space="preserve">    </w:t>
            </w: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firstLineChars="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firstLineChars="0"/>
              <w:jc w:val="left"/>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10</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0.10%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firstLineChars="0"/>
              <w:jc w:val="left"/>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10</w:t>
            </w:r>
            <w:r>
              <w:rPr>
                <w:rFonts w:hint="eastAsia" w:ascii="仿宋" w:hAnsi="仿宋" w:eastAsia="仿宋"/>
                <w:bCs/>
                <w:szCs w:val="21"/>
              </w:rPr>
              <w:t>%/年，以前一日资产净值为基数，每日计提。公式如下：</w:t>
            </w:r>
          </w:p>
          <w:p>
            <w:pPr>
              <w:adjustRightInd w:val="0"/>
              <w:snapToGrid w:val="0"/>
              <w:spacing w:line="300" w:lineRule="exact"/>
              <w:ind w:firstLine="420" w:firstLineChars="0"/>
            </w:pPr>
            <w:r>
              <w:rPr>
                <w:rFonts w:hint="eastAsia" w:ascii="仿宋" w:hAnsi="仿宋" w:eastAsia="仿宋"/>
                <w:bCs/>
                <w:szCs w:val="21"/>
              </w:rPr>
              <w:t>F=E×【</w:t>
            </w:r>
            <w:r>
              <w:rPr>
                <w:rFonts w:hint="eastAsia" w:ascii="仿宋" w:hAnsi="仿宋" w:eastAsia="仿宋"/>
                <w:bCs/>
                <w:szCs w:val="21"/>
                <w:lang w:val="en-US" w:eastAsia="zh-CN"/>
              </w:rPr>
              <w:t>0.10%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超额管理费计提基准为</w:t>
            </w:r>
            <w:r>
              <w:rPr>
                <w:rFonts w:hint="eastAsia" w:ascii="仿宋" w:hAnsi="仿宋" w:eastAsia="仿宋" w:cs="Cambria"/>
                <w:bCs/>
                <w:szCs w:val="21"/>
                <w:lang w:val="en-US" w:eastAsia="zh-CN"/>
              </w:rPr>
              <w:t>3.20</w:t>
            </w:r>
            <w:r>
              <w:rPr>
                <w:rFonts w:ascii="仿宋" w:hAnsi="仿宋" w:eastAsia="仿宋" w:cs="Cambria"/>
                <w:bCs/>
                <w:szCs w:val="21"/>
              </w:rPr>
              <w:t>%</w:t>
            </w:r>
            <w:r>
              <w:rPr>
                <w:rFonts w:hint="eastAsia" w:ascii="仿宋" w:hAnsi="仿宋" w:eastAsia="仿宋" w:cs="Cambria"/>
                <w:bCs/>
                <w:szCs w:val="21"/>
              </w:rPr>
              <w:t>（年化）；</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本产品超额管理费的计算公式：</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其中：</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年化收益率=（计提日累计单位净值-1.0000）÷1.0000×365÷当期持有天数。</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Cs/>
                <w:szCs w:val="21"/>
              </w:rPr>
            </w:pPr>
            <w:r>
              <w:rPr>
                <w:rFonts w:hint="eastAsia" w:ascii="仿宋" w:hAnsi="仿宋" w:eastAsia="仿宋" w:cs="Cambria"/>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firstLineChars="0"/>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jc w:val="left"/>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numPr>
          <w:ilvl w:val="0"/>
          <w:numId w:val="1"/>
        </w:numPr>
        <w:snapToGrid w:val="0"/>
        <w:spacing w:before="156" w:beforeLines="50" w:after="156" w:afterLines="50" w:line="400" w:lineRule="exact"/>
        <w:ind w:firstLine="482" w:firstLineChars="200"/>
        <w:jc w:val="both"/>
        <w:outlineLvl w:val="0"/>
        <w:rPr>
          <w:rFonts w:hint="eastAsia" w:ascii="Times New Roman" w:eastAsia="黑体" w:cs="Times New Roman"/>
          <w:b/>
          <w:color w:val="auto"/>
          <w:lang w:val="en-US" w:eastAsia="zh-CN"/>
        </w:rPr>
      </w:pPr>
      <w:r>
        <w:rPr>
          <w:rFonts w:ascii="Times New Roman" w:eastAsia="黑体" w:cs="Times New Roman"/>
          <w:b/>
          <w:color w:val="auto"/>
        </w:rPr>
        <w:t>投资</w:t>
      </w:r>
      <w:r>
        <w:rPr>
          <w:rFonts w:hint="eastAsia" w:ascii="Times New Roman" w:eastAsia="黑体" w:cs="Times New Roman"/>
          <w:b/>
          <w:color w:val="auto"/>
          <w:lang w:val="en-US" w:eastAsia="zh-CN"/>
        </w:rPr>
        <w:t>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本产品投资资产期限和产品期限相匹配，以获得固定收益类资产票息为主要投资目标。</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firstLineChars="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9C2F4D"/>
    <w:rsid w:val="072859C3"/>
    <w:rsid w:val="07853686"/>
    <w:rsid w:val="079A3378"/>
    <w:rsid w:val="07B45D81"/>
    <w:rsid w:val="07C26F1E"/>
    <w:rsid w:val="07C52B3D"/>
    <w:rsid w:val="07D6576F"/>
    <w:rsid w:val="07F1682B"/>
    <w:rsid w:val="08064FC2"/>
    <w:rsid w:val="080D6F41"/>
    <w:rsid w:val="08A87A0E"/>
    <w:rsid w:val="08D300AE"/>
    <w:rsid w:val="091F4462"/>
    <w:rsid w:val="09277EEB"/>
    <w:rsid w:val="096506FA"/>
    <w:rsid w:val="096B558A"/>
    <w:rsid w:val="09B80512"/>
    <w:rsid w:val="0A01440A"/>
    <w:rsid w:val="0A513B0D"/>
    <w:rsid w:val="0A5478A3"/>
    <w:rsid w:val="0D3600BA"/>
    <w:rsid w:val="0DD32259"/>
    <w:rsid w:val="0E4B4BEB"/>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4C4E21"/>
    <w:rsid w:val="296D4B02"/>
    <w:rsid w:val="29D46607"/>
    <w:rsid w:val="2A103412"/>
    <w:rsid w:val="2A1E1418"/>
    <w:rsid w:val="2A770C99"/>
    <w:rsid w:val="2BBB2833"/>
    <w:rsid w:val="2BC42334"/>
    <w:rsid w:val="2C1011CD"/>
    <w:rsid w:val="2C40390A"/>
    <w:rsid w:val="2C4C703B"/>
    <w:rsid w:val="2CE37AF2"/>
    <w:rsid w:val="2D241337"/>
    <w:rsid w:val="2D753D30"/>
    <w:rsid w:val="2DB6436A"/>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223BC"/>
    <w:rsid w:val="32FF7EB7"/>
    <w:rsid w:val="33424079"/>
    <w:rsid w:val="34126396"/>
    <w:rsid w:val="345E593B"/>
    <w:rsid w:val="34605A84"/>
    <w:rsid w:val="346C230B"/>
    <w:rsid w:val="35034F52"/>
    <w:rsid w:val="352C602C"/>
    <w:rsid w:val="35820877"/>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031CF"/>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CC44798"/>
    <w:rsid w:val="6D157AE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0" w:beforeAutospacing="1" w:after="0" w:afterAutospacing="1"/>
      <w:ind w:left="0" w:right="0"/>
      <w:jc w:val="left"/>
    </w:pPr>
    <w:rPr>
      <w:kern w:val="0"/>
      <w:sz w:val="24"/>
      <w:lang w:val="en-US" w:eastAsia="zh-CN" w:bidi="ar-SA"/>
    </w:rPr>
  </w:style>
  <w:style w:type="character" w:styleId="10">
    <w:name w:val="FollowedHyperlink"/>
    <w:basedOn w:val="9"/>
    <w:uiPriority w:val="0"/>
    <w:rPr>
      <w:color w:val="000000"/>
      <w:u w:val="none"/>
    </w:rPr>
  </w:style>
  <w:style w:type="character" w:styleId="11">
    <w:name w:val="Hyperlink"/>
    <w:basedOn w:val="9"/>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5">
    <w:name w:val=""/>
    <w:basedOn w:val="1"/>
    <w:next w:val="1"/>
    <w:uiPriority w:val="0"/>
    <w:pPr>
      <w:pBdr>
        <w:top w:val="single" w:color="auto" w:sz="6" w:space="1"/>
      </w:pBdr>
      <w:jc w:val="center"/>
    </w:pPr>
    <w:rPr>
      <w:rFonts w:ascii="Arial" w:eastAsia="宋体"/>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HXB</cp:lastModifiedBy>
  <cp:lastPrinted>2021-07-21T07:06:00Z</cp:lastPrinted>
  <dcterms:modified xsi:type="dcterms:W3CDTF">2023-02-02T01:56:23Z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