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华夏理财固定收益债权型封闭式理财产品</w:t>
      </w:r>
      <w:r>
        <w:rPr>
          <w:rFonts w:eastAsia="黑体"/>
          <w:bCs/>
          <w:sz w:val="36"/>
          <w:szCs w:val="36"/>
        </w:rPr>
        <w:t>5</w:t>
      </w:r>
      <w:r>
        <w:rPr>
          <w:rFonts w:hint="eastAsia" w:eastAsia="黑体"/>
          <w:bCs/>
          <w:sz w:val="36"/>
          <w:szCs w:val="36"/>
          <w:lang w:val="en-US" w:eastAsia="zh-CN"/>
        </w:rPr>
        <w:t>6</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ascii="仿宋" w:hAnsi="仿宋" w:eastAsia="仿宋"/>
                <w:b/>
                <w:bCs/>
                <w:szCs w:val="21"/>
              </w:rPr>
              <w:t>5</w:t>
            </w:r>
            <w:r>
              <w:rPr>
                <w:rFonts w:hint="eastAsia" w:ascii="仿宋" w:hAnsi="仿宋" w:eastAsia="仿宋"/>
                <w:b/>
                <w:bCs/>
                <w:szCs w:val="21"/>
                <w:lang w:val="en-US" w:eastAsia="zh-CN"/>
              </w:rPr>
              <w:t>6</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A份额简称：“华夏理财固收债权封闭式5</w:t>
            </w:r>
            <w:r>
              <w:rPr>
                <w:rFonts w:hint="eastAsia" w:ascii="仿宋" w:hAnsi="仿宋" w:eastAsia="仿宋"/>
                <w:b/>
                <w:bCs/>
                <w:szCs w:val="21"/>
                <w:lang w:val="en-US" w:eastAsia="zh-CN"/>
              </w:rPr>
              <w:t>6</w:t>
            </w:r>
            <w:r>
              <w:rPr>
                <w:rFonts w:hint="eastAsia" w:ascii="仿宋" w:hAnsi="仿宋" w:eastAsia="仿宋"/>
                <w:b/>
                <w:bCs/>
                <w:szCs w:val="21"/>
              </w:rPr>
              <w:t>号11</w:t>
            </w:r>
            <w:r>
              <w:rPr>
                <w:rFonts w:hint="eastAsia" w:ascii="仿宋" w:hAnsi="仿宋" w:eastAsia="仿宋"/>
                <w:b/>
                <w:bCs/>
                <w:szCs w:val="21"/>
                <w:lang w:val="en-US" w:eastAsia="zh-CN"/>
              </w:rPr>
              <w:t>1</w:t>
            </w:r>
            <w:r>
              <w:rPr>
                <w:rFonts w:hint="eastAsia" w:ascii="仿宋" w:hAnsi="仿宋" w:eastAsia="仿宋"/>
                <w:b/>
                <w:bCs/>
                <w:szCs w:val="21"/>
              </w:rPr>
              <w:t>天A”</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B份额简称：“华夏理财固收债权封闭式5</w:t>
            </w:r>
            <w:r>
              <w:rPr>
                <w:rFonts w:hint="eastAsia" w:ascii="仿宋" w:hAnsi="仿宋" w:eastAsia="仿宋"/>
                <w:b/>
                <w:bCs/>
                <w:szCs w:val="21"/>
                <w:lang w:val="en-US" w:eastAsia="zh-CN"/>
              </w:rPr>
              <w:t>6</w:t>
            </w:r>
            <w:r>
              <w:rPr>
                <w:rFonts w:hint="eastAsia" w:ascii="仿宋" w:hAnsi="仿宋" w:eastAsia="仿宋"/>
                <w:b/>
                <w:bCs/>
                <w:szCs w:val="21"/>
              </w:rPr>
              <w:t>号11</w:t>
            </w:r>
            <w:r>
              <w:rPr>
                <w:rFonts w:hint="eastAsia" w:ascii="仿宋" w:hAnsi="仿宋" w:eastAsia="仿宋"/>
                <w:b/>
                <w:bCs/>
                <w:szCs w:val="21"/>
                <w:lang w:val="en-US" w:eastAsia="zh-CN"/>
              </w:rPr>
              <w:t>1</w:t>
            </w:r>
            <w:r>
              <w:rPr>
                <w:rFonts w:hint="eastAsia" w:ascii="仿宋" w:hAnsi="仿宋" w:eastAsia="仿宋"/>
                <w:b/>
                <w:bCs/>
                <w:szCs w:val="21"/>
              </w:rPr>
              <w:t>天B”</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C份额简称：“华夏理财固收债权封闭式5</w:t>
            </w:r>
            <w:r>
              <w:rPr>
                <w:rFonts w:hint="eastAsia" w:ascii="仿宋" w:hAnsi="仿宋" w:eastAsia="仿宋"/>
                <w:b/>
                <w:bCs/>
                <w:szCs w:val="21"/>
                <w:lang w:val="en-US" w:eastAsia="zh-CN"/>
              </w:rPr>
              <w:t>6</w:t>
            </w:r>
            <w:r>
              <w:rPr>
                <w:rFonts w:hint="eastAsia" w:ascii="仿宋" w:hAnsi="仿宋" w:eastAsia="仿宋"/>
                <w:b/>
                <w:bCs/>
                <w:szCs w:val="21"/>
              </w:rPr>
              <w:t>号11</w:t>
            </w:r>
            <w:r>
              <w:rPr>
                <w:rFonts w:hint="eastAsia" w:ascii="仿宋" w:hAnsi="仿宋" w:eastAsia="仿宋"/>
                <w:b/>
                <w:bCs/>
                <w:szCs w:val="21"/>
                <w:lang w:val="en-US" w:eastAsia="zh-CN"/>
              </w:rPr>
              <w:t>1</w:t>
            </w:r>
            <w:r>
              <w:rPr>
                <w:rFonts w:hint="eastAsia" w:ascii="仿宋" w:hAnsi="仿宋" w:eastAsia="仿宋"/>
                <w:b/>
                <w:bCs/>
                <w:szCs w:val="21"/>
              </w:rPr>
              <w:t>天C”</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D份额简称：“华夏理财固收债权封闭式5</w:t>
            </w:r>
            <w:r>
              <w:rPr>
                <w:rFonts w:hint="eastAsia" w:ascii="仿宋" w:hAnsi="仿宋" w:eastAsia="仿宋"/>
                <w:b/>
                <w:bCs/>
                <w:szCs w:val="21"/>
                <w:lang w:val="en-US" w:eastAsia="zh-CN"/>
              </w:rPr>
              <w:t>6</w:t>
            </w:r>
            <w:r>
              <w:rPr>
                <w:rFonts w:hint="eastAsia" w:ascii="仿宋" w:hAnsi="仿宋" w:eastAsia="仿宋"/>
                <w:b/>
                <w:bCs/>
                <w:szCs w:val="21"/>
              </w:rPr>
              <w:t>号11</w:t>
            </w:r>
            <w:r>
              <w:rPr>
                <w:rFonts w:hint="eastAsia" w:ascii="仿宋" w:hAnsi="仿宋" w:eastAsia="仿宋"/>
                <w:b/>
                <w:bCs/>
                <w:szCs w:val="21"/>
                <w:lang w:val="en-US" w:eastAsia="zh-CN"/>
              </w:rPr>
              <w:t>1</w:t>
            </w:r>
            <w:r>
              <w:rPr>
                <w:rFonts w:hint="eastAsia" w:ascii="仿宋" w:hAnsi="仿宋" w:eastAsia="仿宋"/>
                <w:b/>
                <w:bCs/>
                <w:szCs w:val="21"/>
              </w:rPr>
              <w:t>天D”</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E份额简称：“华夏理财固收债权封闭式5</w:t>
            </w:r>
            <w:r>
              <w:rPr>
                <w:rFonts w:hint="eastAsia" w:ascii="仿宋" w:hAnsi="仿宋" w:eastAsia="仿宋"/>
                <w:b/>
                <w:bCs/>
                <w:szCs w:val="21"/>
                <w:lang w:val="en-US" w:eastAsia="zh-CN"/>
              </w:rPr>
              <w:t>6</w:t>
            </w:r>
            <w:r>
              <w:rPr>
                <w:rFonts w:hint="eastAsia" w:ascii="仿宋" w:hAnsi="仿宋" w:eastAsia="仿宋"/>
                <w:b/>
                <w:bCs/>
                <w:szCs w:val="21"/>
              </w:rPr>
              <w:t>号11</w:t>
            </w:r>
            <w:r>
              <w:rPr>
                <w:rFonts w:hint="eastAsia" w:ascii="仿宋" w:hAnsi="仿宋" w:eastAsia="仿宋"/>
                <w:b/>
                <w:bCs/>
                <w:szCs w:val="21"/>
                <w:lang w:val="en-US" w:eastAsia="zh-CN"/>
              </w:rPr>
              <w:t>1</w:t>
            </w:r>
            <w:r>
              <w:rPr>
                <w:rFonts w:hint="eastAsia" w:ascii="仿宋" w:hAnsi="仿宋" w:eastAsia="仿宋"/>
                <w:b/>
                <w:bCs/>
                <w:szCs w:val="21"/>
              </w:rPr>
              <w:t>天E”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23121056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A份额代码：23121056A</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B份额代码：23121056B</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C份额代码：23121056C</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D份额代码：23121056D</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E份额代码：23121056E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Z7003923000011</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3.00%</w:t>
            </w:r>
            <w:r>
              <w:rPr>
                <w:rFonts w:hint="eastAsia" w:ascii="仿宋" w:hAnsi="仿宋" w:eastAsia="仿宋" w:cs="Cambria"/>
                <w:bCs/>
                <w:szCs w:val="21"/>
              </w:rPr>
              <w:t>（年化）;B份额：业绩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2.95%</w:t>
            </w:r>
            <w:r>
              <w:rPr>
                <w:rFonts w:hint="eastAsia" w:ascii="仿宋" w:hAnsi="仿宋" w:eastAsia="仿宋" w:cs="Cambria"/>
                <w:bCs/>
                <w:szCs w:val="21"/>
              </w:rPr>
              <w:t>（年化）;C份额：业绩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2.90%</w:t>
            </w:r>
            <w:r>
              <w:rPr>
                <w:rFonts w:hint="eastAsia" w:ascii="仿宋" w:hAnsi="仿宋" w:eastAsia="仿宋" w:cs="Cambria"/>
                <w:bCs/>
                <w:szCs w:val="21"/>
              </w:rPr>
              <w:t>（年化）；D份额：业绩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2.85%</w:t>
            </w:r>
            <w:r>
              <w:rPr>
                <w:rFonts w:hint="eastAsia" w:ascii="仿宋" w:hAnsi="仿宋" w:eastAsia="仿宋" w:cs="Cambria"/>
                <w:bCs/>
                <w:szCs w:val="21"/>
              </w:rPr>
              <w:t>（年化）;E份额：业绩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2.80%</w:t>
            </w:r>
            <w:r>
              <w:rPr>
                <w:rFonts w:hint="eastAsia" w:ascii="仿宋" w:hAnsi="仿宋" w:eastAsia="仿宋" w:cs="Cambria"/>
                <w:bCs/>
                <w:szCs w:val="21"/>
              </w:rPr>
              <w:t>（年化）。以产品投资存款类资产仓位0-50%，信用债仓位0-50%，非标债权类资产仓位0-50%，组合杠杆率100%-110%为例，参考当前存款类资产收益水平、剩余期限匹配的目标债券到期收益率、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2" w:colFirst="1" w:colLast="1"/>
            <w:bookmarkStart w:id="3" w:name="OLE_LINK3"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2023年2月</w:t>
            </w:r>
            <w:r>
              <w:rPr>
                <w:rFonts w:hint="eastAsia" w:ascii="仿宋" w:hAnsi="仿宋" w:eastAsia="仿宋"/>
                <w:bCs/>
                <w:szCs w:val="21"/>
                <w:lang w:val="en-US" w:eastAsia="zh-CN"/>
              </w:rPr>
              <w:t>8</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2023年2月</w:t>
            </w:r>
            <w:r>
              <w:rPr>
                <w:rFonts w:hint="eastAsia" w:ascii="仿宋" w:hAnsi="仿宋" w:eastAsia="仿宋"/>
                <w:bCs/>
                <w:szCs w:val="21"/>
                <w:lang w:val="en-US" w:eastAsia="zh-CN"/>
              </w:rPr>
              <w:t>14</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2023年2月</w:t>
            </w:r>
            <w:r>
              <w:rPr>
                <w:rFonts w:hint="eastAsia" w:ascii="仿宋" w:hAnsi="仿宋" w:eastAsia="仿宋"/>
                <w:bCs/>
                <w:szCs w:val="21"/>
                <w:lang w:val="en-US" w:eastAsia="zh-CN"/>
              </w:rPr>
              <w:t>15</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111</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2023年6月6日理财产品正常到期，到期日如为非工作日，则顺延至下一工作日。如理财产品因故提前或延迟到期的，则终止日以华夏理财发布的公告为准。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计划发行规模上限为50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C份额：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D份额：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E份额：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0.03%/年，以前一日资产净值为基数，每日计提。公式如下：</w:t>
            </w:r>
          </w:p>
          <w:p>
            <w:pPr>
              <w:adjustRightInd w:val="0"/>
              <w:snapToGrid w:val="0"/>
              <w:spacing w:line="240" w:lineRule="auto"/>
              <w:ind w:firstLine="420"/>
              <w:jc w:val="left"/>
              <w:rPr>
                <w:rFonts w:ascii="仿宋" w:hAnsi="仿宋" w:eastAsia="仿宋"/>
                <w:bCs/>
                <w:szCs w:val="21"/>
              </w:rPr>
            </w:pPr>
            <w:r>
              <w:rPr>
                <w:rFonts w:hint="eastAsia" w:ascii="仿宋" w:hAnsi="仿宋" w:eastAsia="仿宋"/>
                <w:bCs/>
                <w:szCs w:val="21"/>
              </w:rPr>
              <w:t>F=E×【0.03%】</w:t>
            </w:r>
            <w:r>
              <w:rPr>
                <w:rFonts w:hint="eastAsia" w:ascii="仿宋" w:hAnsi="仿宋" w:eastAsia="仿宋"/>
                <w:szCs w:val="21"/>
              </w:rPr>
              <w:t>/当年天数。</w:t>
            </w:r>
            <w:r>
              <w:rPr>
                <w:rFonts w:hint="eastAsia" w:ascii="仿宋" w:hAnsi="仿宋" w:eastAsia="仿宋"/>
                <w:bCs/>
                <w:szCs w:val="21"/>
              </w:rPr>
              <w:t>F为托管费；E为计算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left"/>
              <w:rPr>
                <w:rFonts w:ascii="仿宋" w:hAnsi="仿宋" w:eastAsia="仿宋"/>
                <w:bCs/>
                <w:szCs w:val="21"/>
              </w:rPr>
            </w:pPr>
            <w:r>
              <w:rPr>
                <w:rFonts w:hint="eastAsia" w:ascii="仿宋" w:hAnsi="仿宋" w:eastAsia="仿宋" w:cs="Cambria"/>
                <w:bCs/>
                <w:szCs w:val="21"/>
              </w:rPr>
              <w:t xml:space="preserve">    A份额：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rPr>
              <w:t>10%/年，以前一日资产净值为基数，每日计提。</w:t>
            </w:r>
          </w:p>
          <w:p>
            <w:pPr>
              <w:adjustRightInd w:val="0"/>
              <w:snapToGrid w:val="0"/>
              <w:spacing w:line="300" w:lineRule="exact"/>
              <w:ind w:firstLine="420"/>
              <w:jc w:val="left"/>
              <w:rPr>
                <w:rFonts w:ascii="仿宋" w:hAnsi="仿宋" w:eastAsia="仿宋"/>
                <w:bCs/>
                <w:szCs w:val="21"/>
              </w:rPr>
            </w:pPr>
            <w:r>
              <w:rPr>
                <w:rFonts w:hint="eastAsia" w:ascii="仿宋" w:hAnsi="仿宋" w:eastAsia="仿宋" w:cs="Cambria"/>
                <w:bCs/>
                <w:szCs w:val="21"/>
              </w:rPr>
              <w:t>B份额：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rPr>
              <w:t>15%/年，以前一日资产净值为基数，每日计提。</w:t>
            </w:r>
          </w:p>
          <w:p>
            <w:pPr>
              <w:adjustRightInd w:val="0"/>
              <w:snapToGrid w:val="0"/>
              <w:spacing w:line="300" w:lineRule="exact"/>
              <w:ind w:firstLine="420"/>
              <w:jc w:val="left"/>
              <w:rPr>
                <w:rFonts w:ascii="仿宋" w:hAnsi="仿宋" w:eastAsia="仿宋"/>
                <w:bCs/>
                <w:szCs w:val="21"/>
              </w:rPr>
            </w:pPr>
            <w:r>
              <w:rPr>
                <w:rFonts w:hint="eastAsia" w:ascii="仿宋" w:hAnsi="仿宋" w:eastAsia="仿宋" w:cs="Cambria"/>
                <w:bCs/>
                <w:szCs w:val="21"/>
              </w:rPr>
              <w:t>C份额：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rPr>
              <w:t>20%/年，以前一日资产净值为基数，每日计提。</w:t>
            </w:r>
          </w:p>
          <w:p>
            <w:pPr>
              <w:adjustRightInd w:val="0"/>
              <w:snapToGrid w:val="0"/>
              <w:spacing w:line="300" w:lineRule="exact"/>
              <w:ind w:firstLine="420"/>
              <w:jc w:val="left"/>
              <w:rPr>
                <w:rFonts w:ascii="仿宋" w:hAnsi="仿宋" w:eastAsia="仿宋"/>
                <w:bCs/>
                <w:szCs w:val="21"/>
              </w:rPr>
            </w:pPr>
            <w:r>
              <w:rPr>
                <w:rFonts w:hint="eastAsia" w:ascii="仿宋" w:hAnsi="仿宋" w:eastAsia="仿宋" w:cs="Cambria"/>
                <w:bCs/>
                <w:szCs w:val="21"/>
              </w:rPr>
              <w:t>D份额：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rPr>
              <w:t>25%/年，以前一日资产净值为基数，每日计提。</w:t>
            </w:r>
          </w:p>
          <w:p>
            <w:pPr>
              <w:adjustRightInd w:val="0"/>
              <w:snapToGrid w:val="0"/>
              <w:spacing w:line="300" w:lineRule="exact"/>
              <w:ind w:firstLine="420"/>
              <w:jc w:val="left"/>
              <w:rPr>
                <w:rFonts w:ascii="仿宋" w:hAnsi="仿宋" w:eastAsia="仿宋"/>
                <w:bCs/>
                <w:szCs w:val="21"/>
              </w:rPr>
            </w:pPr>
            <w:r>
              <w:rPr>
                <w:rFonts w:hint="eastAsia" w:ascii="仿宋" w:hAnsi="仿宋" w:eastAsia="仿宋" w:cs="Cambria"/>
                <w:bCs/>
                <w:szCs w:val="21"/>
              </w:rPr>
              <w:t>E份额：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为0.30%/年，以前一日资产净值为基数，每日计提。</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公式如下：</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F=E×【各份额销售手续费</w:t>
            </w:r>
            <w:r>
              <w:rPr>
                <w:rFonts w:ascii="仿宋" w:hAnsi="仿宋" w:eastAsia="仿宋"/>
                <w:bCs/>
                <w:szCs w:val="21"/>
              </w:rPr>
              <w:t>率</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F为各份额销售</w:t>
            </w:r>
            <w:r>
              <w:rPr>
                <w:rFonts w:ascii="仿宋" w:hAnsi="仿宋" w:eastAsia="仿宋"/>
                <w:bCs/>
                <w:szCs w:val="21"/>
              </w:rPr>
              <w:t>手续费</w:t>
            </w:r>
            <w:r>
              <w:rPr>
                <w:rFonts w:hint="eastAsia" w:ascii="仿宋" w:hAnsi="仿宋" w:eastAsia="仿宋"/>
                <w:bCs/>
                <w:szCs w:val="21"/>
              </w:rPr>
              <w:t>；E为计算</w:t>
            </w:r>
            <w:r>
              <w:rPr>
                <w:rFonts w:ascii="仿宋" w:hAnsi="仿宋" w:eastAsia="仿宋"/>
                <w:bCs/>
                <w:szCs w:val="21"/>
              </w:rPr>
              <w:t>基数</w:t>
            </w:r>
            <w:r>
              <w:rPr>
                <w:rFonts w:hint="eastAsia" w:ascii="仿宋" w:hAnsi="仿宋" w:eastAsia="仿宋"/>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ascii="仿宋" w:hAnsi="仿宋" w:eastAsia="仿宋"/>
                <w:bCs/>
                <w:szCs w:val="21"/>
              </w:rPr>
              <w:t>0.</w:t>
            </w:r>
            <w:r>
              <w:rPr>
                <w:rFonts w:hint="eastAsia" w:ascii="仿宋" w:hAnsi="仿宋" w:eastAsia="仿宋"/>
                <w:bCs/>
                <w:szCs w:val="21"/>
              </w:rPr>
              <w:t>10%/年，以前一日资产净值为基数，每日计提。公式如下：</w:t>
            </w:r>
          </w:p>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F=E×【0.10%】</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F为固定管理费；E为计算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A份额超额管理费计提基准为</w:t>
            </w:r>
            <w:r>
              <w:rPr>
                <w:rFonts w:ascii="仿宋" w:hAnsi="仿宋" w:eastAsia="仿宋" w:cs="Cambria"/>
                <w:bCs/>
                <w:szCs w:val="21"/>
              </w:rPr>
              <w:t>3.00%</w:t>
            </w:r>
            <w:r>
              <w:rPr>
                <w:rFonts w:hint="eastAsia" w:ascii="仿宋" w:hAnsi="仿宋" w:eastAsia="仿宋" w:cs="Cambria"/>
                <w:bCs/>
                <w:szCs w:val="21"/>
              </w:rPr>
              <w:t>（年化）；B份额超额管理费计提基准为</w:t>
            </w:r>
            <w:r>
              <w:rPr>
                <w:rFonts w:ascii="仿宋" w:hAnsi="仿宋" w:eastAsia="仿宋"/>
                <w:bCs/>
                <w:szCs w:val="21"/>
              </w:rPr>
              <w:t>2.95%</w:t>
            </w:r>
            <w:r>
              <w:rPr>
                <w:rFonts w:hint="eastAsia" w:ascii="仿宋" w:hAnsi="仿宋" w:eastAsia="仿宋" w:cs="Cambria"/>
                <w:bCs/>
                <w:szCs w:val="21"/>
              </w:rPr>
              <w:t>（年化）；C份额超额管理费计提基准为</w:t>
            </w:r>
            <w:r>
              <w:rPr>
                <w:rFonts w:ascii="仿宋" w:hAnsi="仿宋" w:eastAsia="仿宋"/>
                <w:bCs/>
                <w:szCs w:val="21"/>
              </w:rPr>
              <w:t>2.90%</w:t>
            </w:r>
            <w:r>
              <w:rPr>
                <w:rFonts w:hint="eastAsia" w:ascii="仿宋" w:hAnsi="仿宋" w:eastAsia="仿宋" w:cs="Cambria"/>
                <w:bCs/>
                <w:szCs w:val="21"/>
              </w:rPr>
              <w:t>（年化）；D份额超额管理费计提基准为</w:t>
            </w:r>
            <w:r>
              <w:rPr>
                <w:rFonts w:ascii="仿宋" w:hAnsi="仿宋" w:eastAsia="仿宋"/>
                <w:bCs/>
                <w:szCs w:val="21"/>
              </w:rPr>
              <w:t>2.85%</w:t>
            </w:r>
            <w:r>
              <w:rPr>
                <w:rFonts w:hint="eastAsia" w:ascii="仿宋" w:hAnsi="仿宋" w:eastAsia="仿宋" w:cs="Cambria"/>
                <w:bCs/>
                <w:szCs w:val="21"/>
              </w:rPr>
              <w:t>（年化）；E份额超额管理费计提基准为</w:t>
            </w:r>
            <w:r>
              <w:rPr>
                <w:rFonts w:ascii="仿宋" w:hAnsi="仿宋" w:eastAsia="仿宋"/>
                <w:bCs/>
                <w:szCs w:val="21"/>
              </w:rPr>
              <w:t>2.80%</w:t>
            </w:r>
            <w:r>
              <w:rPr>
                <w:rFonts w:hint="eastAsia" w:ascii="仿宋" w:hAnsi="仿宋" w:eastAsia="仿宋" w:cs="Cambria"/>
                <w:bCs/>
                <w:szCs w:val="21"/>
              </w:rPr>
              <w:t>（年化）。</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本产品超额管理费的计算公式：</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其中：</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年化收益率=（计提日累计单位净值-1.0000）÷1.0000×365÷当期持有天数。</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left w:w="108"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0"/>
        <w:tblW w:w="7900" w:type="dxa"/>
        <w:tblCellSpacing w:w="0"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Pr>
      <w:tblGrid>
        <w:gridCol w:w="2762"/>
        <w:gridCol w:w="5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47" w:hRule="atLeast"/>
          <w:tblCellSpacing w:w="0" w:type="dxa"/>
        </w:trPr>
        <w:tc>
          <w:tcPr>
            <w:tcW w:w="2762" w:type="dxa"/>
            <w:vAlign w:val="center"/>
          </w:tcPr>
          <w:p>
            <w:pPr>
              <w:adjustRightInd w:val="0"/>
              <w:snapToGrid w:val="0"/>
              <w:spacing w:line="56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38" w:type="dxa"/>
            <w:vAlign w:val="center"/>
          </w:tcPr>
          <w:p>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47" w:hRule="atLeast"/>
          <w:tblCellSpacing w:w="0" w:type="dxa"/>
        </w:trPr>
        <w:tc>
          <w:tcPr>
            <w:tcW w:w="2762" w:type="dxa"/>
            <w:vAlign w:val="center"/>
          </w:tcPr>
          <w:p>
            <w:pPr>
              <w:adjustRightInd w:val="0"/>
              <w:snapToGrid w:val="0"/>
              <w:spacing w:line="56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固定收益类</w:t>
            </w:r>
          </w:p>
        </w:tc>
        <w:tc>
          <w:tcPr>
            <w:tcW w:w="5138" w:type="dxa"/>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w:t>
      </w:r>
      <w:bookmarkStart w:id="7" w:name="_GoBack"/>
      <w:bookmarkEnd w:id="7"/>
      <w:r>
        <w:rPr>
          <w:rFonts w:hint="eastAsia" w:ascii="仿宋" w:hAnsi="仿宋" w:eastAsia="仿宋" w:cs="宋体"/>
          <w:kern w:val="0"/>
          <w:sz w:val="24"/>
        </w:rPr>
        <w:t>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1.0100</w:t>
      </w:r>
      <w:r>
        <w:rPr>
          <w:rFonts w:hint="eastAsia" w:ascii="仿宋" w:hAnsi="仿宋" w:eastAsia="仿宋" w:cs="仿宋"/>
          <w:sz w:val="24"/>
        </w:rPr>
        <w:t>，客户到期获得的金额为：</w:t>
      </w:r>
      <w:r>
        <w:rPr>
          <w:rFonts w:ascii="仿宋" w:hAnsi="仿宋" w:eastAsia="仿宋" w:cs="仿宋"/>
          <w:sz w:val="24"/>
        </w:rPr>
        <w:t>100,000*1.0100=101,000.00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A70D5"/>
    <w:rsid w:val="00FB10EC"/>
    <w:rsid w:val="00FC0983"/>
    <w:rsid w:val="00FC21F8"/>
    <w:rsid w:val="00FC6689"/>
    <w:rsid w:val="00FC72F2"/>
    <w:rsid w:val="00FF1A4F"/>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qFormat/>
    <w:uiPriority w:val="0"/>
    <w:rPr>
      <w:b/>
      <w:bCs/>
    </w:rPr>
  </w:style>
  <w:style w:type="paragraph" w:styleId="3">
    <w:name w:val="annotation text"/>
    <w:basedOn w:val="1"/>
    <w:link w:val="12"/>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3"/>
    <w:qFormat/>
    <w:uiPriority w:val="0"/>
    <w:rPr>
      <w:kern w:val="2"/>
      <w:sz w:val="21"/>
      <w:szCs w:val="24"/>
    </w:rPr>
  </w:style>
  <w:style w:type="character" w:customStyle="1" w:styleId="13">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2463</Words>
  <Characters>14043</Characters>
  <Lines>117</Lines>
  <Paragraphs>32</Paragraphs>
  <TotalTime>0</TotalTime>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2023-01-28T07:38:00Z</dcterms:created>
  <dc:creator>ylh</dc:creator>
  <cp:keywords>稳健低波</cp:keywords>
  <cp:lastModifiedBy>RORO</cp:lastModifiedBy>
  <cp:lastPrinted>2021-07-21T07:06:00Z</cp:lastPrinted>
  <dcterms:modified xsi:type="dcterms:W3CDTF">2023-01-29T03:09:34Z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