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eastAsia="黑体"/>
          <w:bCs/>
          <w:sz w:val="36"/>
          <w:szCs w:val="36"/>
        </w:rPr>
        <w:t>6</w:t>
      </w:r>
      <w:r>
        <w:rPr>
          <w:rFonts w:hint="eastAsia" w:eastAsia="黑体"/>
          <w:bCs/>
          <w:sz w:val="36"/>
          <w:szCs w:val="36"/>
          <w:lang w:val="en-US" w:eastAsia="zh-CN"/>
        </w:rPr>
        <w:t>4</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ascii="仿宋" w:hAnsi="仿宋" w:eastAsia="仿宋"/>
                <w:b/>
                <w:bCs/>
                <w:szCs w:val="21"/>
              </w:rPr>
              <w:t>6</w:t>
            </w:r>
            <w:r>
              <w:rPr>
                <w:rFonts w:hint="eastAsia" w:ascii="仿宋" w:hAnsi="仿宋" w:eastAsia="仿宋"/>
                <w:b/>
                <w:bCs/>
                <w:szCs w:val="21"/>
                <w:lang w:val="en-US" w:eastAsia="zh-CN"/>
              </w:rPr>
              <w:t>4</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A份额简称：“华夏理财固收债权封闭式6</w:t>
            </w:r>
            <w:r>
              <w:rPr>
                <w:rFonts w:hint="eastAsia" w:ascii="仿宋" w:hAnsi="仿宋" w:eastAsia="仿宋"/>
                <w:b/>
                <w:bCs/>
                <w:szCs w:val="21"/>
                <w:lang w:val="en-US" w:eastAsia="zh-CN"/>
              </w:rPr>
              <w:t>4</w:t>
            </w:r>
            <w:r>
              <w:rPr>
                <w:rFonts w:hint="eastAsia" w:ascii="仿宋" w:hAnsi="仿宋" w:eastAsia="仿宋"/>
                <w:b/>
                <w:bCs/>
                <w:szCs w:val="21"/>
              </w:rPr>
              <w:t>号</w:t>
            </w:r>
            <w:r>
              <w:rPr>
                <w:rFonts w:hint="eastAsia" w:ascii="仿宋" w:hAnsi="仿宋" w:eastAsia="仿宋"/>
                <w:b/>
                <w:bCs/>
                <w:szCs w:val="21"/>
                <w:lang w:val="en-US" w:eastAsia="zh-CN"/>
              </w:rPr>
              <w:t>412</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B份额简称：“华夏理财固收债权封闭式6</w:t>
            </w:r>
            <w:r>
              <w:rPr>
                <w:rFonts w:hint="eastAsia" w:ascii="仿宋" w:hAnsi="仿宋" w:eastAsia="仿宋"/>
                <w:b/>
                <w:bCs/>
                <w:szCs w:val="21"/>
                <w:lang w:val="en-US" w:eastAsia="zh-CN"/>
              </w:rPr>
              <w:t>4</w:t>
            </w:r>
            <w:r>
              <w:rPr>
                <w:rFonts w:hint="eastAsia" w:ascii="仿宋" w:hAnsi="仿宋" w:eastAsia="仿宋"/>
                <w:b/>
                <w:bCs/>
                <w:szCs w:val="21"/>
              </w:rPr>
              <w:t>号</w:t>
            </w:r>
            <w:r>
              <w:rPr>
                <w:rFonts w:hint="eastAsia" w:ascii="仿宋" w:hAnsi="仿宋" w:eastAsia="仿宋"/>
                <w:b/>
                <w:bCs/>
                <w:szCs w:val="21"/>
                <w:lang w:val="en-US" w:eastAsia="zh-CN"/>
              </w:rPr>
              <w:t>412</w:t>
            </w:r>
            <w:r>
              <w:rPr>
                <w:rFonts w:hint="eastAsia" w:ascii="仿宋" w:hAnsi="仿宋" w:eastAsia="仿宋"/>
                <w:b/>
                <w:bCs/>
                <w:szCs w:val="21"/>
              </w:rPr>
              <w:t>天B”</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w:t>
            </w:r>
            <w:r>
              <w:rPr>
                <w:rFonts w:hint="eastAsia" w:ascii="仿宋" w:hAnsi="仿宋" w:eastAsia="仿宋"/>
                <w:b/>
                <w:bCs/>
                <w:szCs w:val="21"/>
              </w:rPr>
              <w:t>份额简称：“华夏理财固收债权封闭式6</w:t>
            </w:r>
            <w:r>
              <w:rPr>
                <w:rFonts w:hint="eastAsia" w:ascii="仿宋" w:hAnsi="仿宋" w:eastAsia="仿宋"/>
                <w:b/>
                <w:bCs/>
                <w:szCs w:val="21"/>
                <w:lang w:val="en-US" w:eastAsia="zh-CN"/>
              </w:rPr>
              <w:t>4</w:t>
            </w:r>
            <w:r>
              <w:rPr>
                <w:rFonts w:hint="eastAsia" w:ascii="仿宋" w:hAnsi="仿宋" w:eastAsia="仿宋"/>
                <w:b/>
                <w:bCs/>
                <w:szCs w:val="21"/>
              </w:rPr>
              <w:t>号</w:t>
            </w:r>
            <w:r>
              <w:rPr>
                <w:rFonts w:hint="eastAsia" w:ascii="仿宋" w:hAnsi="仿宋" w:eastAsia="仿宋"/>
                <w:b/>
                <w:bCs/>
                <w:szCs w:val="21"/>
                <w:lang w:val="en-US" w:eastAsia="zh-CN"/>
              </w:rPr>
              <w:t>412</w:t>
            </w:r>
            <w:r>
              <w:rPr>
                <w:rFonts w:hint="eastAsia" w:ascii="仿宋" w:hAnsi="仿宋" w:eastAsia="仿宋"/>
                <w:b/>
                <w:bCs/>
                <w:szCs w:val="21"/>
              </w:rPr>
              <w:t>天</w:t>
            </w:r>
            <w:r>
              <w:rPr>
                <w:rFonts w:hint="eastAsia" w:ascii="仿宋" w:hAnsi="仿宋" w:eastAsia="仿宋"/>
                <w:b/>
                <w:bCs/>
                <w:szCs w:val="21"/>
                <w:lang w:val="en-US" w:eastAsia="zh-CN"/>
              </w:rPr>
              <w:t>X</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23121064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A份额代码：23121064A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B份额代码：23121064B</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X</w:t>
            </w:r>
            <w:r>
              <w:rPr>
                <w:rFonts w:hint="eastAsia" w:ascii="仿宋" w:hAnsi="仿宋" w:eastAsia="仿宋"/>
                <w:bCs/>
                <w:szCs w:val="21"/>
              </w:rPr>
              <w:t>份额代码：23121064</w:t>
            </w:r>
            <w:r>
              <w:rPr>
                <w:rFonts w:hint="eastAsia" w:ascii="仿宋" w:hAnsi="仿宋" w:eastAsia="仿宋"/>
                <w:bCs/>
                <w:szCs w:val="21"/>
                <w:lang w:val="en-US" w:eastAsia="zh-CN"/>
              </w:rPr>
              <w:t>X（面向华夏银行个人投资者新客新资金）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Z7003923000019</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lang w:val="en-US" w:eastAsia="zh-CN"/>
              </w:rPr>
              <w:t>X份额：仅面向华夏银行个人投资者新客新资金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60</w:t>
            </w:r>
            <w:r>
              <w:rPr>
                <w:rFonts w:ascii="仿宋" w:hAnsi="仿宋" w:eastAsia="仿宋" w:cs="Cambria"/>
                <w:bCs/>
                <w:szCs w:val="21"/>
              </w:rPr>
              <w:t>%</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50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X</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以产品投资债券类资产仓位55%-100%，非标债权类资产仓位0-45%，组合杠杆率100%-120%为例，参考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bookmarkStart w:id="2" w:name="OLE_LINK3" w:colFirst="1" w:colLast="1"/>
            <w:bookmarkStart w:id="3" w:name="OLE_LINK2" w:colFirst="1" w:colLast="1"/>
            <w:bookmarkStart w:id="4" w:name="_Hlk290294163"/>
            <w:r>
              <w:rPr>
                <w:rFonts w:hint="eastAsia" w:ascii="仿宋" w:hAnsi="仿宋" w:eastAsia="仿宋"/>
                <w:bCs/>
                <w:szCs w:val="21"/>
                <w:lang w:val="en-US" w:eastAsia="zh-CN"/>
              </w:rPr>
              <w:t>募集期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412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2024年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lang w:val="en-US" w:eastAsia="zh-CN"/>
              </w:rPr>
              <w:t>X</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
                <w:bCs w:val="0"/>
                <w:szCs w:val="21"/>
              </w:rPr>
            </w:pPr>
            <w:r>
              <w:rPr>
                <w:rFonts w:hint="eastAsia" w:ascii="仿宋" w:hAnsi="仿宋" w:eastAsia="仿宋" w:cs="Cambria"/>
                <w:b/>
                <w:bCs w:val="0"/>
                <w:szCs w:val="21"/>
              </w:rPr>
              <w:t xml:space="preserve">    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B份额：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lang w:val="en-US" w:eastAsia="zh-CN"/>
              </w:rPr>
              <w:t>X</w:t>
            </w:r>
            <w:r>
              <w:rPr>
                <w:rFonts w:hint="eastAsia" w:ascii="仿宋" w:hAnsi="仿宋" w:eastAsia="仿宋" w:cs="Cambria"/>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F=E×【各份额销售手续费</w:t>
            </w:r>
            <w:r>
              <w:rPr>
                <w:rFonts w:ascii="仿宋" w:hAnsi="仿宋" w:eastAsia="仿宋"/>
                <w:b/>
                <w:bCs w:val="0"/>
                <w:szCs w:val="21"/>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/年，以前一日资产净值为基数，每日计提。公式如下：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ascii="仿宋" w:hAnsi="仿宋" w:eastAsia="仿宋" w:cs="Cambria"/>
                <w:b/>
                <w:bCs w:val="0"/>
                <w:szCs w:val="21"/>
              </w:rPr>
              <w:t>3.</w:t>
            </w:r>
            <w:r>
              <w:rPr>
                <w:rFonts w:hint="eastAsia" w:ascii="仿宋" w:hAnsi="仿宋" w:eastAsia="仿宋" w:cs="Cambria"/>
                <w:b/>
                <w:bCs w:val="0"/>
                <w:szCs w:val="21"/>
                <w:lang w:val="en-US" w:eastAsia="zh-CN"/>
              </w:rPr>
              <w:t>6</w:t>
            </w:r>
            <w:r>
              <w:rPr>
                <w:rFonts w:ascii="仿宋" w:hAnsi="仿宋" w:eastAsia="仿宋" w:cs="Cambria"/>
                <w:b/>
                <w:bCs w:val="0"/>
                <w:szCs w:val="21"/>
              </w:rPr>
              <w:t>0%</w:t>
            </w:r>
            <w:r>
              <w:rPr>
                <w:rFonts w:hint="eastAsia" w:ascii="仿宋" w:hAnsi="仿宋" w:eastAsia="仿宋" w:cs="Cambria"/>
                <w:b/>
                <w:bCs w:val="0"/>
                <w:szCs w:val="21"/>
              </w:rPr>
              <w:t>（年化）；B份额超额管理费计提基准为</w:t>
            </w:r>
            <w:r>
              <w:rPr>
                <w:rFonts w:ascii="仿宋" w:hAnsi="仿宋" w:eastAsia="仿宋" w:cs="Cambria"/>
                <w:b/>
                <w:bCs w:val="0"/>
                <w:szCs w:val="21"/>
              </w:rPr>
              <w:t>3.</w:t>
            </w:r>
            <w:r>
              <w:rPr>
                <w:rFonts w:hint="eastAsia" w:ascii="仿宋" w:hAnsi="仿宋" w:eastAsia="仿宋" w:cs="Cambria"/>
                <w:b/>
                <w:bCs w:val="0"/>
                <w:szCs w:val="21"/>
                <w:lang w:val="en-US" w:eastAsia="zh-CN"/>
              </w:rPr>
              <w:t>50</w:t>
            </w:r>
            <w:r>
              <w:rPr>
                <w:rFonts w:ascii="仿宋" w:hAnsi="仿宋" w:eastAsia="仿宋" w:cs="Cambria"/>
                <w:b/>
                <w:bCs w:val="0"/>
                <w:szCs w:val="21"/>
              </w:rPr>
              <w:t>%</w:t>
            </w:r>
            <w:r>
              <w:rPr>
                <w:rFonts w:hint="eastAsia" w:ascii="仿宋" w:hAnsi="仿宋" w:eastAsia="仿宋" w:cs="Cambria"/>
                <w:b/>
                <w:bCs w:val="0"/>
                <w:szCs w:val="21"/>
              </w:rPr>
              <w:t>（年化）；</w:t>
            </w:r>
            <w:r>
              <w:rPr>
                <w:rFonts w:hint="eastAsia" w:ascii="仿宋" w:hAnsi="仿宋" w:eastAsia="仿宋" w:cs="Cambria"/>
                <w:b/>
                <w:bCs w:val="0"/>
                <w:szCs w:val="21"/>
                <w:lang w:val="en-US" w:eastAsia="zh-CN"/>
              </w:rPr>
              <w:t>X</w:t>
            </w:r>
            <w:r>
              <w:rPr>
                <w:rFonts w:hint="eastAsia" w:ascii="仿宋" w:hAnsi="仿宋" w:eastAsia="仿宋" w:cs="Cambria"/>
                <w:b/>
                <w:bCs w:val="0"/>
                <w:szCs w:val="21"/>
              </w:rPr>
              <w:t>份额超额管理费计提基准为</w:t>
            </w:r>
            <w:r>
              <w:rPr>
                <w:rFonts w:ascii="仿宋" w:hAnsi="仿宋" w:eastAsia="仿宋" w:cs="Cambria"/>
                <w:b/>
                <w:bCs w:val="0"/>
                <w:szCs w:val="21"/>
              </w:rPr>
              <w:t>3.</w:t>
            </w:r>
            <w:r>
              <w:rPr>
                <w:rFonts w:hint="eastAsia" w:ascii="仿宋" w:hAnsi="仿宋" w:eastAsia="仿宋" w:cs="Cambria"/>
                <w:b/>
                <w:bCs w:val="0"/>
                <w:szCs w:val="21"/>
                <w:lang w:val="en-US" w:eastAsia="zh-CN"/>
              </w:rPr>
              <w:t>70</w:t>
            </w:r>
            <w:r>
              <w:rPr>
                <w:rFonts w:ascii="仿宋" w:hAnsi="仿宋" w:eastAsia="仿宋" w:cs="Cambria"/>
                <w:b/>
                <w:bCs w:val="0"/>
                <w:szCs w:val="21"/>
              </w:rPr>
              <w:t>%</w:t>
            </w:r>
            <w:r>
              <w:rPr>
                <w:rFonts w:hint="eastAsia" w:ascii="仿宋" w:hAnsi="仿宋" w:eastAsia="仿宋" w:cs="Cambria"/>
                <w:b/>
                <w:bCs w:val="0"/>
                <w:szCs w:val="21"/>
              </w:rPr>
              <w:t>（年化</w:t>
            </w:r>
            <w:r>
              <w:rPr>
                <w:rFonts w:hint="eastAsia" w:ascii="仿宋" w:hAnsi="仿宋" w:eastAsia="仿宋" w:cs="Cambria"/>
                <w:b/>
                <w:bCs w:val="0"/>
                <w:szCs w:val="21"/>
                <w:lang w:val="en-US" w:eastAsia="zh-CN"/>
              </w:rPr>
              <w:t>)</w:t>
            </w:r>
            <w:r>
              <w:rPr>
                <w:rFonts w:hint="eastAsia" w:ascii="仿宋" w:hAnsi="仿宋" w:eastAsia="仿宋" w:cs="Cambria"/>
                <w:b/>
                <w:bCs w:val="0"/>
                <w:szCs w:val="21"/>
              </w:rPr>
              <w:t>。</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firstLineChars="20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after="156" w:afterLines="50" w:line="400" w:lineRule="exact"/>
        <w:ind w:firstLine="482" w:firstLineChars="200"/>
        <w:jc w:val="both"/>
        <w:rPr>
          <w:rFonts w:ascii="Times New Roman" w:eastAsia="黑体" w:cs="Times New Roman"/>
          <w:b/>
          <w:color w:val="auto"/>
        </w:rPr>
      </w:pPr>
      <w:bookmarkStart w:id="7" w:name="_GoBack"/>
      <w:bookmarkEnd w:id="7"/>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06"/>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5006" w:type="dxa"/>
            <w:vAlign w:val="center"/>
          </w:tcPr>
          <w:p>
            <w:pPr>
              <w:adjustRightInd w:val="0"/>
              <w:snapToGrid w:val="0"/>
              <w:spacing w:line="48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894" w:type="dxa"/>
            <w:vAlign w:val="center"/>
          </w:tcPr>
          <w:p>
            <w:pPr>
              <w:adjustRightInd w:val="0"/>
              <w:snapToGrid w:val="0"/>
              <w:spacing w:line="48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5006" w:type="dxa"/>
            <w:vAlign w:val="center"/>
          </w:tcPr>
          <w:p>
            <w:pPr>
              <w:adjustRightInd w:val="0"/>
              <w:snapToGrid w:val="0"/>
              <w:spacing w:line="480" w:lineRule="atLeast"/>
              <w:jc w:val="center"/>
              <w:rPr>
                <w:rFonts w:hint="eastAsia" w:eastAsia="仿宋"/>
                <w:color w:val="000000"/>
                <w:kern w:val="0"/>
                <w:sz w:val="24"/>
              </w:rPr>
            </w:pPr>
            <w:r>
              <w:rPr>
                <w:rFonts w:hint="eastAsia" w:ascii="仿宋" w:hAnsi="仿宋" w:eastAsia="仿宋" w:cs="宋体"/>
                <w:color w:val="000000"/>
                <w:kern w:val="0"/>
                <w:sz w:val="24"/>
              </w:rPr>
              <w:t>固定收益类</w:t>
            </w:r>
          </w:p>
        </w:tc>
        <w:tc>
          <w:tcPr>
            <w:tcW w:w="2894" w:type="dxa"/>
            <w:vAlign w:val="center"/>
          </w:tcPr>
          <w:p>
            <w:pPr>
              <w:adjustRightInd w:val="0"/>
              <w:snapToGrid w:val="0"/>
              <w:spacing w:line="48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2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估值采用摊余成本法，即估值对象以买入成本列示，按票面利率或协议利率并考虑其买入时的溢价与折价，在其剩余存续期内按照实际利率法进行摊销，确认利息收入并计提减值准备。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0B3"/>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5842"/>
    <w:rsid w:val="005622E8"/>
    <w:rsid w:val="0058195A"/>
    <w:rsid w:val="00587F99"/>
    <w:rsid w:val="005902F0"/>
    <w:rsid w:val="005A1AD3"/>
    <w:rsid w:val="005B0C42"/>
    <w:rsid w:val="005B5241"/>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558E7"/>
    <w:rsid w:val="00864D39"/>
    <w:rsid w:val="0087356D"/>
    <w:rsid w:val="00881449"/>
    <w:rsid w:val="00881AFC"/>
    <w:rsid w:val="00884902"/>
    <w:rsid w:val="00891BE8"/>
    <w:rsid w:val="008A758D"/>
    <w:rsid w:val="008C587B"/>
    <w:rsid w:val="008C7FC7"/>
    <w:rsid w:val="008D32C9"/>
    <w:rsid w:val="008D4672"/>
    <w:rsid w:val="008E0E7F"/>
    <w:rsid w:val="008E7C57"/>
    <w:rsid w:val="00904F66"/>
    <w:rsid w:val="0091544A"/>
    <w:rsid w:val="0092398B"/>
    <w:rsid w:val="00926B88"/>
    <w:rsid w:val="00930CE3"/>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26FC3"/>
    <w:rsid w:val="00C34C70"/>
    <w:rsid w:val="00C56AC7"/>
    <w:rsid w:val="00C7590C"/>
    <w:rsid w:val="00CA6243"/>
    <w:rsid w:val="00CB07A0"/>
    <w:rsid w:val="00CB300C"/>
    <w:rsid w:val="00CC6613"/>
    <w:rsid w:val="00CD1AC8"/>
    <w:rsid w:val="00D03E60"/>
    <w:rsid w:val="00D06EC1"/>
    <w:rsid w:val="00D07C3B"/>
    <w:rsid w:val="00D20E48"/>
    <w:rsid w:val="00D455C6"/>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459"/>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B50330"/>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331185"/>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450BD7"/>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4EA6E03"/>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330AAB"/>
    <w:rsid w:val="326170B4"/>
    <w:rsid w:val="328F3B54"/>
    <w:rsid w:val="329A11A0"/>
    <w:rsid w:val="32FF7EB7"/>
    <w:rsid w:val="33424079"/>
    <w:rsid w:val="34126396"/>
    <w:rsid w:val="345E593B"/>
    <w:rsid w:val="34605A84"/>
    <w:rsid w:val="346C230B"/>
    <w:rsid w:val="35034F52"/>
    <w:rsid w:val="352C602C"/>
    <w:rsid w:val="35B16527"/>
    <w:rsid w:val="360B6477"/>
    <w:rsid w:val="36774E48"/>
    <w:rsid w:val="36B76A85"/>
    <w:rsid w:val="36B82ADE"/>
    <w:rsid w:val="376879F0"/>
    <w:rsid w:val="378F057D"/>
    <w:rsid w:val="37EC4B4C"/>
    <w:rsid w:val="387B665C"/>
    <w:rsid w:val="39690814"/>
    <w:rsid w:val="39951034"/>
    <w:rsid w:val="39B76C90"/>
    <w:rsid w:val="39C37A55"/>
    <w:rsid w:val="39C53B44"/>
    <w:rsid w:val="39EF39C3"/>
    <w:rsid w:val="3A021304"/>
    <w:rsid w:val="3A23092B"/>
    <w:rsid w:val="3A35598B"/>
    <w:rsid w:val="3A595F4B"/>
    <w:rsid w:val="3A9D0C11"/>
    <w:rsid w:val="3B4C73CF"/>
    <w:rsid w:val="3BC55932"/>
    <w:rsid w:val="3C7826C2"/>
    <w:rsid w:val="3C8F2051"/>
    <w:rsid w:val="3CD87A38"/>
    <w:rsid w:val="3CF01736"/>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0EA032E"/>
    <w:rsid w:val="41012626"/>
    <w:rsid w:val="415249F8"/>
    <w:rsid w:val="417575F2"/>
    <w:rsid w:val="41BD7655"/>
    <w:rsid w:val="41CC7DB7"/>
    <w:rsid w:val="42CD30A6"/>
    <w:rsid w:val="42F60353"/>
    <w:rsid w:val="438556A7"/>
    <w:rsid w:val="43A6228A"/>
    <w:rsid w:val="44256CD2"/>
    <w:rsid w:val="449B7167"/>
    <w:rsid w:val="44CC2C77"/>
    <w:rsid w:val="4524487F"/>
    <w:rsid w:val="45CC078F"/>
    <w:rsid w:val="466B6F06"/>
    <w:rsid w:val="46860155"/>
    <w:rsid w:val="476049FD"/>
    <w:rsid w:val="47802A85"/>
    <w:rsid w:val="47E65D23"/>
    <w:rsid w:val="47F6480D"/>
    <w:rsid w:val="4801691C"/>
    <w:rsid w:val="48683A8E"/>
    <w:rsid w:val="487C60FD"/>
    <w:rsid w:val="489E098C"/>
    <w:rsid w:val="48B61CC6"/>
    <w:rsid w:val="48E87129"/>
    <w:rsid w:val="492A5B50"/>
    <w:rsid w:val="49321AAF"/>
    <w:rsid w:val="493A681C"/>
    <w:rsid w:val="493C2E02"/>
    <w:rsid w:val="494D579F"/>
    <w:rsid w:val="498C1FB1"/>
    <w:rsid w:val="4A255416"/>
    <w:rsid w:val="4A295537"/>
    <w:rsid w:val="4A66296F"/>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900A5B"/>
    <w:rsid w:val="52B20439"/>
    <w:rsid w:val="5337488A"/>
    <w:rsid w:val="53735224"/>
    <w:rsid w:val="537D24F6"/>
    <w:rsid w:val="543C05E0"/>
    <w:rsid w:val="54B9651A"/>
    <w:rsid w:val="54F9389F"/>
    <w:rsid w:val="55222910"/>
    <w:rsid w:val="552769D7"/>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0A32FF"/>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1F1BC7"/>
    <w:rsid w:val="64541B77"/>
    <w:rsid w:val="64667487"/>
    <w:rsid w:val="64E9282A"/>
    <w:rsid w:val="65C63D9B"/>
    <w:rsid w:val="66103AAA"/>
    <w:rsid w:val="66147E84"/>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14BEF"/>
    <w:rsid w:val="6DFA3383"/>
    <w:rsid w:val="6E1A49C5"/>
    <w:rsid w:val="6E254EA7"/>
    <w:rsid w:val="6E4B2AEB"/>
    <w:rsid w:val="6EBB30B7"/>
    <w:rsid w:val="6F786BDA"/>
    <w:rsid w:val="701521E8"/>
    <w:rsid w:val="70851CBD"/>
    <w:rsid w:val="709573C6"/>
    <w:rsid w:val="709E2354"/>
    <w:rsid w:val="70E70772"/>
    <w:rsid w:val="71900429"/>
    <w:rsid w:val="719027A5"/>
    <w:rsid w:val="71C9496E"/>
    <w:rsid w:val="71EE76F7"/>
    <w:rsid w:val="720B04A4"/>
    <w:rsid w:val="725F0CAE"/>
    <w:rsid w:val="72981180"/>
    <w:rsid w:val="729C09F9"/>
    <w:rsid w:val="73001A15"/>
    <w:rsid w:val="73155C46"/>
    <w:rsid w:val="7366194C"/>
    <w:rsid w:val="74062834"/>
    <w:rsid w:val="740D552E"/>
    <w:rsid w:val="7411481B"/>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8A6B15"/>
    <w:rsid w:val="79BB4445"/>
    <w:rsid w:val="79CB33E9"/>
    <w:rsid w:val="79CC1086"/>
    <w:rsid w:val="79EF28EF"/>
    <w:rsid w:val="7A0E66B3"/>
    <w:rsid w:val="7A300713"/>
    <w:rsid w:val="7A3B7268"/>
    <w:rsid w:val="7A5D1076"/>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2389</Words>
  <Characters>13621</Characters>
  <Lines>113</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2023-01-31T02:57:00Z</dcterms:created>
  <dc:creator>ylh</dc:creator>
  <cp:keywords>2301</cp:keywords>
  <cp:lastModifiedBy>hxlcwangyuehui</cp:lastModifiedBy>
  <cp:lastPrinted>2021-07-21T07:06:00Z</cp:lastPrinted>
  <dcterms:modified xsi:type="dcterms:W3CDTF">2023-02-28T09:15:34Z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