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E0346B">
        <w:rPr>
          <w:rFonts w:eastAsia="黑体"/>
          <w:bCs/>
          <w:sz w:val="36"/>
          <w:szCs w:val="36"/>
        </w:rPr>
        <w:t>76</w:t>
      </w:r>
      <w:r>
        <w:rPr>
          <w:rFonts w:eastAsia="黑体" w:hint="eastAsia"/>
          <w:bCs/>
          <w:sz w:val="36"/>
          <w:szCs w:val="36"/>
        </w:rPr>
        <w:t>号</w:t>
      </w:r>
    </w:p>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4E0739">
        <w:trPr>
          <w:trHeight w:val="6140"/>
          <w:jc w:val="center"/>
        </w:trPr>
        <w:tc>
          <w:tcPr>
            <w:tcW w:w="8569" w:type="dxa"/>
            <w:tcBorders>
              <w:top w:val="single" w:sz="4" w:space="0" w:color="auto"/>
              <w:left w:val="single" w:sz="4" w:space="0" w:color="auto"/>
              <w:right w:val="single" w:sz="4" w:space="0" w:color="auto"/>
            </w:tcBorders>
            <w:vAlign w:val="center"/>
          </w:tcPr>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4E0739" w:rsidRDefault="0081219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E073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1" w:name="_GoBack" w:colFirst="1" w:colLast="1"/>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E0346B">
              <w:rPr>
                <w:rFonts w:ascii="仿宋" w:eastAsia="仿宋" w:hAnsi="仿宋"/>
                <w:b/>
                <w:bCs/>
                <w:szCs w:val="21"/>
              </w:rPr>
              <w:t>76</w:t>
            </w:r>
            <w:r>
              <w:rPr>
                <w:rFonts w:ascii="仿宋" w:eastAsia="仿宋" w:hAnsi="仿宋" w:hint="eastAsia"/>
                <w:b/>
                <w:bCs/>
                <w:szCs w:val="21"/>
              </w:rPr>
              <w:t>号</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00E0346B" w:rsidRPr="00E0346B">
              <w:rPr>
                <w:rFonts w:ascii="仿宋" w:eastAsia="仿宋" w:hAnsi="仿宋" w:hint="eastAsia"/>
                <w:b/>
                <w:bCs/>
                <w:szCs w:val="21"/>
              </w:rPr>
              <w:t>76号110天</w:t>
            </w:r>
            <w:r>
              <w:rPr>
                <w:rFonts w:ascii="仿宋" w:eastAsia="仿宋" w:hAnsi="仿宋" w:hint="eastAsia"/>
                <w:b/>
                <w:bCs/>
                <w:szCs w:val="21"/>
              </w:rPr>
              <w:t>A”</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00E0346B" w:rsidRPr="00E0346B">
              <w:rPr>
                <w:rFonts w:ascii="仿宋" w:eastAsia="仿宋" w:hAnsi="仿宋" w:hint="eastAsia"/>
                <w:b/>
                <w:bCs/>
                <w:szCs w:val="21"/>
              </w:rPr>
              <w:t>76号110天</w:t>
            </w:r>
            <w:r>
              <w:rPr>
                <w:rFonts w:ascii="仿宋" w:eastAsia="仿宋" w:hAnsi="仿宋" w:hint="eastAsia"/>
                <w:b/>
                <w:bCs/>
                <w:szCs w:val="21"/>
              </w:rPr>
              <w:t>B”</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C份额简称：“华夏理财固收债权封闭式</w:t>
            </w:r>
            <w:r w:rsidR="00E0346B" w:rsidRPr="00E0346B">
              <w:rPr>
                <w:rFonts w:ascii="仿宋" w:eastAsia="仿宋" w:hAnsi="仿宋" w:hint="eastAsia"/>
                <w:b/>
                <w:bCs/>
                <w:szCs w:val="21"/>
              </w:rPr>
              <w:t>76号110天</w:t>
            </w:r>
            <w:r>
              <w:rPr>
                <w:rFonts w:ascii="仿宋" w:eastAsia="仿宋" w:hAnsi="仿宋" w:hint="eastAsia"/>
                <w:b/>
                <w:bCs/>
                <w:szCs w:val="21"/>
              </w:rPr>
              <w:t>C”</w:t>
            </w:r>
          </w:p>
        </w:tc>
      </w:tr>
      <w:bookmarkEnd w:id="1"/>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E1009">
            <w:pPr>
              <w:adjustRightInd w:val="0"/>
              <w:snapToGrid w:val="0"/>
              <w:spacing w:line="300" w:lineRule="exact"/>
              <w:jc w:val="center"/>
              <w:rPr>
                <w:rFonts w:ascii="仿宋" w:eastAsia="仿宋" w:hAnsi="仿宋"/>
                <w:bCs/>
                <w:szCs w:val="21"/>
              </w:rPr>
            </w:pPr>
            <w:r w:rsidRPr="00BE1009">
              <w:rPr>
                <w:rFonts w:ascii="仿宋" w:eastAsia="仿宋" w:hAnsi="仿宋"/>
                <w:bCs/>
                <w:szCs w:val="21"/>
              </w:rPr>
              <w:t>23121076</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BE1009" w:rsidRPr="00BE1009">
              <w:rPr>
                <w:rFonts w:ascii="仿宋" w:eastAsia="仿宋" w:hAnsi="仿宋"/>
                <w:bCs/>
                <w:szCs w:val="21"/>
              </w:rPr>
              <w:t>23121076</w:t>
            </w:r>
            <w:r>
              <w:rPr>
                <w:rFonts w:ascii="仿宋" w:eastAsia="仿宋" w:hAnsi="仿宋" w:hint="eastAsia"/>
                <w:bCs/>
                <w:szCs w:val="21"/>
              </w:rPr>
              <w:t>A</w:t>
            </w:r>
          </w:p>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BE1009" w:rsidRPr="00BE1009">
              <w:rPr>
                <w:rFonts w:ascii="仿宋" w:eastAsia="仿宋" w:hAnsi="仿宋"/>
                <w:bCs/>
                <w:szCs w:val="21"/>
              </w:rPr>
              <w:t>23121076</w:t>
            </w:r>
            <w:r>
              <w:rPr>
                <w:rFonts w:ascii="仿宋" w:eastAsia="仿宋" w:hAnsi="仿宋" w:hint="eastAsia"/>
                <w:bCs/>
                <w:szCs w:val="21"/>
              </w:rPr>
              <w:t>B</w:t>
            </w:r>
          </w:p>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C份额代码：</w:t>
            </w:r>
            <w:r w:rsidR="00BE1009" w:rsidRPr="00BE1009">
              <w:rPr>
                <w:rFonts w:ascii="仿宋" w:eastAsia="仿宋" w:hAnsi="仿宋"/>
                <w:bCs/>
                <w:szCs w:val="21"/>
              </w:rPr>
              <w:t>23121076</w:t>
            </w:r>
            <w:r>
              <w:rPr>
                <w:rFonts w:ascii="仿宋" w:eastAsia="仿宋" w:hAnsi="仿宋" w:hint="eastAsia"/>
                <w:bCs/>
                <w:szCs w:val="21"/>
              </w:rPr>
              <w:t>C</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E1009">
            <w:pPr>
              <w:keepNext/>
              <w:adjustRightInd w:val="0"/>
              <w:snapToGrid w:val="0"/>
              <w:spacing w:line="300" w:lineRule="exact"/>
              <w:jc w:val="center"/>
              <w:rPr>
                <w:rFonts w:ascii="仿宋" w:eastAsia="仿宋" w:hAnsi="仿宋"/>
                <w:bCs/>
                <w:szCs w:val="21"/>
              </w:rPr>
            </w:pPr>
            <w:r w:rsidRPr="00BE1009">
              <w:rPr>
                <w:rFonts w:ascii="仿宋" w:eastAsia="仿宋" w:hAnsi="仿宋"/>
                <w:bCs/>
                <w:szCs w:val="21"/>
              </w:rPr>
              <w:t>Z7003923000094</w:t>
            </w:r>
          </w:p>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2" w:name="_Hlk76302700"/>
            <w:r>
              <w:rPr>
                <w:rFonts w:ascii="仿宋" w:eastAsia="仿宋" w:hAnsi="仿宋" w:hint="eastAsia"/>
                <w:bCs/>
                <w:szCs w:val="21"/>
              </w:rPr>
              <w:t>代销机构最终披露的评级结果</w:t>
            </w:r>
            <w:bookmarkEnd w:id="2"/>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基准为2.90</w:t>
            </w:r>
            <w:r>
              <w:rPr>
                <w:rFonts w:ascii="仿宋" w:eastAsia="仿宋" w:hAnsi="仿宋" w:cs="Cambria"/>
                <w:bCs/>
                <w:szCs w:val="21"/>
              </w:rPr>
              <w:t>%</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2.</w:t>
            </w:r>
            <w:r>
              <w:rPr>
                <w:rFonts w:ascii="仿宋" w:eastAsia="仿宋" w:hAnsi="仿宋" w:cs="Cambria" w:hint="eastAsia"/>
                <w:bCs/>
                <w:szCs w:val="21"/>
              </w:rPr>
              <w:t>85</w:t>
            </w:r>
            <w:r>
              <w:rPr>
                <w:rFonts w:ascii="仿宋" w:eastAsia="仿宋" w:hAnsi="仿宋" w:cs="Cambria"/>
                <w:bCs/>
                <w:szCs w:val="21"/>
              </w:rPr>
              <w:t>%</w:t>
            </w:r>
            <w:r>
              <w:rPr>
                <w:rFonts w:ascii="仿宋" w:eastAsia="仿宋" w:hAnsi="仿宋" w:cs="Cambria" w:hint="eastAsia"/>
                <w:bCs/>
                <w:szCs w:val="21"/>
              </w:rPr>
              <w:t>（年化）;C份额：业绩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2.</w:t>
            </w:r>
            <w:r>
              <w:rPr>
                <w:rFonts w:ascii="仿宋" w:eastAsia="仿宋" w:hAnsi="仿宋" w:cs="Cambria" w:hint="eastAsia"/>
                <w:bCs/>
                <w:szCs w:val="21"/>
              </w:rPr>
              <w:t>75</w:t>
            </w:r>
            <w:r>
              <w:rPr>
                <w:rFonts w:ascii="仿宋" w:eastAsia="仿宋" w:hAnsi="仿宋" w:cs="Cambria"/>
                <w:bCs/>
                <w:szCs w:val="21"/>
              </w:rPr>
              <w:t>%</w:t>
            </w:r>
            <w:r>
              <w:rPr>
                <w:rFonts w:ascii="仿宋" w:eastAsia="仿宋" w:hAnsi="仿宋" w:cs="Cambria" w:hint="eastAsia"/>
                <w:bCs/>
                <w:szCs w:val="21"/>
              </w:rPr>
              <w:t>（年化）。</w:t>
            </w:r>
            <w:r w:rsidR="00784B05" w:rsidRPr="00784B05">
              <w:rPr>
                <w:rFonts w:ascii="仿宋" w:eastAsia="仿宋" w:hAnsi="仿宋" w:cs="Cambria" w:hint="eastAsia"/>
                <w:bCs/>
                <w:szCs w:val="21"/>
              </w:rPr>
              <w:t>以产品投资存款类资产</w:t>
            </w:r>
            <w:proofErr w:type="gramStart"/>
            <w:r w:rsidR="00784B05" w:rsidRPr="00784B05">
              <w:rPr>
                <w:rFonts w:ascii="仿宋" w:eastAsia="仿宋" w:hAnsi="仿宋" w:cs="Cambria" w:hint="eastAsia"/>
                <w:bCs/>
                <w:szCs w:val="21"/>
              </w:rPr>
              <w:t>仓位</w:t>
            </w:r>
            <w:proofErr w:type="gramEnd"/>
            <w:r w:rsidR="00784B05" w:rsidRPr="00784B05">
              <w:rPr>
                <w:rFonts w:ascii="仿宋" w:eastAsia="仿宋" w:hAnsi="仿宋" w:cs="Cambria" w:hint="eastAsia"/>
                <w:bCs/>
                <w:szCs w:val="21"/>
              </w:rPr>
              <w:t>50%-100%，债券类资产</w:t>
            </w:r>
            <w:proofErr w:type="gramStart"/>
            <w:r w:rsidR="00784B05" w:rsidRPr="00784B05">
              <w:rPr>
                <w:rFonts w:ascii="仿宋" w:eastAsia="仿宋" w:hAnsi="仿宋" w:cs="Cambria" w:hint="eastAsia"/>
                <w:bCs/>
                <w:szCs w:val="21"/>
              </w:rPr>
              <w:t>仓位</w:t>
            </w:r>
            <w:proofErr w:type="gramEnd"/>
            <w:r w:rsidR="00784B05" w:rsidRPr="00784B05">
              <w:rPr>
                <w:rFonts w:ascii="仿宋" w:eastAsia="仿宋" w:hAnsi="仿宋" w:cs="Cambria" w:hint="eastAsia"/>
                <w:bCs/>
                <w:szCs w:val="21"/>
              </w:rPr>
              <w:t>0-50%，非标债权类资产</w:t>
            </w:r>
            <w:proofErr w:type="gramStart"/>
            <w:r w:rsidR="00784B05" w:rsidRPr="00784B05">
              <w:rPr>
                <w:rFonts w:ascii="仿宋" w:eastAsia="仿宋" w:hAnsi="仿宋" w:cs="Cambria" w:hint="eastAsia"/>
                <w:bCs/>
                <w:szCs w:val="21"/>
              </w:rPr>
              <w:t>仓位</w:t>
            </w:r>
            <w:proofErr w:type="gramEnd"/>
            <w:r w:rsidR="00784B05" w:rsidRPr="00784B05">
              <w:rPr>
                <w:rFonts w:ascii="仿宋" w:eastAsia="仿宋" w:hAnsi="仿宋" w:cs="Cambria" w:hint="eastAsia"/>
                <w:bCs/>
                <w:szCs w:val="21"/>
              </w:rPr>
              <w:t>0-40%，组合杠杆率100-110%为例，参考当前存款类资产收益水平、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rsidR="004E0739" w:rsidRDefault="00812191">
            <w:pPr>
              <w:adjustRightInd w:val="0"/>
              <w:snapToGrid w:val="0"/>
              <w:spacing w:line="240" w:lineRule="atLeast"/>
              <w:ind w:firstLineChars="200" w:firstLine="42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4E0739" w:rsidRDefault="00812191">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3" w:name="OLE_LINK2" w:colFirst="1" w:colLast="1"/>
            <w:bookmarkStart w:id="4" w:name="OLE_LINK3"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E0346B">
            <w:pPr>
              <w:adjustRightInd w:val="0"/>
              <w:snapToGrid w:val="0"/>
              <w:spacing w:line="300" w:lineRule="exact"/>
              <w:ind w:firstLineChars="200" w:firstLine="420"/>
              <w:rPr>
                <w:rFonts w:ascii="仿宋" w:eastAsia="仿宋" w:hAnsi="仿宋"/>
                <w:bCs/>
                <w:szCs w:val="21"/>
              </w:rPr>
            </w:pPr>
            <w:r w:rsidRPr="00E0346B">
              <w:rPr>
                <w:rFonts w:ascii="仿宋" w:eastAsia="仿宋" w:hAnsi="仿宋" w:hint="eastAsia"/>
                <w:bCs/>
                <w:szCs w:val="21"/>
              </w:rPr>
              <w:t>2023年3月16日</w:t>
            </w:r>
            <w:r w:rsidR="00812191">
              <w:rPr>
                <w:rFonts w:ascii="仿宋" w:eastAsia="仿宋" w:hAnsi="仿宋"/>
                <w:bCs/>
                <w:szCs w:val="21"/>
              </w:rPr>
              <w:t>－</w:t>
            </w:r>
            <w:r w:rsidRPr="00E0346B">
              <w:rPr>
                <w:rFonts w:ascii="仿宋" w:eastAsia="仿宋" w:hAnsi="仿宋" w:hint="eastAsia"/>
                <w:bCs/>
                <w:szCs w:val="21"/>
              </w:rPr>
              <w:t>2023年3月22日</w:t>
            </w:r>
            <w:r w:rsidR="00812191">
              <w:rPr>
                <w:rFonts w:ascii="仿宋" w:eastAsia="仿宋" w:hAnsi="仿宋"/>
                <w:bCs/>
                <w:szCs w:val="21"/>
              </w:rPr>
              <w:t>（含）</w:t>
            </w:r>
            <w:r w:rsidR="00812191">
              <w:rPr>
                <w:rFonts w:ascii="仿宋" w:eastAsia="仿宋" w:hAnsi="仿宋" w:hint="eastAsia"/>
                <w:bCs/>
                <w:szCs w:val="21"/>
              </w:rPr>
              <w:t>（根据市场情况，华夏理财有权提前结束认购或调整相关日期，募集期最后一日认购截止时点如与华夏理财</w:t>
            </w:r>
            <w:r w:rsidR="00812191">
              <w:rPr>
                <w:rFonts w:ascii="仿宋" w:eastAsia="仿宋" w:hAnsi="仿宋" w:hint="eastAsia"/>
                <w:bCs/>
                <w:szCs w:val="21"/>
              </w:rPr>
              <w:lastRenderedPageBreak/>
              <w:t>不一致则以各代销机构规定为准，其中华夏银行/华夏理财17:30（含）后不可认购。</w:t>
            </w:r>
            <w:r w:rsidR="00812191">
              <w:rPr>
                <w:rFonts w:ascii="仿宋" w:eastAsia="仿宋" w:hAnsi="仿宋"/>
                <w:bCs/>
                <w:szCs w:val="21"/>
              </w:rPr>
              <w:t>）</w:t>
            </w:r>
          </w:p>
        </w:tc>
      </w:tr>
      <w:bookmarkEnd w:id="3"/>
      <w:bookmarkEnd w:id="4"/>
      <w:bookmarkEnd w:id="5"/>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E0346B">
            <w:pPr>
              <w:adjustRightInd w:val="0"/>
              <w:snapToGrid w:val="0"/>
              <w:spacing w:line="300" w:lineRule="exact"/>
              <w:ind w:firstLineChars="200" w:firstLine="420"/>
              <w:rPr>
                <w:rFonts w:ascii="仿宋" w:eastAsia="仿宋" w:hAnsi="仿宋"/>
                <w:bCs/>
                <w:szCs w:val="21"/>
              </w:rPr>
            </w:pPr>
            <w:r w:rsidRPr="00E0346B">
              <w:rPr>
                <w:rFonts w:ascii="仿宋" w:eastAsia="仿宋" w:hAnsi="仿宋" w:hint="eastAsia"/>
                <w:bCs/>
                <w:szCs w:val="21"/>
              </w:rPr>
              <w:t>2023年3月23日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E0346B">
            <w:pPr>
              <w:adjustRightInd w:val="0"/>
              <w:snapToGrid w:val="0"/>
              <w:spacing w:line="300" w:lineRule="exact"/>
              <w:ind w:firstLineChars="200" w:firstLine="420"/>
              <w:rPr>
                <w:rFonts w:ascii="仿宋" w:eastAsia="仿宋" w:hAnsi="仿宋"/>
                <w:bCs/>
                <w:szCs w:val="21"/>
              </w:rPr>
            </w:pPr>
            <w:r w:rsidRPr="00E0346B">
              <w:rPr>
                <w:rFonts w:ascii="仿宋" w:eastAsia="仿宋" w:hAnsi="仿宋"/>
                <w:bCs/>
                <w:szCs w:val="21"/>
              </w:rPr>
              <w:t>110</w:t>
            </w:r>
            <w:r w:rsidR="00812191">
              <w:rPr>
                <w:rFonts w:ascii="仿宋" w:eastAsia="仿宋" w:hAnsi="仿宋" w:hint="eastAsia"/>
                <w:bCs/>
                <w:szCs w:val="21"/>
              </w:rPr>
              <w:t>天</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E0346B">
            <w:pPr>
              <w:adjustRightInd w:val="0"/>
              <w:snapToGrid w:val="0"/>
              <w:spacing w:line="300" w:lineRule="exact"/>
              <w:ind w:firstLineChars="200" w:firstLine="420"/>
              <w:rPr>
                <w:rFonts w:ascii="仿宋" w:eastAsia="仿宋" w:hAnsi="仿宋"/>
                <w:bCs/>
                <w:szCs w:val="21"/>
              </w:rPr>
            </w:pPr>
            <w:r w:rsidRPr="00E0346B">
              <w:rPr>
                <w:rFonts w:ascii="仿宋" w:eastAsia="仿宋" w:hAnsi="仿宋" w:hint="eastAsia"/>
                <w:bCs/>
                <w:szCs w:val="21"/>
              </w:rPr>
              <w:t>2023年7月11日</w:t>
            </w:r>
            <w:r w:rsidR="00812191">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4E0739" w:rsidRDefault="00812191">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E100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BE1009">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4E0739">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C份额：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E0739">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4E0739" w:rsidRDefault="0081219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w:t>
            </w:r>
            <w:r>
              <w:rPr>
                <w:rFonts w:ascii="仿宋" w:eastAsia="仿宋" w:hAnsi="仿宋" w:hint="eastAsia"/>
                <w:b/>
                <w:szCs w:val="21"/>
              </w:rPr>
              <w:lastRenderedPageBreak/>
              <w:t>拒绝或暂停该认购申请。</w:t>
            </w:r>
          </w:p>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812191">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15%/年，以前一日资产净值为基数，每日计提。</w:t>
            </w:r>
          </w:p>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20%/年，以前一日资产净值为基数，每日计提。</w:t>
            </w:r>
          </w:p>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C份额：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30%/年，以前一日资产净值为基数，每日计提。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F=E×【各份额销售手续费</w:t>
            </w:r>
            <w:r>
              <w:rPr>
                <w:rFonts w:ascii="仿宋" w:eastAsia="仿宋" w:hAnsi="仿宋"/>
                <w:b/>
                <w:szCs w:val="21"/>
              </w:rPr>
              <w:t>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。F为各份额销售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b/>
                <w:szCs w:val="21"/>
              </w:rPr>
              <w:t>0.</w:t>
            </w:r>
            <w:r>
              <w:rPr>
                <w:rFonts w:ascii="仿宋" w:eastAsia="仿宋" w:hAnsi="仿宋" w:hint="eastAsia"/>
                <w:b/>
                <w:szCs w:val="21"/>
              </w:rPr>
              <w:t>15%/年，以前一日资产净值为基数，每日计提。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F=E×【0.15%】/当年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A份额超额管理费计提基准为2.90</w:t>
            </w:r>
            <w:r>
              <w:rPr>
                <w:rFonts w:ascii="仿宋" w:eastAsia="仿宋" w:hAnsi="仿宋" w:cs="Cambria"/>
                <w:b/>
                <w:szCs w:val="21"/>
              </w:rPr>
              <w:t>%</w:t>
            </w:r>
            <w:r>
              <w:rPr>
                <w:rFonts w:ascii="仿宋" w:eastAsia="仿宋" w:hAnsi="仿宋" w:cs="Cambria" w:hint="eastAsia"/>
                <w:b/>
                <w:szCs w:val="21"/>
              </w:rPr>
              <w:t>（年化）；B份额超额管理费计提基准为</w:t>
            </w:r>
            <w:r>
              <w:rPr>
                <w:rFonts w:ascii="仿宋" w:eastAsia="仿宋" w:hAnsi="仿宋"/>
                <w:b/>
                <w:szCs w:val="21"/>
              </w:rPr>
              <w:t>2.</w:t>
            </w:r>
            <w:r>
              <w:rPr>
                <w:rFonts w:ascii="仿宋" w:eastAsia="仿宋" w:hAnsi="仿宋" w:hint="eastAsia"/>
                <w:b/>
                <w:szCs w:val="21"/>
              </w:rPr>
              <w:t>8</w:t>
            </w:r>
            <w:r>
              <w:rPr>
                <w:rFonts w:ascii="仿宋" w:eastAsia="仿宋" w:hAnsi="仿宋"/>
                <w:b/>
                <w:szCs w:val="21"/>
              </w:rPr>
              <w:t>5%</w:t>
            </w:r>
            <w:r>
              <w:rPr>
                <w:rFonts w:ascii="仿宋" w:eastAsia="仿宋" w:hAnsi="仿宋" w:cs="Cambria" w:hint="eastAsia"/>
                <w:b/>
                <w:szCs w:val="21"/>
              </w:rPr>
              <w:t>（年化）；C份额超额管理费计提基准为</w:t>
            </w:r>
            <w:r>
              <w:rPr>
                <w:rFonts w:ascii="仿宋" w:eastAsia="仿宋" w:hAnsi="仿宋"/>
                <w:b/>
                <w:szCs w:val="21"/>
              </w:rPr>
              <w:t>2.</w:t>
            </w:r>
            <w:r>
              <w:rPr>
                <w:rFonts w:ascii="仿宋" w:eastAsia="仿宋" w:hAnsi="仿宋" w:hint="eastAsia"/>
                <w:b/>
                <w:szCs w:val="21"/>
              </w:rPr>
              <w:t>75</w:t>
            </w:r>
            <w:r>
              <w:rPr>
                <w:rFonts w:ascii="仿宋" w:eastAsia="仿宋" w:hAnsi="仿宋"/>
                <w:b/>
                <w:szCs w:val="21"/>
              </w:rPr>
              <w:t>%</w:t>
            </w:r>
            <w:r>
              <w:rPr>
                <w:rFonts w:ascii="仿宋" w:eastAsia="仿宋" w:hAnsi="仿宋" w:cs="Cambria" w:hint="eastAsia"/>
                <w:b/>
                <w:szCs w:val="21"/>
              </w:rPr>
              <w:t>（年化）。</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4E0739" w:rsidRDefault="00812191">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4E0739" w:rsidRDefault="00812191">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w:t>
            </w:r>
            <w:r>
              <w:rPr>
                <w:rFonts w:ascii="仿宋" w:eastAsia="仿宋" w:hAnsi="仿宋" w:hint="eastAsia"/>
                <w:b/>
                <w:szCs w:val="21"/>
              </w:rPr>
              <w:lastRenderedPageBreak/>
              <w:t>财资产中支取。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4E0739">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4E0739" w:rsidRDefault="0081219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4E0739" w:rsidRDefault="0081219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4E0739" w:rsidRDefault="0081219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4E0739" w:rsidRDefault="004E0739">
      <w:pPr>
        <w:pStyle w:val="Default"/>
        <w:snapToGrid w:val="0"/>
        <w:spacing w:afterLines="50" w:after="156" w:line="400" w:lineRule="exact"/>
        <w:ind w:firstLineChars="200" w:firstLine="482"/>
        <w:jc w:val="both"/>
        <w:rPr>
          <w:rFonts w:ascii="Times New Roman" w:eastAsia="黑体" w:cs="Times New Roman"/>
          <w:b/>
          <w:color w:val="auto"/>
        </w:rPr>
      </w:pPr>
    </w:p>
    <w:p w:rsidR="004E0739" w:rsidRDefault="0081219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二、</w:t>
      </w:r>
      <w:r>
        <w:rPr>
          <w:rFonts w:ascii="Times New Roman" w:eastAsia="黑体" w:cs="Times New Roman"/>
          <w:b/>
          <w:color w:val="auto"/>
        </w:rPr>
        <w:t>投资</w:t>
      </w:r>
      <w:r>
        <w:rPr>
          <w:rFonts w:ascii="Times New Roman" w:eastAsia="黑体" w:cs="Times New Roman" w:hint="eastAsia"/>
          <w:b/>
          <w:color w:val="auto"/>
        </w:rPr>
        <w:t>对象</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4E0739" w:rsidRDefault="00812191">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4E0739" w:rsidRDefault="0081219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4E0739" w:rsidRDefault="0081219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w:t>
      </w:r>
      <w:r>
        <w:rPr>
          <w:rFonts w:ascii="仿宋" w:eastAsia="仿宋" w:hAnsi="仿宋" w:cs="宋体" w:hint="eastAsia"/>
          <w:kern w:val="0"/>
          <w:sz w:val="24"/>
        </w:rPr>
        <w:lastRenderedPageBreak/>
        <w:t>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4E0739" w:rsidRDefault="0081219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Pr>
          <w:rFonts w:ascii="仿宋" w:eastAsia="仿宋" w:hAnsi="仿宋" w:hint="eastAsia"/>
          <w:sz w:val="24"/>
        </w:rPr>
        <w:t>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4E0739" w:rsidRDefault="0081219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4E0739" w:rsidRDefault="0081219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BE1009">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100,000*1.0</w:t>
      </w:r>
      <w:r w:rsidR="00BE1009">
        <w:rPr>
          <w:rFonts w:ascii="仿宋" w:eastAsia="仿宋" w:hAnsi="仿宋" w:cs="仿宋"/>
          <w:sz w:val="24"/>
        </w:rPr>
        <w:t>0</w:t>
      </w:r>
      <w:r>
        <w:rPr>
          <w:rFonts w:ascii="仿宋" w:eastAsia="仿宋" w:hAnsi="仿宋" w:cs="仿宋"/>
          <w:sz w:val="24"/>
        </w:rPr>
        <w:t>10=10</w:t>
      </w:r>
      <w:r w:rsidR="00BE1009">
        <w:rPr>
          <w:rFonts w:ascii="仿宋" w:eastAsia="仿宋" w:hAnsi="仿宋" w:cs="仿宋"/>
          <w:sz w:val="24"/>
        </w:rPr>
        <w:t>0</w:t>
      </w:r>
      <w:r>
        <w:rPr>
          <w:rFonts w:ascii="仿宋" w:eastAsia="仿宋" w:hAnsi="仿宋" w:cs="仿宋"/>
          <w:sz w:val="24"/>
        </w:rPr>
        <w:t>,</w:t>
      </w:r>
      <w:r w:rsidR="00BE1009">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4E0739" w:rsidRDefault="0081219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w:t>
      </w:r>
      <w:r>
        <w:rPr>
          <w:rFonts w:eastAsia="黑体" w:hint="eastAsia"/>
          <w:b/>
          <w:sz w:val="24"/>
        </w:rPr>
        <w:lastRenderedPageBreak/>
        <w:t>代表本理财产品实际收益水平。收益示例不等于实际收益，投资须谨慎。</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4E0739" w:rsidRDefault="0081219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w:t>
      </w:r>
      <w:r>
        <w:rPr>
          <w:rFonts w:ascii="仿宋" w:eastAsia="仿宋" w:hAnsi="仿宋" w:hint="eastAsia"/>
          <w:color w:val="auto"/>
        </w:rPr>
        <w:lastRenderedPageBreak/>
        <w:t>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w:t>
      </w:r>
      <w:r>
        <w:rPr>
          <w:rFonts w:ascii="仿宋" w:eastAsia="仿宋" w:hAnsi="仿宋" w:hint="eastAsia"/>
          <w:color w:val="auto"/>
        </w:rPr>
        <w:lastRenderedPageBreak/>
        <w:t>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4E0739" w:rsidRDefault="0081219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4E0739" w:rsidRDefault="0081219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4E0739" w:rsidRDefault="0081219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4E0739" w:rsidRDefault="0081219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w:t>
      </w:r>
      <w:r>
        <w:rPr>
          <w:rFonts w:eastAsia="黑体" w:hint="eastAsia"/>
          <w:b/>
          <w:kern w:val="0"/>
          <w:sz w:val="24"/>
        </w:rPr>
        <w:lastRenderedPageBreak/>
        <w:t>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4E0739" w:rsidRDefault="00812191">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w:t>
      </w:r>
      <w:r>
        <w:rPr>
          <w:rFonts w:ascii="Times New Roman" w:eastAsia="黑体" w:cs="Times New Roman"/>
          <w:b/>
          <w:color w:val="auto"/>
        </w:rPr>
        <w:lastRenderedPageBreak/>
        <w:t>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lastRenderedPageBreak/>
        <w:t>“二</w:t>
      </w:r>
      <w:r>
        <w:rPr>
          <w:rFonts w:ascii="仿宋" w:eastAsia="仿宋" w:hAnsi="仿宋" w:cs="宋体"/>
          <w:kern w:val="0"/>
          <w:sz w:val="24"/>
        </w:rPr>
        <w:t>、投资对象</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4E0739" w:rsidRDefault="0081219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4E0739" w:rsidRDefault="0081219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4E073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1009"/>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72BCF5EE-ADF1-4632-AEE5-CEE93A4CD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2420</Words>
  <Characters>13794</Characters>
  <Application>Microsoft Office Word</Application>
  <DocSecurity>0</DocSecurity>
  <Lines>114</Lines>
  <Paragraphs>32</Paragraphs>
  <ScaleCrop>false</ScaleCrop>
  <Company>华夏银行总行</Company>
  <LinksUpToDate>false</LinksUpToDate>
  <CharactersWithSpaces>16182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稳健低波</cp:keywords>
  <cp:lastModifiedBy>产品营销部</cp:lastModifiedBy>
  <cp:revision>3</cp:revision>
  <cp:lastPrinted>2021-07-21T07:06:00Z</cp:lastPrinted>
  <dcterms:created xsi:type="dcterms:W3CDTF">2023-03-14T02:40:00Z</dcterms:created>
  <dcterms:modified xsi:type="dcterms:W3CDTF">2023-03-14T02:42:00Z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