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20" w:rsidRDefault="0040011D">
      <w:pPr>
        <w:pStyle w:val="a5"/>
        <w:widowControl/>
        <w:spacing w:line="240" w:lineRule="auto"/>
        <w:ind w:firstLine="0"/>
        <w:jc w:val="center"/>
        <w:rPr>
          <w:rFonts w:eastAsia="黑体"/>
          <w:bCs/>
          <w:sz w:val="36"/>
          <w:szCs w:val="36"/>
        </w:rPr>
      </w:pPr>
      <w:r w:rsidRPr="0040011D">
        <w:rPr>
          <w:rFonts w:eastAsia="黑体" w:hint="eastAsia"/>
          <w:bCs/>
          <w:sz w:val="36"/>
          <w:szCs w:val="36"/>
        </w:rPr>
        <w:t>华夏</w:t>
      </w:r>
      <w:proofErr w:type="gramStart"/>
      <w:r w:rsidRPr="0040011D">
        <w:rPr>
          <w:rFonts w:eastAsia="黑体" w:hint="eastAsia"/>
          <w:bCs/>
          <w:sz w:val="36"/>
          <w:szCs w:val="36"/>
        </w:rPr>
        <w:t>理财悦嘉封闭式</w:t>
      </w:r>
      <w:proofErr w:type="gramEnd"/>
      <w:r w:rsidRPr="0040011D">
        <w:rPr>
          <w:rFonts w:eastAsia="黑体" w:hint="eastAsia"/>
          <w:bCs/>
          <w:sz w:val="36"/>
          <w:szCs w:val="36"/>
        </w:rPr>
        <w:t>理财产品</w:t>
      </w:r>
      <w:r w:rsidRPr="0040011D">
        <w:rPr>
          <w:rFonts w:eastAsia="黑体" w:hint="eastAsia"/>
          <w:bCs/>
          <w:sz w:val="36"/>
          <w:szCs w:val="36"/>
        </w:rPr>
        <w:t>1</w:t>
      </w:r>
      <w:r w:rsidRPr="0040011D">
        <w:rPr>
          <w:rFonts w:eastAsia="黑体" w:hint="eastAsia"/>
          <w:bCs/>
          <w:sz w:val="36"/>
          <w:szCs w:val="36"/>
        </w:rPr>
        <w:t>号</w:t>
      </w:r>
      <w:bookmarkStart w:id="0" w:name="_GoBack"/>
      <w:bookmarkEnd w:id="0"/>
      <w:r w:rsidR="00382196">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322620">
        <w:trPr>
          <w:trHeight w:val="6140"/>
          <w:jc w:val="center"/>
        </w:trPr>
        <w:tc>
          <w:tcPr>
            <w:tcW w:w="8569" w:type="dxa"/>
            <w:tcBorders>
              <w:top w:val="single" w:sz="4" w:space="0" w:color="auto"/>
              <w:left w:val="single" w:sz="4" w:space="0" w:color="auto"/>
              <w:right w:val="single" w:sz="4" w:space="0" w:color="auto"/>
            </w:tcBorders>
            <w:vAlign w:val="center"/>
          </w:tcPr>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华夏银行客户服务热线95577或其他代理销售机构客户服务热线</w:t>
            </w:r>
            <w:bookmarkEnd w:id="1"/>
            <w:r>
              <w:rPr>
                <w:rFonts w:ascii="黑体" w:eastAsia="黑体" w:hAnsi="黑体" w:hint="eastAsia"/>
                <w:b/>
                <w:sz w:val="28"/>
                <w:szCs w:val="28"/>
                <w:u w:val="single"/>
              </w:rPr>
              <w:t>。</w:t>
            </w:r>
          </w:p>
        </w:tc>
      </w:tr>
    </w:tbl>
    <w:p w:rsidR="00322620" w:rsidRDefault="00382196">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32262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jc w:val="center"/>
              <w:rPr>
                <w:rFonts w:ascii="仿宋" w:eastAsia="仿宋" w:hAnsi="仿宋"/>
                <w:b/>
                <w:bCs/>
                <w:szCs w:val="21"/>
              </w:rPr>
            </w:pPr>
            <w:r w:rsidRPr="0040011D">
              <w:rPr>
                <w:rFonts w:ascii="仿宋" w:eastAsia="仿宋" w:hAnsi="仿宋" w:hint="eastAsia"/>
                <w:b/>
                <w:bCs/>
                <w:szCs w:val="21"/>
              </w:rPr>
              <w:t>华夏</w:t>
            </w:r>
            <w:proofErr w:type="gramStart"/>
            <w:r w:rsidRPr="0040011D">
              <w:rPr>
                <w:rFonts w:ascii="仿宋" w:eastAsia="仿宋" w:hAnsi="仿宋" w:hint="eastAsia"/>
                <w:b/>
                <w:bCs/>
                <w:szCs w:val="21"/>
              </w:rPr>
              <w:t>理财悦嘉封闭式</w:t>
            </w:r>
            <w:proofErr w:type="gramEnd"/>
            <w:r w:rsidRPr="0040011D">
              <w:rPr>
                <w:rFonts w:ascii="仿宋" w:eastAsia="仿宋" w:hAnsi="仿宋" w:hint="eastAsia"/>
                <w:b/>
                <w:bCs/>
                <w:szCs w:val="21"/>
              </w:rPr>
              <w:t>理财产品1号</w:t>
            </w:r>
          </w:p>
          <w:p w:rsidR="00322620" w:rsidRDefault="0038219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w:t>
            </w:r>
            <w:r w:rsidR="0040011D" w:rsidRPr="0040011D">
              <w:rPr>
                <w:rFonts w:ascii="仿宋" w:eastAsia="仿宋" w:hAnsi="仿宋" w:hint="eastAsia"/>
                <w:b/>
                <w:bCs/>
                <w:szCs w:val="21"/>
              </w:rPr>
              <w:t>华夏理财悦嘉封闭式1号280天</w:t>
            </w:r>
            <w:r>
              <w:rPr>
                <w:rFonts w:ascii="仿宋" w:eastAsia="仿宋" w:hAnsi="仿宋" w:hint="eastAsia"/>
                <w:b/>
                <w:bCs/>
                <w:szCs w:val="21"/>
              </w:rPr>
              <w:t>A”</w:t>
            </w:r>
          </w:p>
          <w:p w:rsidR="003E19F9" w:rsidRDefault="00382196" w:rsidP="0040011D">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w:t>
            </w:r>
            <w:r w:rsidR="0040011D" w:rsidRPr="0040011D">
              <w:rPr>
                <w:rFonts w:ascii="仿宋" w:eastAsia="仿宋" w:hAnsi="仿宋" w:hint="eastAsia"/>
                <w:b/>
                <w:bCs/>
                <w:szCs w:val="21"/>
              </w:rPr>
              <w:t>华夏理财悦嘉封闭式1号280天</w:t>
            </w:r>
            <w:r>
              <w:rPr>
                <w:rFonts w:ascii="仿宋" w:eastAsia="仿宋" w:hAnsi="仿宋" w:hint="eastAsia"/>
                <w:b/>
                <w:bCs/>
                <w:szCs w:val="21"/>
              </w:rPr>
              <w:t>B”</w:t>
            </w:r>
          </w:p>
        </w:tc>
      </w:tr>
      <w:tr w:rsidR="00322620">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jc w:val="center"/>
              <w:rPr>
                <w:rFonts w:ascii="仿宋" w:eastAsia="仿宋" w:hAnsi="仿宋"/>
                <w:bCs/>
                <w:szCs w:val="21"/>
              </w:rPr>
            </w:pPr>
            <w:r w:rsidRPr="0040011D">
              <w:rPr>
                <w:rFonts w:ascii="仿宋" w:eastAsia="仿宋" w:hAnsi="仿宋"/>
                <w:bCs/>
                <w:szCs w:val="21"/>
              </w:rPr>
              <w:t>23161001</w:t>
            </w:r>
          </w:p>
        </w:tc>
      </w:tr>
      <w:tr w:rsidR="0032262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40011D" w:rsidRPr="0040011D">
              <w:rPr>
                <w:rFonts w:ascii="仿宋" w:eastAsia="仿宋" w:hAnsi="仿宋"/>
                <w:bCs/>
                <w:szCs w:val="21"/>
              </w:rPr>
              <w:t>23161001</w:t>
            </w:r>
            <w:r>
              <w:rPr>
                <w:rFonts w:ascii="仿宋" w:eastAsia="仿宋" w:hAnsi="仿宋" w:hint="eastAsia"/>
                <w:bCs/>
                <w:szCs w:val="21"/>
              </w:rPr>
              <w:t>A</w:t>
            </w:r>
          </w:p>
          <w:p w:rsidR="003E19F9" w:rsidRDefault="00382196" w:rsidP="0040011D">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40011D" w:rsidRPr="0040011D">
              <w:rPr>
                <w:rFonts w:ascii="仿宋" w:eastAsia="仿宋" w:hAnsi="仿宋"/>
                <w:bCs/>
                <w:szCs w:val="21"/>
              </w:rPr>
              <w:t>23161001</w:t>
            </w:r>
            <w:r>
              <w:rPr>
                <w:rFonts w:ascii="仿宋" w:eastAsia="仿宋" w:hAnsi="仿宋" w:hint="eastAsia"/>
                <w:bCs/>
                <w:szCs w:val="21"/>
              </w:rPr>
              <w:t>B</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keepNext/>
              <w:adjustRightInd w:val="0"/>
              <w:snapToGrid w:val="0"/>
              <w:spacing w:line="300" w:lineRule="exact"/>
              <w:jc w:val="center"/>
              <w:rPr>
                <w:rFonts w:ascii="仿宋" w:eastAsia="仿宋" w:hAnsi="仿宋"/>
                <w:bCs/>
                <w:szCs w:val="21"/>
              </w:rPr>
            </w:pPr>
            <w:r w:rsidRPr="0040011D">
              <w:rPr>
                <w:rFonts w:ascii="仿宋" w:eastAsia="仿宋" w:hAnsi="仿宋"/>
                <w:bCs/>
                <w:szCs w:val="21"/>
              </w:rPr>
              <w:t>Z7003923000112</w:t>
            </w:r>
          </w:p>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hAnsi="仿宋"/>
              </w:rPr>
              <w:t xml:space="preserve"> </w:t>
            </w:r>
            <w:r>
              <w:rPr>
                <w:rFonts w:ascii="仿宋" w:eastAsia="仿宋" w:hAnsi="仿宋" w:hint="eastAsia"/>
                <w:bCs/>
                <w:szCs w:val="21"/>
              </w:rPr>
              <w:t>PR2级（中低风险）</w:t>
            </w:r>
            <w:r>
              <w:rPr>
                <w:rFonts w:ascii="仿宋" w:hAnsi="仿宋"/>
              </w:rPr>
              <w:t xml:space="preserve"> </w:t>
            </w:r>
            <w:r>
              <w:rPr>
                <w:rFonts w:ascii="仿宋" w:eastAsia="仿宋" w:hAnsi="仿宋"/>
                <w:bCs/>
                <w:szCs w:val="21"/>
              </w:rPr>
              <w:t>理财产品。</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hAnsi="仿宋"/>
                <w:b/>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szCs w:val="21"/>
              </w:rPr>
              <w:t>。</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个人投资者、机构投资</w:t>
            </w:r>
            <w:r>
              <w:rPr>
                <w:rFonts w:ascii="仿宋" w:eastAsia="仿宋" w:hAnsi="仿宋"/>
                <w:bCs/>
                <w:szCs w:val="21"/>
              </w:rPr>
              <w:t>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 xml:space="preserve"> CR2（稳健型）、CR3（平衡型）、CR4（进取型）、CR5（激进型）</w:t>
            </w:r>
            <w:r>
              <w:rPr>
                <w:rFonts w:ascii="仿宋" w:hAnsi="仿宋"/>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cs="仿宋" w:hint="eastAsia"/>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40011D" w:rsidRPr="0040011D" w:rsidRDefault="00382196" w:rsidP="0040011D">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40011D" w:rsidRPr="0040011D">
              <w:rPr>
                <w:rFonts w:ascii="仿宋" w:eastAsia="仿宋" w:hAnsi="仿宋" w:cs="Cambria"/>
                <w:bCs/>
                <w:szCs w:val="21"/>
              </w:rPr>
              <w:t>3.30%-4.00%</w:t>
            </w:r>
            <w:r>
              <w:rPr>
                <w:rFonts w:ascii="仿宋" w:eastAsia="仿宋" w:hAnsi="仿宋" w:cs="Cambria" w:hint="eastAsia"/>
                <w:bCs/>
                <w:szCs w:val="21"/>
              </w:rPr>
              <w:t>（年化）</w:t>
            </w:r>
            <w:r w:rsidR="00B2731B">
              <w:rPr>
                <w:rFonts w:ascii="仿宋" w:eastAsia="仿宋" w:hAnsi="仿宋" w:cs="Cambria" w:hint="eastAsia"/>
                <w:bCs/>
                <w:szCs w:val="21"/>
              </w:rPr>
              <w:t>；</w:t>
            </w:r>
            <w:r>
              <w:rPr>
                <w:rFonts w:ascii="仿宋" w:eastAsia="仿宋" w:hAnsi="仿宋" w:cs="Cambria" w:hint="eastAsia"/>
                <w:bCs/>
                <w:szCs w:val="21"/>
              </w:rPr>
              <w:t>B份额：业绩</w:t>
            </w:r>
            <w:r>
              <w:rPr>
                <w:rFonts w:ascii="仿宋" w:eastAsia="仿宋" w:hAnsi="仿宋" w:hint="eastAsia"/>
                <w:bCs/>
                <w:szCs w:val="21"/>
              </w:rPr>
              <w:t>比较</w:t>
            </w:r>
            <w:r>
              <w:rPr>
                <w:rFonts w:ascii="仿宋" w:eastAsia="仿宋" w:hAnsi="仿宋" w:cs="Cambria" w:hint="eastAsia"/>
                <w:bCs/>
                <w:szCs w:val="21"/>
              </w:rPr>
              <w:t>基准为</w:t>
            </w:r>
            <w:r w:rsidR="0040011D" w:rsidRPr="0040011D">
              <w:rPr>
                <w:rFonts w:ascii="仿宋" w:eastAsia="仿宋" w:hAnsi="仿宋" w:cs="Cambria"/>
                <w:bCs/>
                <w:szCs w:val="21"/>
              </w:rPr>
              <w:t>3.20%-3.90%</w:t>
            </w:r>
            <w:r>
              <w:rPr>
                <w:rFonts w:ascii="仿宋" w:eastAsia="仿宋" w:hAnsi="仿宋" w:cs="Cambria" w:hint="eastAsia"/>
                <w:bCs/>
                <w:szCs w:val="21"/>
              </w:rPr>
              <w:t>（年化）。</w:t>
            </w:r>
            <w:r w:rsidR="0040011D" w:rsidRPr="0040011D">
              <w:rPr>
                <w:rFonts w:ascii="仿宋" w:eastAsia="仿宋" w:hAnsi="仿宋" w:cs="Cambria" w:hint="eastAsia"/>
                <w:bCs/>
                <w:szCs w:val="21"/>
              </w:rPr>
              <w:t>以产品投资利率债</w:t>
            </w:r>
            <w:proofErr w:type="gramStart"/>
            <w:r w:rsidR="0040011D" w:rsidRPr="0040011D">
              <w:rPr>
                <w:rFonts w:ascii="仿宋" w:eastAsia="仿宋" w:hAnsi="仿宋" w:cs="Cambria" w:hint="eastAsia"/>
                <w:bCs/>
                <w:szCs w:val="21"/>
              </w:rPr>
              <w:t>仓位</w:t>
            </w:r>
            <w:proofErr w:type="gramEnd"/>
            <w:r w:rsidR="0040011D" w:rsidRPr="0040011D">
              <w:rPr>
                <w:rFonts w:ascii="仿宋" w:eastAsia="仿宋" w:hAnsi="仿宋" w:cs="Cambria" w:hint="eastAsia"/>
                <w:bCs/>
                <w:szCs w:val="21"/>
              </w:rPr>
              <w:t>5%-10%，信用债</w:t>
            </w:r>
            <w:proofErr w:type="gramStart"/>
            <w:r w:rsidR="0040011D" w:rsidRPr="0040011D">
              <w:rPr>
                <w:rFonts w:ascii="仿宋" w:eastAsia="仿宋" w:hAnsi="仿宋" w:cs="Cambria" w:hint="eastAsia"/>
                <w:bCs/>
                <w:szCs w:val="21"/>
              </w:rPr>
              <w:t>仓位</w:t>
            </w:r>
            <w:proofErr w:type="gramEnd"/>
            <w:r w:rsidR="0040011D" w:rsidRPr="0040011D">
              <w:rPr>
                <w:rFonts w:ascii="仿宋" w:eastAsia="仿宋" w:hAnsi="仿宋" w:cs="Cambria" w:hint="eastAsia"/>
                <w:bCs/>
                <w:szCs w:val="21"/>
              </w:rPr>
              <w:t>80%-100%，非标债权类资产</w:t>
            </w:r>
            <w:proofErr w:type="gramStart"/>
            <w:r w:rsidR="0040011D" w:rsidRPr="0040011D">
              <w:rPr>
                <w:rFonts w:ascii="仿宋" w:eastAsia="仿宋" w:hAnsi="仿宋" w:cs="Cambria" w:hint="eastAsia"/>
                <w:bCs/>
                <w:szCs w:val="21"/>
              </w:rPr>
              <w:t>仓位</w:t>
            </w:r>
            <w:proofErr w:type="gramEnd"/>
            <w:r w:rsidR="0040011D" w:rsidRPr="0040011D">
              <w:rPr>
                <w:rFonts w:ascii="仿宋" w:eastAsia="仿宋" w:hAnsi="仿宋" w:cs="Cambria" w:hint="eastAsia"/>
                <w:bCs/>
                <w:szCs w:val="21"/>
              </w:rPr>
              <w:t>0-45%，权益类资产</w:t>
            </w:r>
            <w:proofErr w:type="gramStart"/>
            <w:r w:rsidR="0040011D" w:rsidRPr="0040011D">
              <w:rPr>
                <w:rFonts w:ascii="仿宋" w:eastAsia="仿宋" w:hAnsi="仿宋" w:cs="Cambria" w:hint="eastAsia"/>
                <w:bCs/>
                <w:szCs w:val="21"/>
              </w:rPr>
              <w:t>仓位</w:t>
            </w:r>
            <w:proofErr w:type="gramEnd"/>
            <w:r w:rsidR="0040011D" w:rsidRPr="0040011D">
              <w:rPr>
                <w:rFonts w:ascii="仿宋" w:eastAsia="仿宋" w:hAnsi="仿宋" w:cs="Cambria" w:hint="eastAsia"/>
                <w:bCs/>
                <w:szCs w:val="21"/>
              </w:rPr>
              <w:t>0-10%，组合杠杆率100%-120%为例，参考中债-国债总财富指数、中债-</w:t>
            </w:r>
            <w:proofErr w:type="gramStart"/>
            <w:r w:rsidR="0040011D" w:rsidRPr="0040011D">
              <w:rPr>
                <w:rFonts w:ascii="仿宋" w:eastAsia="仿宋" w:hAnsi="仿宋" w:cs="Cambria" w:hint="eastAsia"/>
                <w:bCs/>
                <w:szCs w:val="21"/>
              </w:rPr>
              <w:t>信用债总财富</w:t>
            </w:r>
            <w:proofErr w:type="gramEnd"/>
            <w:r w:rsidR="0040011D" w:rsidRPr="0040011D">
              <w:rPr>
                <w:rFonts w:ascii="仿宋" w:eastAsia="仿宋" w:hAnsi="仿宋" w:cs="Cambria" w:hint="eastAsia"/>
                <w:bCs/>
                <w:szCs w:val="21"/>
              </w:rPr>
              <w:t>指数、Wind混合型基金总指数以及期限匹配的非标债权类资产目标收益率，结合产品债券</w:t>
            </w:r>
            <w:proofErr w:type="gramStart"/>
            <w:r w:rsidR="0040011D" w:rsidRPr="0040011D">
              <w:rPr>
                <w:rFonts w:ascii="仿宋" w:eastAsia="仿宋" w:hAnsi="仿宋" w:cs="Cambria" w:hint="eastAsia"/>
                <w:bCs/>
                <w:szCs w:val="21"/>
              </w:rPr>
              <w:t>组合久期不</w:t>
            </w:r>
            <w:proofErr w:type="gramEnd"/>
            <w:r w:rsidR="0040011D" w:rsidRPr="0040011D">
              <w:rPr>
                <w:rFonts w:ascii="仿宋" w:eastAsia="仿宋" w:hAnsi="仿宋" w:cs="Cambria" w:hint="eastAsia"/>
                <w:bCs/>
                <w:szCs w:val="21"/>
              </w:rPr>
              <w:t>超过1.5年、权益部分设置止盈止</w:t>
            </w:r>
            <w:proofErr w:type="gramStart"/>
            <w:r w:rsidR="0040011D" w:rsidRPr="0040011D">
              <w:rPr>
                <w:rFonts w:ascii="仿宋" w:eastAsia="仿宋" w:hAnsi="仿宋" w:cs="Cambria" w:hint="eastAsia"/>
                <w:bCs/>
                <w:szCs w:val="21"/>
              </w:rPr>
              <w:t>损机制</w:t>
            </w:r>
            <w:proofErr w:type="gramEnd"/>
            <w:r w:rsidR="0040011D" w:rsidRPr="0040011D">
              <w:rPr>
                <w:rFonts w:ascii="仿宋" w:eastAsia="仿宋" w:hAnsi="仿宋" w:cs="Cambria" w:hint="eastAsia"/>
                <w:bCs/>
                <w:szCs w:val="21"/>
              </w:rPr>
              <w:t>的投资策略并扣除各项费用后，综合测算得出上述业绩比较基准。测算示例仅供参考，具体资产投资比例可根据各类资产的收益水平、流动性特征、信用风险等因素动态调整。</w:t>
            </w:r>
          </w:p>
          <w:p w:rsidR="00322620" w:rsidRDefault="0040011D">
            <w:pPr>
              <w:adjustRightInd w:val="0"/>
              <w:snapToGrid w:val="0"/>
              <w:spacing w:line="240" w:lineRule="atLeast"/>
              <w:ind w:firstLineChars="200" w:firstLine="420"/>
              <w:rPr>
                <w:rFonts w:ascii="仿宋" w:eastAsia="仿宋" w:hAnsi="仿宋" w:cs="Cambria"/>
                <w:bCs/>
                <w:szCs w:val="21"/>
              </w:rPr>
            </w:pPr>
            <w:r w:rsidRPr="0040011D">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322620" w:rsidRDefault="00382196" w:rsidP="0040011D">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华夏理财有权根据市场情况及产品运作情况调整业绩比较基准，并至少于新业绩比较基准启用前3个工作日公告。</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Cs/>
                <w:szCs w:val="21"/>
              </w:rPr>
            </w:pPr>
            <w:bookmarkStart w:id="3" w:name="OLE_LINK3" w:colFirst="1" w:colLast="1"/>
            <w:bookmarkStart w:id="4" w:name="OLE_LINK2"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rsidP="00AC56CD">
            <w:pPr>
              <w:keepNext/>
              <w:adjustRightInd w:val="0"/>
              <w:snapToGrid w:val="0"/>
              <w:spacing w:line="300" w:lineRule="exact"/>
              <w:ind w:firstLineChars="200" w:firstLine="420"/>
              <w:rPr>
                <w:rFonts w:ascii="仿宋" w:eastAsia="仿宋" w:hAnsi="仿宋"/>
                <w:bCs/>
                <w:szCs w:val="21"/>
              </w:rPr>
            </w:pPr>
            <w:r w:rsidRPr="0040011D">
              <w:rPr>
                <w:rFonts w:ascii="仿宋" w:eastAsia="仿宋" w:hAnsi="仿宋" w:hint="eastAsia"/>
                <w:bCs/>
                <w:szCs w:val="21"/>
              </w:rPr>
              <w:t>2023年3月28日</w:t>
            </w:r>
            <w:r w:rsidR="00382196">
              <w:rPr>
                <w:rFonts w:ascii="仿宋" w:eastAsia="仿宋" w:hAnsi="仿宋"/>
                <w:bCs/>
                <w:szCs w:val="21"/>
              </w:rPr>
              <w:t>－</w:t>
            </w:r>
            <w:r w:rsidRPr="0040011D">
              <w:rPr>
                <w:rFonts w:ascii="仿宋" w:eastAsia="仿宋" w:hAnsi="仿宋" w:hint="eastAsia"/>
                <w:bCs/>
                <w:szCs w:val="21"/>
              </w:rPr>
              <w:t>2023年4月3日</w:t>
            </w:r>
            <w:r w:rsidR="00382196">
              <w:rPr>
                <w:rFonts w:ascii="仿宋" w:eastAsia="仿宋" w:hAnsi="仿宋"/>
                <w:bCs/>
                <w:szCs w:val="21"/>
              </w:rPr>
              <w:t>（含）</w:t>
            </w:r>
            <w:r w:rsidR="00382196">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382196">
              <w:rPr>
                <w:rFonts w:ascii="仿宋" w:eastAsia="仿宋" w:hAnsi="仿宋"/>
                <w:bCs/>
                <w:szCs w:val="21"/>
              </w:rPr>
              <w:t>）</w:t>
            </w:r>
          </w:p>
        </w:tc>
      </w:tr>
      <w:bookmarkEnd w:id="3"/>
      <w:bookmarkEnd w:id="4"/>
      <w:bookmarkEnd w:id="5"/>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ind w:firstLineChars="200" w:firstLine="420"/>
              <w:rPr>
                <w:rFonts w:ascii="仿宋" w:eastAsia="仿宋" w:hAnsi="仿宋"/>
                <w:bCs/>
                <w:szCs w:val="21"/>
              </w:rPr>
            </w:pPr>
            <w:r w:rsidRPr="0040011D">
              <w:rPr>
                <w:rFonts w:ascii="仿宋" w:eastAsia="仿宋" w:hAnsi="仿宋" w:hint="eastAsia"/>
                <w:bCs/>
                <w:szCs w:val="21"/>
              </w:rPr>
              <w:t>2023年4月4日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ind w:firstLineChars="200" w:firstLine="420"/>
              <w:rPr>
                <w:rFonts w:ascii="仿宋" w:eastAsia="仿宋" w:hAnsi="仿宋"/>
                <w:bCs/>
                <w:szCs w:val="21"/>
              </w:rPr>
            </w:pPr>
            <w:r w:rsidRPr="0040011D">
              <w:rPr>
                <w:rFonts w:ascii="仿宋" w:eastAsia="仿宋" w:hAnsi="仿宋"/>
                <w:bCs/>
                <w:szCs w:val="21"/>
              </w:rPr>
              <w:t>280</w:t>
            </w:r>
            <w:r w:rsidR="00382196">
              <w:rPr>
                <w:rFonts w:ascii="仿宋" w:eastAsia="仿宋" w:hAnsi="仿宋" w:hint="eastAsia"/>
                <w:bCs/>
                <w:szCs w:val="21"/>
              </w:rPr>
              <w:t>天</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ind w:firstLineChars="200" w:firstLine="420"/>
              <w:rPr>
                <w:rFonts w:ascii="仿宋" w:eastAsia="仿宋" w:hAnsi="仿宋"/>
                <w:bCs/>
                <w:szCs w:val="21"/>
              </w:rPr>
            </w:pPr>
            <w:r w:rsidRPr="0040011D">
              <w:rPr>
                <w:rFonts w:ascii="仿宋" w:eastAsia="仿宋" w:hAnsi="仿宋" w:hint="eastAsia"/>
                <w:bCs/>
                <w:szCs w:val="21"/>
              </w:rPr>
              <w:t>2024年1月9日</w:t>
            </w:r>
            <w:r w:rsidR="00382196">
              <w:rPr>
                <w:rFonts w:ascii="仿宋" w:eastAsia="仿宋" w:hAnsi="仿宋" w:hint="eastAsia"/>
                <w:bCs/>
                <w:szCs w:val="21"/>
              </w:rPr>
              <w:t>理财产品正常到期，到期日如为非工作日，则顺延至下一工作日。如理财产品因故提前或延迟到期的，则终止日以华夏理财发布的公告</w:t>
            </w:r>
            <w:r w:rsidR="00382196">
              <w:rPr>
                <w:rFonts w:ascii="仿宋" w:eastAsia="仿宋" w:hAnsi="仿宋" w:hint="eastAsia"/>
                <w:bCs/>
                <w:szCs w:val="21"/>
              </w:rPr>
              <w:lastRenderedPageBreak/>
              <w:t>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322620" w:rsidRDefault="00382196">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hAnsi="仿宋"/>
              </w:rPr>
            </w:pPr>
            <w:r>
              <w:rPr>
                <w:rFonts w:ascii="仿宋" w:eastAsia="仿宋" w:hAnsi="仿宋" w:hint="eastAsia"/>
                <w:bCs/>
                <w:szCs w:val="21"/>
              </w:rPr>
              <w:t>面向全国发行</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40011D" w:rsidRPr="0040011D">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sidR="0040011D">
              <w:rPr>
                <w:rFonts w:ascii="仿宋" w:eastAsia="仿宋" w:hAnsi="仿宋"/>
                <w:bCs/>
                <w:szCs w:val="21"/>
              </w:rPr>
              <w:t>,</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32262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521CA" w:rsidRDefault="00382196" w:rsidP="0040011D">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322620" w:rsidRDefault="00382196">
            <w:pPr>
              <w:adjustRightInd w:val="0"/>
              <w:snapToGrid w:val="0"/>
              <w:spacing w:line="240" w:lineRule="atLeas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5521CA">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32262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322620" w:rsidRDefault="00382196">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华夏理财将于2个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szCs w:val="21"/>
              </w:rPr>
            </w:pPr>
            <w:r>
              <w:rPr>
                <w:rFonts w:ascii="仿宋" w:eastAsia="仿宋" w:hAnsi="仿宋" w:hint="eastAsia"/>
                <w:b/>
                <w:szCs w:val="21"/>
              </w:rPr>
              <w:t>本理财产品不收取认购费。</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5521CA">
            <w:pPr>
              <w:adjustRightInd w:val="0"/>
              <w:snapToGrid w:val="0"/>
              <w:spacing w:line="300" w:lineRule="exact"/>
              <w:ind w:firstLineChars="200" w:firstLine="422"/>
              <w:jc w:val="left"/>
              <w:rPr>
                <w:rFonts w:ascii="仿宋" w:eastAsia="仿宋" w:hAnsi="仿宋" w:cs="Cambria"/>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40011D" w:rsidRPr="0040011D">
              <w:rPr>
                <w:rFonts w:ascii="仿宋" w:eastAsia="仿宋" w:hAnsi="仿宋"/>
                <w:b/>
                <w:szCs w:val="21"/>
              </w:rPr>
              <w:t>0.20%</w:t>
            </w:r>
            <w:r>
              <w:rPr>
                <w:rFonts w:ascii="仿宋" w:eastAsia="仿宋" w:hAnsi="仿宋" w:hint="eastAsia"/>
                <w:b/>
                <w:szCs w:val="21"/>
              </w:rPr>
              <w:t>/年，以前一日资产净值为基数，每日计提。</w:t>
            </w:r>
          </w:p>
          <w:p w:rsidR="005521CA" w:rsidRDefault="00382196" w:rsidP="0040011D">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5521CA" w:rsidRPr="005521CA">
              <w:rPr>
                <w:rFonts w:ascii="仿宋" w:eastAsia="仿宋" w:hAnsi="仿宋"/>
                <w:b/>
                <w:szCs w:val="21"/>
              </w:rPr>
              <w:t>0.30%</w:t>
            </w:r>
            <w:r>
              <w:rPr>
                <w:rFonts w:ascii="仿宋" w:eastAsia="仿宋" w:hAnsi="仿宋" w:hint="eastAsia"/>
                <w:b/>
                <w:szCs w:val="21"/>
              </w:rPr>
              <w:t>/年，以前一日资产净值为基数，每日计提。</w:t>
            </w:r>
          </w:p>
          <w:p w:rsidR="00322620" w:rsidRDefault="00382196">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（销售手续费由销售服务机构收取。）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40011D">
            <w:pPr>
              <w:adjustRightInd w:val="0"/>
              <w:snapToGrid w:val="0"/>
              <w:spacing w:line="240" w:lineRule="atLeast"/>
              <w:ind w:firstLine="420"/>
              <w:jc w:val="left"/>
              <w:rPr>
                <w:rFonts w:ascii="仿宋" w:eastAsia="仿宋" w:hAnsi="仿宋"/>
                <w:b/>
                <w:szCs w:val="21"/>
              </w:rPr>
            </w:pPr>
            <w:r w:rsidRPr="0040011D">
              <w:rPr>
                <w:rFonts w:ascii="仿宋" w:eastAsia="仿宋" w:hAnsi="仿宋"/>
                <w:b/>
                <w:szCs w:val="21"/>
              </w:rPr>
              <w:t>0.20%</w:t>
            </w:r>
            <w:r w:rsidR="00382196">
              <w:rPr>
                <w:rFonts w:ascii="仿宋" w:eastAsia="仿宋" w:hAnsi="仿宋" w:hint="eastAsia"/>
                <w:b/>
                <w:szCs w:val="21"/>
              </w:rPr>
              <w:t>/年，以前一日资产净值为基数，每日计提。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40011D" w:rsidRPr="0040011D">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5521CA" w:rsidRPr="005521CA">
              <w:rPr>
                <w:rFonts w:ascii="仿宋" w:eastAsia="仿宋" w:hAnsi="仿宋" w:cs="Cambria"/>
                <w:b/>
                <w:szCs w:val="21"/>
              </w:rPr>
              <w:t>4.00%</w:t>
            </w:r>
            <w:r>
              <w:rPr>
                <w:rFonts w:ascii="仿宋" w:eastAsia="仿宋" w:hAnsi="仿宋" w:cs="Cambria" w:hint="eastAsia"/>
                <w:b/>
                <w:szCs w:val="21"/>
              </w:rPr>
              <w:t>（年化）；B份额超额管理费计提基准为</w:t>
            </w:r>
            <w:r w:rsidR="0040011D" w:rsidRPr="0040011D">
              <w:rPr>
                <w:rFonts w:ascii="仿宋" w:eastAsia="仿宋" w:hAnsi="仿宋" w:cs="Cambria"/>
                <w:b/>
                <w:szCs w:val="21"/>
              </w:rPr>
              <w:t>3.90%</w:t>
            </w:r>
            <w:r>
              <w:rPr>
                <w:rFonts w:ascii="仿宋" w:eastAsia="仿宋" w:hAnsi="仿宋" w:cs="Cambria" w:hint="eastAsia"/>
                <w:b/>
                <w:szCs w:val="21"/>
              </w:rPr>
              <w:t>（年化）。</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322620" w:rsidRDefault="00382196">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4</w:t>
            </w:r>
            <w:r>
              <w:rPr>
                <w:rFonts w:ascii="仿宋" w:eastAsia="仿宋" w:hAnsi="仿宋" w:hint="eastAsia"/>
                <w:bCs/>
                <w:szCs w:val="21"/>
              </w:rPr>
              <w:t>位，小数点后第</w:t>
            </w:r>
            <w:r>
              <w:rPr>
                <w:rFonts w:ascii="仿宋" w:eastAsia="仿宋" w:hAnsi="仿宋"/>
                <w:bCs/>
                <w:szCs w:val="21"/>
              </w:rPr>
              <w:t>5</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322620"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32262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jc w:val="left"/>
              <w:rPr>
                <w:rFonts w:ascii="仿宋" w:hAnsi="仿宋"/>
                <w:kern w:val="0"/>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cs="Cambria"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本说明书中所写的“确认日”、“到账日”，除非特别说明均为工作日，</w:t>
            </w:r>
            <w:proofErr w:type="gramStart"/>
            <w:r>
              <w:rPr>
                <w:rFonts w:ascii="仿宋" w:eastAsia="仿宋" w:hAnsi="仿宋" w:cs="Cambria" w:hint="eastAsia"/>
                <w:bCs/>
                <w:szCs w:val="21"/>
              </w:rPr>
              <w:t>若遇非工作日</w:t>
            </w:r>
            <w:proofErr w:type="gramEnd"/>
            <w:r>
              <w:rPr>
                <w:rFonts w:ascii="仿宋" w:eastAsia="仿宋" w:hAnsi="仿宋" w:cs="Cambria" w:hint="eastAsia"/>
                <w:bCs/>
                <w:szCs w:val="21"/>
              </w:rPr>
              <w:t>顺延至下一工作日。</w:t>
            </w:r>
          </w:p>
          <w:p w:rsidR="00322620" w:rsidRDefault="00382196">
            <w:pPr>
              <w:adjustRightInd w:val="0"/>
              <w:snapToGrid w:val="0"/>
              <w:spacing w:line="300" w:lineRule="exact"/>
              <w:ind w:right="-44" w:firstLineChars="200" w:firstLine="420"/>
              <w:jc w:val="left"/>
              <w:rPr>
                <w:rFonts w:ascii="仿宋" w:eastAsia="仿宋" w:hAnsi="仿宋"/>
                <w:bCs/>
                <w:szCs w:val="21"/>
              </w:rPr>
            </w:pPr>
            <w:r>
              <w:rPr>
                <w:rFonts w:ascii="仿宋" w:eastAsia="仿宋" w:hAnsi="仿宋" w:cs="Cambria" w:hint="eastAsia"/>
                <w:bCs/>
                <w:szCs w:val="21"/>
              </w:rPr>
              <w:t>指上海证券交易所和深圳证券交易所的交易日，且同时为银行对外办理一般对公业务的工作日。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322620" w:rsidRDefault="00382196">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322620" w:rsidRDefault="00382196">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322620">
        <w:trPr>
          <w:trHeight w:val="36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32262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本产品主要投资于货币市场工具、标准化债权类资产、非标准化债权类资产等固定收益类资产，权益类资产，商品及金融衍生品类资产。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w:t>
      </w:r>
      <w:r>
        <w:rPr>
          <w:rFonts w:ascii="仿宋" w:eastAsia="仿宋" w:hAnsi="仿宋" w:cs="宋体" w:hint="eastAsia"/>
          <w:color w:val="000000"/>
          <w:kern w:val="0"/>
          <w:sz w:val="24"/>
        </w:rPr>
        <w:lastRenderedPageBreak/>
        <w:t>一年以内（含一年）的债券回购、期限在一年以内（含一年）的中央银行票据以及中国人民银行、中国银保监会认可的其他具有良好流动性的金融工具；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各类资产投资比例如下：</w:t>
      </w:r>
    </w:p>
    <w:tbl>
      <w:tblPr>
        <w:tblW w:w="833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5"/>
        <w:gridCol w:w="2651"/>
      </w:tblGrid>
      <w:tr w:rsidR="00322620" w:rsidTr="005521CA">
        <w:trPr>
          <w:trHeight w:val="447"/>
          <w:tblCellSpacing w:w="0" w:type="dxa"/>
          <w:jc w:val="center"/>
        </w:trPr>
        <w:tc>
          <w:tcPr>
            <w:tcW w:w="5685" w:type="dxa"/>
            <w:vAlign w:val="center"/>
          </w:tcPr>
          <w:p w:rsidR="00322620" w:rsidRDefault="00382196">
            <w:pPr>
              <w:adjustRightInd w:val="0"/>
              <w:snapToGrid w:val="0"/>
              <w:jc w:val="center"/>
              <w:rPr>
                <w:rFonts w:eastAsia="仿宋"/>
                <w:kern w:val="0"/>
                <w:sz w:val="24"/>
              </w:rPr>
            </w:pPr>
            <w:r>
              <w:rPr>
                <w:rFonts w:eastAsia="仿宋" w:hint="eastAsia"/>
                <w:kern w:val="0"/>
                <w:sz w:val="24"/>
              </w:rPr>
              <w:t>资产</w:t>
            </w:r>
            <w:r>
              <w:rPr>
                <w:rFonts w:eastAsia="仿宋"/>
                <w:kern w:val="0"/>
                <w:sz w:val="24"/>
              </w:rPr>
              <w:t>类别</w:t>
            </w:r>
          </w:p>
        </w:tc>
        <w:tc>
          <w:tcPr>
            <w:tcW w:w="2651" w:type="dxa"/>
            <w:vAlign w:val="center"/>
          </w:tcPr>
          <w:p w:rsidR="00322620" w:rsidRDefault="00382196">
            <w:pPr>
              <w:adjustRightInd w:val="0"/>
              <w:snapToGrid w:val="0"/>
              <w:jc w:val="center"/>
              <w:rPr>
                <w:rFonts w:eastAsia="仿宋"/>
                <w:kern w:val="0"/>
                <w:sz w:val="24"/>
              </w:rPr>
            </w:pPr>
            <w:r>
              <w:rPr>
                <w:rFonts w:eastAsia="仿宋"/>
                <w:kern w:val="0"/>
                <w:sz w:val="24"/>
              </w:rPr>
              <w:t>投资比例</w:t>
            </w:r>
          </w:p>
        </w:tc>
      </w:tr>
      <w:tr w:rsidR="00322620" w:rsidTr="005521CA">
        <w:trPr>
          <w:trHeight w:val="447"/>
          <w:tblCellSpacing w:w="0" w:type="dxa"/>
          <w:jc w:val="center"/>
        </w:trPr>
        <w:tc>
          <w:tcPr>
            <w:tcW w:w="5685" w:type="dxa"/>
            <w:vAlign w:val="center"/>
          </w:tcPr>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固定收益类</w:t>
            </w:r>
          </w:p>
        </w:tc>
        <w:tc>
          <w:tcPr>
            <w:tcW w:w="2651" w:type="dxa"/>
            <w:vAlign w:val="center"/>
          </w:tcPr>
          <w:p w:rsidR="00322620" w:rsidRDefault="0040011D" w:rsidP="0040011D">
            <w:pPr>
              <w:adjustRightInd w:val="0"/>
              <w:snapToGrid w:val="0"/>
              <w:spacing w:line="288" w:lineRule="auto"/>
              <w:jc w:val="center"/>
              <w:rPr>
                <w:kern w:val="0"/>
                <w:sz w:val="24"/>
              </w:rPr>
            </w:pPr>
            <w:r>
              <w:rPr>
                <w:rFonts w:ascii="仿宋" w:eastAsia="仿宋" w:hAnsi="仿宋" w:cs="宋体"/>
                <w:color w:val="000000"/>
                <w:kern w:val="0"/>
                <w:sz w:val="24"/>
              </w:rPr>
              <w:t>90</w:t>
            </w:r>
            <w:r>
              <w:rPr>
                <w:rFonts w:ascii="仿宋" w:eastAsia="仿宋" w:hAnsi="仿宋" w:cs="宋体" w:hint="eastAsia"/>
                <w:color w:val="000000"/>
                <w:kern w:val="0"/>
                <w:sz w:val="24"/>
              </w:rPr>
              <w:t>%</w:t>
            </w:r>
            <w:r w:rsidR="00382196">
              <w:rPr>
                <w:rFonts w:ascii="仿宋" w:eastAsia="仿宋" w:hAnsi="仿宋" w:cs="宋体" w:hint="eastAsia"/>
                <w:color w:val="000000"/>
                <w:kern w:val="0"/>
                <w:sz w:val="24"/>
              </w:rPr>
              <w:t>-100%</w:t>
            </w:r>
          </w:p>
        </w:tc>
      </w:tr>
      <w:tr w:rsidR="0040011D" w:rsidTr="005521CA">
        <w:trPr>
          <w:trHeight w:val="447"/>
          <w:tblCellSpacing w:w="0" w:type="dxa"/>
          <w:jc w:val="center"/>
        </w:trPr>
        <w:tc>
          <w:tcPr>
            <w:tcW w:w="5685" w:type="dxa"/>
            <w:vAlign w:val="center"/>
          </w:tcPr>
          <w:p w:rsidR="0040011D" w:rsidRDefault="0040011D">
            <w:pPr>
              <w:adjustRightInd w:val="0"/>
              <w:snapToGrid w:val="0"/>
              <w:spacing w:line="288" w:lineRule="auto"/>
              <w:jc w:val="center"/>
              <w:rPr>
                <w:rFonts w:ascii="仿宋" w:eastAsia="仿宋" w:hAnsi="仿宋" w:cs="宋体" w:hint="eastAsia"/>
                <w:color w:val="000000"/>
                <w:kern w:val="0"/>
                <w:sz w:val="24"/>
              </w:rPr>
            </w:pPr>
            <w:r>
              <w:rPr>
                <w:rFonts w:ascii="仿宋" w:eastAsia="仿宋" w:hAnsi="仿宋" w:cs="宋体" w:hint="eastAsia"/>
                <w:color w:val="000000"/>
                <w:kern w:val="0"/>
                <w:sz w:val="24"/>
              </w:rPr>
              <w:t>权益类</w:t>
            </w:r>
          </w:p>
        </w:tc>
        <w:tc>
          <w:tcPr>
            <w:tcW w:w="2651" w:type="dxa"/>
            <w:vAlign w:val="center"/>
          </w:tcPr>
          <w:p w:rsidR="0040011D" w:rsidRDefault="0040011D" w:rsidP="0040011D">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10</w:t>
            </w:r>
            <w:r>
              <w:rPr>
                <w:rFonts w:ascii="仿宋" w:eastAsia="仿宋" w:hAnsi="仿宋" w:cs="宋体" w:hint="eastAsia"/>
                <w:color w:val="000000"/>
                <w:kern w:val="0"/>
                <w:sz w:val="24"/>
              </w:rPr>
              <w:t>%</w:t>
            </w:r>
          </w:p>
        </w:tc>
      </w:tr>
      <w:tr w:rsidR="00322620" w:rsidTr="005521CA">
        <w:trPr>
          <w:trHeight w:val="411"/>
          <w:tblCellSpacing w:w="0" w:type="dxa"/>
          <w:jc w:val="center"/>
        </w:trPr>
        <w:tc>
          <w:tcPr>
            <w:tcW w:w="5685" w:type="dxa"/>
            <w:vAlign w:val="center"/>
          </w:tcPr>
          <w:p w:rsidR="00322620" w:rsidRDefault="00382196">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商品及金融衍生品类</w:t>
            </w:r>
          </w:p>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（商品及金融衍生品类资产投资须符合监管要求）</w:t>
            </w:r>
          </w:p>
        </w:tc>
        <w:tc>
          <w:tcPr>
            <w:tcW w:w="2651" w:type="dxa"/>
            <w:vAlign w:val="center"/>
          </w:tcPr>
          <w:p w:rsidR="00322620" w:rsidRDefault="00382196">
            <w:pPr>
              <w:adjustRightInd w:val="0"/>
              <w:snapToGrid w:val="0"/>
              <w:spacing w:line="288" w:lineRule="auto"/>
              <w:jc w:val="center"/>
              <w:rPr>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5</w:t>
            </w:r>
            <w:r>
              <w:rPr>
                <w:rFonts w:ascii="仿宋" w:eastAsia="仿宋" w:hAnsi="仿宋" w:cs="宋体" w:hint="eastAsia"/>
                <w:color w:val="000000"/>
                <w:kern w:val="0"/>
                <w:sz w:val="24"/>
              </w:rPr>
              <w:t>%</w:t>
            </w:r>
          </w:p>
        </w:tc>
      </w:tr>
    </w:tbl>
    <w:p w:rsidR="00322620" w:rsidRDefault="0032262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322620" w:rsidRDefault="00382196">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kern w:val="0"/>
          <w:sz w:val="24"/>
        </w:rPr>
        <w:t>本理财产品可以按照监管部门相关规定开展回购业务。</w:t>
      </w:r>
    </w:p>
    <w:p w:rsidR="00240267" w:rsidRDefault="00240267" w:rsidP="00240267">
      <w:pPr>
        <w:widowControl/>
        <w:adjustRightInd w:val="0"/>
        <w:snapToGrid w:val="0"/>
        <w:spacing w:line="276" w:lineRule="auto"/>
        <w:ind w:firstLineChars="200" w:firstLine="482"/>
        <w:contextualSpacing/>
        <w:rPr>
          <w:rFonts w:ascii="仿宋" w:eastAsia="仿宋" w:hAnsi="仿宋" w:cs="宋体" w:hint="eastAsia"/>
          <w:b/>
          <w:bCs/>
          <w:color w:val="000000"/>
          <w:kern w:val="0"/>
          <w:sz w:val="24"/>
        </w:rPr>
      </w:pPr>
      <w:r>
        <w:rPr>
          <w:rFonts w:ascii="仿宋" w:eastAsia="仿宋" w:hAnsi="仿宋" w:cs="宋体" w:hint="eastAsia"/>
          <w:b/>
          <w:bCs/>
          <w:color w:val="000000"/>
          <w:kern w:val="0"/>
          <w:sz w:val="24"/>
        </w:rPr>
        <w:t>投资策略</w:t>
      </w:r>
      <w:r w:rsidR="003F1A6A">
        <w:rPr>
          <w:rFonts w:ascii="仿宋" w:eastAsia="仿宋" w:hAnsi="仿宋" w:cs="宋体" w:hint="eastAsia"/>
          <w:b/>
          <w:bCs/>
          <w:color w:val="000000"/>
          <w:kern w:val="0"/>
          <w:sz w:val="24"/>
        </w:rPr>
        <w:t>：</w:t>
      </w:r>
    </w:p>
    <w:p w:rsidR="00322620" w:rsidRDefault="003F1A6A" w:rsidP="00240267">
      <w:pPr>
        <w:widowControl/>
        <w:adjustRightInd w:val="0"/>
        <w:snapToGrid w:val="0"/>
        <w:spacing w:line="276" w:lineRule="auto"/>
        <w:ind w:firstLineChars="200" w:firstLine="480"/>
        <w:contextualSpacing/>
        <w:rPr>
          <w:rFonts w:ascii="仿宋" w:eastAsia="仿宋" w:hAnsi="仿宋" w:cs="宋体"/>
          <w:b/>
          <w:bCs/>
          <w:color w:val="000000"/>
          <w:kern w:val="0"/>
          <w:sz w:val="24"/>
        </w:rPr>
      </w:pPr>
      <w:r w:rsidRPr="003F1A6A">
        <w:rPr>
          <w:rFonts w:ascii="仿宋" w:eastAsia="仿宋" w:hAnsi="仿宋" w:cs="宋体" w:hint="eastAsia"/>
          <w:kern w:val="0"/>
          <w:sz w:val="24"/>
        </w:rPr>
        <w:t>管理人投资权益类资产时，以</w:t>
      </w:r>
      <w:r>
        <w:rPr>
          <w:rFonts w:ascii="仿宋" w:eastAsia="仿宋" w:hAnsi="仿宋" w:cs="宋体" w:hint="eastAsia"/>
          <w:color w:val="000000"/>
          <w:kern w:val="0"/>
          <w:sz w:val="24"/>
        </w:rPr>
        <w:t>固定收益类</w:t>
      </w:r>
      <w:r w:rsidRPr="003F1A6A">
        <w:rPr>
          <w:rFonts w:ascii="仿宋" w:eastAsia="仿宋" w:hAnsi="仿宋" w:cs="宋体" w:hint="eastAsia"/>
          <w:kern w:val="0"/>
          <w:sz w:val="24"/>
        </w:rPr>
        <w:t>资产收益作为权益投资的风险预算，当权益类资产下跌幅度超过风险预算时，触发强制止</w:t>
      </w:r>
      <w:proofErr w:type="gramStart"/>
      <w:r w:rsidRPr="003F1A6A">
        <w:rPr>
          <w:rFonts w:ascii="仿宋" w:eastAsia="仿宋" w:hAnsi="仿宋" w:cs="宋体" w:hint="eastAsia"/>
          <w:kern w:val="0"/>
          <w:sz w:val="24"/>
        </w:rPr>
        <w:t>损</w:t>
      </w:r>
      <w:proofErr w:type="gramEnd"/>
      <w:r w:rsidRPr="003F1A6A">
        <w:rPr>
          <w:rFonts w:ascii="仿宋" w:eastAsia="仿宋" w:hAnsi="仿宋" w:cs="宋体" w:hint="eastAsia"/>
          <w:kern w:val="0"/>
          <w:sz w:val="24"/>
        </w:rPr>
        <w:t>机制，对权益类资产进行止</w:t>
      </w:r>
      <w:proofErr w:type="gramStart"/>
      <w:r w:rsidRPr="003F1A6A">
        <w:rPr>
          <w:rFonts w:ascii="仿宋" w:eastAsia="仿宋" w:hAnsi="仿宋" w:cs="宋体" w:hint="eastAsia"/>
          <w:kern w:val="0"/>
          <w:sz w:val="24"/>
        </w:rPr>
        <w:t>损</w:t>
      </w:r>
      <w:proofErr w:type="gramEnd"/>
      <w:r w:rsidRPr="003F1A6A">
        <w:rPr>
          <w:rFonts w:ascii="仿宋" w:eastAsia="仿宋" w:hAnsi="仿宋" w:cs="宋体" w:hint="eastAsia"/>
          <w:kern w:val="0"/>
          <w:sz w:val="24"/>
        </w:rPr>
        <w:t>操作。当权益类资产对产品收益贡献达到目标收益时，降低权益</w:t>
      </w:r>
      <w:proofErr w:type="gramStart"/>
      <w:r w:rsidRPr="003F1A6A">
        <w:rPr>
          <w:rFonts w:ascii="仿宋" w:eastAsia="仿宋" w:hAnsi="仿宋" w:cs="宋体" w:hint="eastAsia"/>
          <w:kern w:val="0"/>
          <w:sz w:val="24"/>
        </w:rPr>
        <w:t>仓位</w:t>
      </w:r>
      <w:proofErr w:type="gramEnd"/>
      <w:r w:rsidRPr="003F1A6A">
        <w:rPr>
          <w:rFonts w:ascii="仿宋" w:eastAsia="仿宋" w:hAnsi="仿宋" w:cs="宋体" w:hint="eastAsia"/>
          <w:kern w:val="0"/>
          <w:sz w:val="24"/>
        </w:rPr>
        <w:t>以锁定收益。</w:t>
      </w:r>
    </w:p>
    <w:p w:rsidR="00322620" w:rsidRDefault="00382196">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322620" w:rsidRDefault="00382196">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w:t>
      </w:r>
      <w:r w:rsidR="0040011D">
        <w:rPr>
          <w:rFonts w:ascii="仿宋" w:eastAsia="仿宋" w:hAnsi="仿宋" w:cs="宋体"/>
          <w:b/>
          <w:bCs/>
          <w:kern w:val="0"/>
          <w:sz w:val="24"/>
        </w:rPr>
        <w:t>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322620" w:rsidRDefault="00382196">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w:t>
      </w:r>
      <w:r>
        <w:rPr>
          <w:rFonts w:ascii="仿宋" w:eastAsia="仿宋" w:hAnsi="仿宋"/>
          <w:color w:val="auto"/>
        </w:rPr>
        <w:t>本</w:t>
      </w:r>
      <w:r>
        <w:rPr>
          <w:rFonts w:ascii="仿宋" w:eastAsia="仿宋" w:hAnsi="仿宋" w:hint="eastAsia"/>
          <w:color w:val="auto"/>
        </w:rPr>
        <w:t>理财</w:t>
      </w:r>
      <w:r>
        <w:rPr>
          <w:rFonts w:ascii="仿宋" w:eastAsia="仿宋" w:hAnsi="仿宋"/>
          <w:color w:val="auto"/>
        </w:rPr>
        <w:t>产品管理人为华夏理财有限责任公司。</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w:t>
      </w:r>
      <w:r>
        <w:rPr>
          <w:rFonts w:ascii="仿宋" w:eastAsia="仿宋" w:hAnsi="仿宋"/>
          <w:color w:val="auto"/>
        </w:rPr>
        <w:t>本理财产品</w:t>
      </w:r>
      <w:r>
        <w:rPr>
          <w:rFonts w:ascii="仿宋" w:eastAsia="仿宋" w:hAnsi="仿宋" w:hint="eastAsia"/>
          <w:color w:val="auto"/>
        </w:rPr>
        <w:t>托管人为华夏银行股份有限公司</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hint="eastAsia"/>
          <w:color w:val="000000"/>
          <w:kern w:val="0"/>
          <w:sz w:val="24"/>
        </w:rPr>
        <w:t>（9）银行业监督管理机构规定的其他职责。</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hint="eastAsia"/>
          <w:sz w:val="24"/>
        </w:rPr>
        <w:t>柜台、手机银行、网上银行</w:t>
      </w:r>
      <w:r w:rsidR="003F1A6A">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322620" w:rsidRDefault="00382196">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 50%。</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3.拒绝或暂停认购的情形</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可以采取认购风险应对措施，拒绝或暂停接受认购申请：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（3）超过本理财产品规模上限部分的认购申请。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322620" w:rsidRDefault="00382196">
      <w:pPr>
        <w:widowControl/>
        <w:adjustRightInd w:val="0"/>
        <w:snapToGrid w:val="0"/>
        <w:spacing w:line="276" w:lineRule="auto"/>
        <w:ind w:firstLineChars="200" w:firstLine="480"/>
        <w:contextualSpacing/>
        <w:rPr>
          <w:rFonts w:ascii="仿宋" w:eastAsia="仿宋" w:hAnsi="仿宋"/>
        </w:rPr>
      </w:pPr>
      <w:r>
        <w:rPr>
          <w:rFonts w:ascii="仿宋" w:eastAsia="仿宋" w:hAnsi="仿宋" w:cs="宋体" w:hint="eastAsia"/>
          <w:color w:val="000000"/>
          <w:kern w:val="0"/>
          <w:sz w:val="24"/>
        </w:rPr>
        <w:t>如果投资人的认购申请被全部或部分拒绝的，被拒绝的认购款项将退还给投资人。在暂停认购的情况消除时，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w:t>
      </w:r>
      <w:r>
        <w:rPr>
          <w:rFonts w:ascii="仿宋" w:eastAsia="仿宋" w:hAnsi="仿宋" w:cs="仿宋" w:hint="eastAsia"/>
          <w:sz w:val="24"/>
        </w:rPr>
        <w:t>06</w:t>
      </w:r>
      <w:r>
        <w:rPr>
          <w:rFonts w:ascii="仿宋" w:eastAsia="仿宋" w:hAnsi="仿宋" w:cs="仿宋"/>
          <w:sz w:val="24"/>
        </w:rPr>
        <w:t>00</w:t>
      </w:r>
      <w:r>
        <w:rPr>
          <w:rFonts w:ascii="仿宋" w:eastAsia="仿宋" w:hAnsi="仿宋" w:cs="仿宋" w:hint="eastAsia"/>
          <w:sz w:val="24"/>
        </w:rPr>
        <w:t>，客户到期获得的金额为：</w:t>
      </w:r>
      <w:r>
        <w:rPr>
          <w:rFonts w:ascii="仿宋" w:eastAsia="仿宋" w:hAnsi="仿宋" w:cs="仿宋"/>
          <w:sz w:val="24"/>
        </w:rPr>
        <w:t>100,000*1.</w:t>
      </w:r>
      <w:r>
        <w:rPr>
          <w:rFonts w:ascii="仿宋" w:eastAsia="仿宋" w:hAnsi="仿宋" w:cs="仿宋" w:hint="eastAsia"/>
          <w:sz w:val="24"/>
        </w:rPr>
        <w:t>06</w:t>
      </w:r>
      <w:r>
        <w:rPr>
          <w:rFonts w:ascii="仿宋" w:eastAsia="仿宋" w:hAnsi="仿宋" w:cs="仿宋"/>
          <w:sz w:val="24"/>
        </w:rPr>
        <w:t>00=1</w:t>
      </w:r>
      <w:r>
        <w:rPr>
          <w:rFonts w:ascii="仿宋" w:eastAsia="仿宋" w:hAnsi="仿宋" w:cs="仿宋" w:hint="eastAsia"/>
          <w:sz w:val="24"/>
        </w:rPr>
        <w:t>06</w:t>
      </w:r>
      <w:r>
        <w:rPr>
          <w:rFonts w:ascii="仿宋" w:eastAsia="仿宋" w:hAnsi="仿宋" w:cs="仿宋"/>
          <w:sz w:val="24"/>
        </w:rPr>
        <w:t>,000.00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lastRenderedPageBreak/>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w:t>
      </w:r>
      <w:r w:rsidR="00905CFA">
        <w:rPr>
          <w:rFonts w:ascii="仿宋" w:eastAsia="仿宋" w:hAnsi="仿宋" w:cs="仿宋"/>
          <w:sz w:val="24"/>
        </w:rPr>
        <w:t>0100</w:t>
      </w:r>
      <w:r>
        <w:rPr>
          <w:rFonts w:ascii="仿宋" w:eastAsia="仿宋" w:hAnsi="仿宋" w:cs="仿宋" w:hint="eastAsia"/>
          <w:sz w:val="24"/>
        </w:rPr>
        <w:t>，客户到期获得的金额为：</w:t>
      </w:r>
      <w:r>
        <w:rPr>
          <w:rFonts w:ascii="仿宋" w:eastAsia="仿宋" w:hAnsi="仿宋" w:cs="仿宋"/>
          <w:sz w:val="24"/>
        </w:rPr>
        <w:t>100,000*1.</w:t>
      </w:r>
      <w:r w:rsidR="00905CFA">
        <w:rPr>
          <w:rFonts w:ascii="仿宋" w:eastAsia="仿宋" w:hAnsi="仿宋" w:cs="仿宋"/>
          <w:sz w:val="24"/>
        </w:rPr>
        <w:t>0100</w:t>
      </w:r>
      <w:r>
        <w:rPr>
          <w:rFonts w:ascii="仿宋" w:eastAsia="仿宋" w:hAnsi="仿宋" w:cs="仿宋"/>
          <w:sz w:val="24"/>
        </w:rPr>
        <w:t>=</w:t>
      </w:r>
      <w:r w:rsidR="00905CFA">
        <w:rPr>
          <w:rFonts w:ascii="仿宋" w:eastAsia="仿宋" w:hAnsi="仿宋" w:cs="仿宋"/>
          <w:sz w:val="24"/>
        </w:rPr>
        <w:t>101</w:t>
      </w:r>
      <w:r>
        <w:rPr>
          <w:rFonts w:ascii="仿宋" w:eastAsia="仿宋" w:hAnsi="仿宋" w:cs="仿宋"/>
          <w:sz w:val="24"/>
        </w:rPr>
        <w:t>,000.00</w:t>
      </w:r>
      <w:r>
        <w:rPr>
          <w:rFonts w:ascii="仿宋" w:eastAsia="仿宋" w:hAnsi="仿宋" w:cs="仿宋" w:hint="eastAsia"/>
          <w:sz w:val="24"/>
        </w:rPr>
        <w:t>元</w:t>
      </w:r>
    </w:p>
    <w:p w:rsidR="00322620" w:rsidRDefault="00382196">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322620" w:rsidRDefault="00382196">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（1）送股、转增股、配股和公开增发的新股，按估值日在证券交易所挂牌的同一股票的市价（收盘价）估值；该日无交易的，以最近一日的市价（收盘价）估值；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322620" w:rsidRDefault="00382196">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322620" w:rsidRDefault="00382196">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322620" w:rsidRDefault="00382196">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八、</w:t>
      </w:r>
      <w:r>
        <w:rPr>
          <w:rFonts w:ascii="Times New Roman" w:eastAsia="黑体" w:cs="Times New Roman"/>
          <w:b/>
          <w:color w:val="auto"/>
        </w:rPr>
        <w:t>风险揭示</w:t>
      </w:r>
    </w:p>
    <w:p w:rsidR="00322620" w:rsidRDefault="00382196">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的影响。在最不利的情况下，理财产品到期</w:t>
      </w:r>
      <w:r>
        <w:rPr>
          <w:rFonts w:ascii="Times New Roman" w:eastAsia="黑体" w:cs="Times New Roman" w:hint="eastAsia"/>
          <w:b/>
          <w:color w:val="auto"/>
        </w:rPr>
        <w:t>/</w:t>
      </w:r>
      <w:r>
        <w:rPr>
          <w:rFonts w:ascii="Times New Roman" w:eastAsia="黑体" w:cs="Times New Roman" w:hint="eastAsia"/>
          <w:b/>
          <w:color w:val="auto"/>
        </w:rPr>
        <w:t>终止时投资者可能无法获得理财产品投资收益，甚至损失全部理财本金，由此产生的风险由投资者自行承担。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投资者无权随时提前赎回</w:t>
      </w:r>
      <w:r>
        <w:rPr>
          <w:rFonts w:ascii="Times New Roman" w:eastAsia="黑体" w:cs="Times New Roman" w:hint="eastAsia"/>
          <w:b/>
          <w:color w:val="auto"/>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（十）延期风险：</w:t>
      </w:r>
      <w:r>
        <w:rPr>
          <w:rFonts w:ascii="Times New Roman" w:eastAsia="黑体" w:cs="Times New Roman"/>
          <w:b/>
          <w:color w:val="auto"/>
        </w:rPr>
        <w:t>如因与理财产品投资资产相关的</w:t>
      </w:r>
      <w:r>
        <w:rPr>
          <w:rFonts w:ascii="Times New Roman" w:eastAsia="黑体" w:cs="Times New Roman" w:hint="eastAsia"/>
          <w:b/>
          <w:color w:val="auto"/>
        </w:rPr>
        <w:t>资产管理计划管理人、</w:t>
      </w:r>
      <w:r>
        <w:rPr>
          <w:rFonts w:ascii="Times New Roman" w:eastAsia="黑体" w:cs="Times New Roman"/>
          <w:b/>
          <w:color w:val="auto"/>
        </w:rPr>
        <w:t>信托受托人、债务人、担保人（如有）等主体发生违约，导致本理财产品不能按时偿</w:t>
      </w:r>
      <w:r>
        <w:rPr>
          <w:rFonts w:ascii="Times New Roman" w:eastAsia="黑体" w:cs="Times New Roman" w:hint="eastAsia"/>
          <w:b/>
          <w:color w:val="auto"/>
        </w:rPr>
        <w:t>付</w:t>
      </w:r>
      <w:r>
        <w:rPr>
          <w:rFonts w:ascii="Times New Roman" w:eastAsia="黑体" w:cs="Times New Roman"/>
          <w:b/>
          <w:color w:val="auto"/>
        </w:rPr>
        <w:t>理财本金及收益</w:t>
      </w:r>
      <w:r>
        <w:rPr>
          <w:rFonts w:ascii="Times New Roman" w:eastAsia="黑体" w:cs="Times New Roman" w:hint="eastAsia"/>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ascii="Times New Roman" w:eastAsia="黑体" w:cs="Times New Roman" w:hint="eastAsia"/>
          <w:b/>
          <w:color w:val="auto"/>
        </w:rPr>
        <w:t>产品</w:t>
      </w:r>
      <w:r>
        <w:rPr>
          <w:rFonts w:ascii="Times New Roman" w:eastAsia="黑体" w:cs="Times New Roman"/>
          <w:b/>
          <w:color w:val="auto"/>
        </w:rPr>
        <w:t>期限将相应延长。</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（十三）拟投资市场及资产的流动性风险评估</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（十四）流动性应对措施及对投资者的潜在影响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管理人可依照法律法规及理财产品销售文件的约定，综合运用各类流动性应对措施，作为特定情形下流动性风险管理的辅助手段，包括但不限于：设定</w:t>
      </w:r>
      <w:r>
        <w:rPr>
          <w:rFonts w:ascii="Times New Roman" w:eastAsia="黑体" w:cs="Times New Roman" w:hint="eastAsia"/>
          <w:b/>
          <w:color w:val="auto"/>
        </w:rPr>
        <w:lastRenderedPageBreak/>
        <w:t>单一投资者认购金额上限、拒绝大额认购、暂停认购，以及监管机构规定的其他风险应对措施。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当管理人实施流动性应对措施时，可能对投资者具有一定的潜在影响，包括但不限于不能认购本理财产品、认购交易确认失败等。</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w:t>
      </w:r>
      <w:r>
        <w:rPr>
          <w:rFonts w:ascii="仿宋" w:eastAsia="仿宋" w:hAnsi="仿宋" w:cs="宋体" w:hint="eastAsia"/>
          <w:kern w:val="0"/>
          <w:sz w:val="24"/>
        </w:rPr>
        <w:lastRenderedPageBreak/>
        <w:t>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hAnsi="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322620" w:rsidRDefault="00382196">
      <w:pPr>
        <w:autoSpaceDE w:val="0"/>
        <w:autoSpaceDN w:val="0"/>
        <w:adjustRightInd w:val="0"/>
        <w:snapToGrid w:val="0"/>
        <w:spacing w:line="276" w:lineRule="auto"/>
        <w:ind w:firstLineChars="200" w:firstLine="480"/>
        <w:contextualSpacing/>
        <w:rPr>
          <w:b/>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322620" w:rsidRDefault="00382196">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322620" w:rsidRDefault="00382196">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32262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06C"/>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342"/>
    <w:rsid w:val="00133FA8"/>
    <w:rsid w:val="0013677C"/>
    <w:rsid w:val="00165B63"/>
    <w:rsid w:val="0017498E"/>
    <w:rsid w:val="00183EA3"/>
    <w:rsid w:val="00186079"/>
    <w:rsid w:val="00190BB4"/>
    <w:rsid w:val="001D2415"/>
    <w:rsid w:val="001E1606"/>
    <w:rsid w:val="001E41AD"/>
    <w:rsid w:val="001F7D2D"/>
    <w:rsid w:val="00215C06"/>
    <w:rsid w:val="002318DF"/>
    <w:rsid w:val="00240267"/>
    <w:rsid w:val="00244A8F"/>
    <w:rsid w:val="002553C2"/>
    <w:rsid w:val="00257913"/>
    <w:rsid w:val="00257999"/>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3F1A6A"/>
    <w:rsid w:val="003F7BA9"/>
    <w:rsid w:val="0040011D"/>
    <w:rsid w:val="00400CDC"/>
    <w:rsid w:val="004128C5"/>
    <w:rsid w:val="00420E68"/>
    <w:rsid w:val="00443D10"/>
    <w:rsid w:val="0046534D"/>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05CFA"/>
    <w:rsid w:val="0092398B"/>
    <w:rsid w:val="00926B88"/>
    <w:rsid w:val="00933895"/>
    <w:rsid w:val="00940AE1"/>
    <w:rsid w:val="009767AD"/>
    <w:rsid w:val="00991585"/>
    <w:rsid w:val="0099257B"/>
    <w:rsid w:val="009A1572"/>
    <w:rsid w:val="009B40CA"/>
    <w:rsid w:val="009B5749"/>
    <w:rsid w:val="009B654D"/>
    <w:rsid w:val="009C25C2"/>
    <w:rsid w:val="009E64E1"/>
    <w:rsid w:val="009F3291"/>
    <w:rsid w:val="00A10AA6"/>
    <w:rsid w:val="00A15763"/>
    <w:rsid w:val="00A23D14"/>
    <w:rsid w:val="00A40B5C"/>
    <w:rsid w:val="00A450DA"/>
    <w:rsid w:val="00A80484"/>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1C04"/>
    <w:rsid w:val="00CC6613"/>
    <w:rsid w:val="00CC7912"/>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0A4"/>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E01D34C7-FED2-49AA-886E-43DB53D5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20"/>
    </w:rPr>
  </w:style>
  <w:style w:type="character" w:styleId="a9">
    <w:name w:val="annotation reference"/>
    <w:rPr>
      <w:sz w:val="21"/>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1">
    <w:name w:val="修订1"/>
    <w:uiPriority w:val="99"/>
    <w:unhideWhenUsed/>
    <w:rPr>
      <w:kern w:val="2"/>
      <w:sz w:val="21"/>
      <w:szCs w:val="24"/>
    </w:rPr>
  </w:style>
  <w:style w:type="character" w:customStyle="1" w:styleId="Char0">
    <w:name w:val="批注文字 Char"/>
    <w:link w:val="a4"/>
    <w:rPr>
      <w:kern w:val="2"/>
      <w:sz w:val="21"/>
      <w:szCs w:val="24"/>
    </w:rPr>
  </w:style>
  <w:style w:type="character" w:customStyle="1" w:styleId="Char">
    <w:name w:val="批注主题 Char"/>
    <w:link w:val="a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2457</Words>
  <Characters>14010</Characters>
  <Application>Microsoft Office Word</Application>
  <DocSecurity>0</DocSecurity>
  <Lines>116</Lines>
  <Paragraphs>32</Paragraphs>
  <ScaleCrop>false</ScaleCrop>
  <Company>华夏银行总行</Company>
  <LinksUpToDate>false</LinksUpToDate>
  <CharactersWithSpaces>16435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华夏理财悦嘉封闭式</dc:title>
  <dc:subject/>
  <dc:creator>ylh</dc:creator>
  <cp:keywords>23Y3</cp:keywords>
  <cp:lastModifiedBy>产品营销部</cp:lastModifiedBy>
  <cp:revision>4</cp:revision>
  <cp:lastPrinted>2023-03-23T08:24:00Z</cp:lastPrinted>
  <dcterms:created xsi:type="dcterms:W3CDTF">2023-03-23T08:17:00Z</dcterms:created>
  <dcterms:modified xsi:type="dcterms:W3CDTF">2023-03-23T08:24:00Z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