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9F2" w:rsidRDefault="0070639F">
      <w:pPr>
        <w:pStyle w:val="a9"/>
        <w:widowControl/>
        <w:spacing w:line="240" w:lineRule="auto"/>
        <w:ind w:firstLine="0"/>
        <w:jc w:val="center"/>
        <w:rPr>
          <w:rFonts w:eastAsia="黑体"/>
          <w:bCs/>
          <w:sz w:val="36"/>
          <w:szCs w:val="36"/>
        </w:rPr>
      </w:pPr>
      <w:r>
        <w:rPr>
          <w:rFonts w:eastAsia="黑体" w:hint="eastAsia"/>
          <w:bCs/>
          <w:sz w:val="36"/>
          <w:szCs w:val="36"/>
        </w:rPr>
        <w:t>华夏理财固定收益</w:t>
      </w:r>
      <w:proofErr w:type="gramStart"/>
      <w:r>
        <w:rPr>
          <w:rFonts w:eastAsia="黑体" w:hint="eastAsia"/>
          <w:bCs/>
          <w:sz w:val="36"/>
          <w:szCs w:val="36"/>
        </w:rPr>
        <w:t>纯债型</w:t>
      </w:r>
      <w:proofErr w:type="gramEnd"/>
      <w:r>
        <w:rPr>
          <w:rFonts w:eastAsia="黑体" w:hint="eastAsia"/>
          <w:bCs/>
          <w:sz w:val="36"/>
          <w:szCs w:val="36"/>
        </w:rPr>
        <w:t>封闭式理财产品</w:t>
      </w:r>
      <w:r w:rsidR="00C51BDC">
        <w:rPr>
          <w:rFonts w:eastAsia="黑体"/>
          <w:bCs/>
          <w:sz w:val="36"/>
          <w:szCs w:val="36"/>
        </w:rPr>
        <w:t>45</w:t>
      </w:r>
      <w:r>
        <w:rPr>
          <w:rFonts w:eastAsia="黑体" w:hint="eastAsia"/>
          <w:bCs/>
          <w:sz w:val="36"/>
          <w:szCs w:val="36"/>
        </w:rPr>
        <w:t>号</w:t>
      </w:r>
    </w:p>
    <w:p w:rsidR="007529F2" w:rsidRDefault="0070639F">
      <w:pPr>
        <w:pStyle w:val="a9"/>
        <w:widowControl/>
        <w:spacing w:line="240" w:lineRule="auto"/>
        <w:ind w:firstLine="0"/>
        <w:jc w:val="center"/>
        <w:rPr>
          <w:rFonts w:eastAsia="黑体"/>
          <w:bCs/>
          <w:sz w:val="36"/>
          <w:szCs w:val="36"/>
        </w:rPr>
      </w:pPr>
      <w:r>
        <w:rPr>
          <w:rFonts w:eastAsia="黑体" w:hint="eastAsia"/>
          <w:bCs/>
          <w:sz w:val="36"/>
          <w:szCs w:val="36"/>
        </w:rPr>
        <w:t>说明书</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69"/>
      </w:tblGrid>
      <w:tr w:rsidR="007529F2">
        <w:trPr>
          <w:trHeight w:val="6140"/>
          <w:jc w:val="center"/>
        </w:trPr>
        <w:tc>
          <w:tcPr>
            <w:tcW w:w="8569" w:type="dxa"/>
            <w:tcBorders>
              <w:top w:val="single" w:sz="4" w:space="0" w:color="auto"/>
              <w:left w:val="single" w:sz="4" w:space="0" w:color="auto"/>
              <w:right w:val="single" w:sz="4" w:space="0" w:color="auto"/>
            </w:tcBorders>
            <w:vAlign w:val="center"/>
          </w:tcPr>
          <w:p w:rsidR="007529F2" w:rsidRDefault="0070639F">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7529F2" w:rsidRDefault="0070639F">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w:t>
            </w:r>
            <w:bookmarkStart w:id="0" w:name="_GoBack"/>
            <w:bookmarkEnd w:id="0"/>
            <w:r>
              <w:rPr>
                <w:rFonts w:ascii="黑体" w:eastAsia="黑体" w:hAnsi="黑体" w:hint="eastAsia"/>
                <w:b/>
                <w:sz w:val="28"/>
                <w:szCs w:val="28"/>
                <w:u w:val="single"/>
              </w:rPr>
              <w:t>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7529F2" w:rsidRDefault="0070639F">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7529F2" w:rsidRDefault="0070639F">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1" w:name="_Hlk76301410"/>
            <w:r>
              <w:rPr>
                <w:rFonts w:ascii="黑体" w:eastAsia="黑体" w:hAnsi="黑体" w:hint="eastAsia"/>
                <w:b/>
                <w:sz w:val="28"/>
                <w:szCs w:val="28"/>
                <w:u w:val="single"/>
              </w:rPr>
              <w:t>华夏银行客户服务热线95577或其他代理销售机构客户服务热线</w:t>
            </w:r>
            <w:bookmarkEnd w:id="1"/>
            <w:r>
              <w:rPr>
                <w:rFonts w:ascii="黑体" w:eastAsia="黑体" w:hAnsi="黑体" w:hint="eastAsia"/>
                <w:b/>
                <w:sz w:val="28"/>
                <w:szCs w:val="28"/>
                <w:u w:val="single"/>
              </w:rPr>
              <w:t>。</w:t>
            </w:r>
          </w:p>
        </w:tc>
      </w:tr>
    </w:tbl>
    <w:p w:rsidR="007529F2" w:rsidRDefault="0070639F">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404"/>
      </w:tblGrid>
      <w:tr w:rsidR="007529F2">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w:t>
            </w:r>
            <w:proofErr w:type="gramStart"/>
            <w:r>
              <w:rPr>
                <w:rFonts w:ascii="仿宋" w:eastAsia="仿宋" w:hAnsi="仿宋" w:hint="eastAsia"/>
                <w:b/>
                <w:bCs/>
                <w:szCs w:val="21"/>
              </w:rPr>
              <w:t>纯债型</w:t>
            </w:r>
            <w:proofErr w:type="gramEnd"/>
            <w:r>
              <w:rPr>
                <w:rFonts w:ascii="仿宋" w:eastAsia="仿宋" w:hAnsi="仿宋" w:hint="eastAsia"/>
                <w:b/>
                <w:bCs/>
                <w:szCs w:val="21"/>
              </w:rPr>
              <w:t>封闭式理财产品</w:t>
            </w:r>
            <w:r w:rsidR="00C51BDC">
              <w:rPr>
                <w:rFonts w:ascii="仿宋" w:eastAsia="仿宋" w:hAnsi="仿宋"/>
                <w:b/>
                <w:bCs/>
                <w:szCs w:val="21"/>
              </w:rPr>
              <w:t>45</w:t>
            </w:r>
            <w:r w:rsidR="001E0732" w:rsidRPr="001E0732">
              <w:rPr>
                <w:rFonts w:ascii="仿宋" w:eastAsia="仿宋" w:hAnsi="仿宋" w:hint="eastAsia"/>
                <w:b/>
                <w:bCs/>
                <w:szCs w:val="21"/>
              </w:rPr>
              <w:t>号</w:t>
            </w:r>
          </w:p>
          <w:p w:rsidR="007529F2" w:rsidRDefault="0070639F">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A份额简称：“华夏理财固收纯债封闭式</w:t>
            </w:r>
            <w:r w:rsidR="00C51BDC" w:rsidRPr="00C51BDC">
              <w:rPr>
                <w:rFonts w:ascii="仿宋" w:eastAsia="仿宋" w:hAnsi="仿宋" w:hint="eastAsia"/>
                <w:b/>
                <w:bCs/>
                <w:szCs w:val="21"/>
              </w:rPr>
              <w:t>45号98天</w:t>
            </w:r>
            <w:r>
              <w:rPr>
                <w:rFonts w:ascii="仿宋" w:eastAsia="仿宋" w:hAnsi="仿宋" w:hint="eastAsia"/>
                <w:b/>
                <w:bCs/>
                <w:szCs w:val="21"/>
              </w:rPr>
              <w:t>A”</w:t>
            </w:r>
          </w:p>
          <w:p w:rsidR="007529F2" w:rsidRDefault="0070639F">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B份额简称：“华夏理财固收纯债封闭式</w:t>
            </w:r>
            <w:r w:rsidR="00C51BDC" w:rsidRPr="00C51BDC">
              <w:rPr>
                <w:rFonts w:ascii="仿宋" w:eastAsia="仿宋" w:hAnsi="仿宋" w:hint="eastAsia"/>
                <w:b/>
                <w:bCs/>
                <w:szCs w:val="21"/>
              </w:rPr>
              <w:t>45号98天</w:t>
            </w:r>
            <w:r>
              <w:rPr>
                <w:rFonts w:ascii="仿宋" w:eastAsia="仿宋" w:hAnsi="仿宋" w:hint="eastAsia"/>
                <w:b/>
                <w:bCs/>
                <w:szCs w:val="21"/>
              </w:rPr>
              <w:t>B”</w:t>
            </w:r>
          </w:p>
        </w:tc>
      </w:tr>
      <w:tr w:rsidR="007529F2">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C51BDC">
            <w:pPr>
              <w:adjustRightInd w:val="0"/>
              <w:snapToGrid w:val="0"/>
              <w:spacing w:line="300" w:lineRule="exact"/>
              <w:jc w:val="center"/>
              <w:rPr>
                <w:rFonts w:ascii="仿宋" w:eastAsia="仿宋" w:hAnsi="仿宋"/>
                <w:bCs/>
                <w:szCs w:val="21"/>
              </w:rPr>
            </w:pPr>
            <w:r w:rsidRPr="00C51BDC">
              <w:rPr>
                <w:rFonts w:ascii="仿宋" w:eastAsia="仿宋" w:hAnsi="仿宋"/>
                <w:bCs/>
                <w:szCs w:val="21"/>
              </w:rPr>
              <w:t>23111045</w:t>
            </w:r>
          </w:p>
        </w:tc>
      </w:tr>
      <w:tr w:rsidR="007529F2">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A份额代码：</w:t>
            </w:r>
            <w:r w:rsidR="00C51BDC" w:rsidRPr="00C51BDC">
              <w:rPr>
                <w:rFonts w:ascii="仿宋" w:eastAsia="仿宋" w:hAnsi="仿宋"/>
                <w:bCs/>
                <w:szCs w:val="21"/>
              </w:rPr>
              <w:t>23111045</w:t>
            </w:r>
            <w:r>
              <w:rPr>
                <w:rFonts w:ascii="仿宋" w:eastAsia="仿宋" w:hAnsi="仿宋" w:hint="eastAsia"/>
                <w:bCs/>
                <w:szCs w:val="21"/>
              </w:rPr>
              <w:t>A</w:t>
            </w:r>
          </w:p>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B份额代码：</w:t>
            </w:r>
            <w:r w:rsidR="00C51BDC" w:rsidRPr="00C51BDC">
              <w:rPr>
                <w:rFonts w:ascii="仿宋" w:eastAsia="仿宋" w:hAnsi="仿宋"/>
                <w:bCs/>
                <w:szCs w:val="21"/>
              </w:rPr>
              <w:t>23111045</w:t>
            </w:r>
            <w:r>
              <w:rPr>
                <w:rFonts w:ascii="仿宋" w:eastAsia="仿宋" w:hAnsi="仿宋" w:hint="eastAsia"/>
                <w:bCs/>
                <w:szCs w:val="21"/>
              </w:rPr>
              <w:t>B</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C51BDC">
            <w:pPr>
              <w:keepNext/>
              <w:adjustRightInd w:val="0"/>
              <w:snapToGrid w:val="0"/>
              <w:spacing w:line="300" w:lineRule="exact"/>
              <w:jc w:val="center"/>
              <w:rPr>
                <w:rFonts w:ascii="仿宋" w:eastAsia="仿宋" w:hAnsi="仿宋"/>
                <w:bCs/>
                <w:szCs w:val="21"/>
              </w:rPr>
            </w:pPr>
            <w:r w:rsidRPr="00C51BDC">
              <w:rPr>
                <w:rFonts w:ascii="仿宋" w:eastAsia="仿宋" w:hAnsi="仿宋"/>
                <w:bCs/>
                <w:szCs w:val="21"/>
              </w:rPr>
              <w:t>Z7003923000055</w:t>
            </w:r>
          </w:p>
          <w:p w:rsidR="007529F2" w:rsidRDefault="0070639F">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7529F2" w:rsidRDefault="0070639F">
            <w:pPr>
              <w:adjustRightInd w:val="0"/>
              <w:snapToGrid w:val="0"/>
              <w:spacing w:line="240" w:lineRule="atLeast"/>
              <w:jc w:val="center"/>
              <w:rPr>
                <w:rFonts w:ascii="仿宋" w:eastAsia="仿宋" w:hAnsi="仿宋"/>
                <w:bCs/>
                <w:szCs w:val="21"/>
              </w:rP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jc w:val="center"/>
              <w:rPr>
                <w:rFonts w:ascii="仿宋" w:eastAsia="仿宋" w:hAnsi="仿宋"/>
                <w:bCs/>
                <w:szCs w:val="21"/>
              </w:rPr>
            </w:pPr>
            <w:r>
              <w:rPr>
                <w:rFonts w:ascii="仿宋" w:eastAsia="仿宋" w:hAnsi="仿宋" w:hint="eastAsia"/>
                <w:bCs/>
                <w:szCs w:val="21"/>
              </w:rPr>
              <w:t>华夏理财</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PR1级（低风险）</w:t>
            </w:r>
            <w:r>
              <w:rPr>
                <w:rFonts w:ascii="仿宋" w:eastAsia="仿宋" w:hAnsi="仿宋"/>
                <w:bCs/>
                <w:szCs w:val="21"/>
                <w:u w:val="single"/>
              </w:rPr>
              <w:t xml:space="preserve"> </w:t>
            </w:r>
            <w:r>
              <w:rPr>
                <w:rFonts w:ascii="仿宋" w:eastAsia="仿宋" w:hAnsi="仿宋"/>
                <w:bCs/>
                <w:szCs w:val="21"/>
              </w:rPr>
              <w:t>理财产品。</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7529F2" w:rsidRDefault="0070639F">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
                <w:bCs/>
                <w:szCs w:val="21"/>
              </w:rPr>
            </w:pPr>
            <w:r>
              <w:rPr>
                <w:rFonts w:ascii="仿宋" w:eastAsia="仿宋" w:hAnsi="仿宋" w:hint="eastAsia"/>
                <w:bCs/>
                <w:szCs w:val="21"/>
              </w:rPr>
              <w:t>本理财产品通过代理销售机构（以下简称“代销机构”）渠道销售的，理财产品评级应当以</w:t>
            </w:r>
            <w:bookmarkStart w:id="2" w:name="_Hlk76302700"/>
            <w:r>
              <w:rPr>
                <w:rFonts w:ascii="仿宋" w:eastAsia="仿宋" w:hAnsi="仿宋" w:hint="eastAsia"/>
                <w:bCs/>
                <w:szCs w:val="21"/>
              </w:rPr>
              <w:t>代销机构最终披露的评级结果</w:t>
            </w:r>
            <w:bookmarkEnd w:id="2"/>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hint="eastAsia"/>
                <w:bCs/>
                <w:szCs w:val="21"/>
              </w:rPr>
              <w:t>：</w:t>
            </w:r>
            <w:r>
              <w:rPr>
                <w:rFonts w:ascii="仿宋" w:eastAsia="仿宋" w:hAnsi="仿宋" w:hint="eastAsia"/>
                <w:bCs/>
                <w:szCs w:val="21"/>
                <w:u w:val="single"/>
              </w:rPr>
              <w:t>CR1（谨慎型）、CR2（稳健型）、CR3（平衡型）、CR4（进取型）、CR5（激进型）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7529F2" w:rsidRDefault="0070639F">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A份额：业绩</w:t>
            </w:r>
            <w:r>
              <w:rPr>
                <w:rFonts w:ascii="仿宋" w:eastAsia="仿宋" w:hAnsi="仿宋" w:hint="eastAsia"/>
                <w:bCs/>
                <w:szCs w:val="21"/>
              </w:rPr>
              <w:t>比较</w:t>
            </w:r>
            <w:r>
              <w:rPr>
                <w:rFonts w:ascii="仿宋" w:eastAsia="仿宋" w:hAnsi="仿宋" w:cs="Cambria" w:hint="eastAsia"/>
                <w:bCs/>
                <w:szCs w:val="21"/>
              </w:rPr>
              <w:t>基准为2.80</w:t>
            </w:r>
            <w:r>
              <w:rPr>
                <w:rFonts w:ascii="仿宋" w:eastAsia="仿宋" w:hAnsi="仿宋" w:cs="Cambria"/>
                <w:bCs/>
                <w:szCs w:val="21"/>
              </w:rPr>
              <w:t>%</w:t>
            </w:r>
            <w:r>
              <w:rPr>
                <w:rFonts w:ascii="仿宋" w:eastAsia="仿宋" w:hAnsi="仿宋" w:cs="Cambria" w:hint="eastAsia"/>
                <w:bCs/>
                <w:szCs w:val="21"/>
              </w:rPr>
              <w:t>-2.90%（年化）;B份额：业绩</w:t>
            </w:r>
            <w:r>
              <w:rPr>
                <w:rFonts w:ascii="仿宋" w:eastAsia="仿宋" w:hAnsi="仿宋" w:hint="eastAsia"/>
                <w:bCs/>
                <w:szCs w:val="21"/>
              </w:rPr>
              <w:t>比较</w:t>
            </w:r>
            <w:r>
              <w:rPr>
                <w:rFonts w:ascii="仿宋" w:eastAsia="仿宋" w:hAnsi="仿宋" w:cs="Cambria" w:hint="eastAsia"/>
                <w:bCs/>
                <w:szCs w:val="21"/>
              </w:rPr>
              <w:t>基准为2.75</w:t>
            </w:r>
            <w:r>
              <w:rPr>
                <w:rFonts w:ascii="仿宋" w:eastAsia="仿宋" w:hAnsi="仿宋" w:cs="Cambria"/>
                <w:bCs/>
                <w:szCs w:val="21"/>
              </w:rPr>
              <w:t>%</w:t>
            </w:r>
            <w:r>
              <w:rPr>
                <w:rFonts w:ascii="仿宋" w:eastAsia="仿宋" w:hAnsi="仿宋" w:cs="Cambria" w:hint="eastAsia"/>
                <w:bCs/>
                <w:szCs w:val="21"/>
              </w:rPr>
              <w:t>-2.85%（年化）。以产品投资存款类资产</w:t>
            </w:r>
            <w:proofErr w:type="gramStart"/>
            <w:r>
              <w:rPr>
                <w:rFonts w:ascii="仿宋" w:eastAsia="仿宋" w:hAnsi="仿宋" w:cs="Cambria" w:hint="eastAsia"/>
                <w:bCs/>
                <w:szCs w:val="21"/>
              </w:rPr>
              <w:t>仓位</w:t>
            </w:r>
            <w:proofErr w:type="gramEnd"/>
            <w:r>
              <w:rPr>
                <w:rFonts w:ascii="仿宋" w:eastAsia="仿宋" w:hAnsi="仿宋" w:cs="Cambria"/>
                <w:bCs/>
                <w:szCs w:val="21"/>
              </w:rPr>
              <w:t>100</w:t>
            </w:r>
            <w:r>
              <w:rPr>
                <w:rFonts w:ascii="仿宋" w:eastAsia="仿宋" w:hAnsi="仿宋" w:cs="Cambria" w:hint="eastAsia"/>
                <w:bCs/>
                <w:szCs w:val="21"/>
              </w:rPr>
              <w:t>%为例，参考当前存款类资产收益水平，结合产品投资策略并扣除各项费用后，综合测算得出上述业绩比较基准。测算示例仅供参考，具体资产投资比例可根据各类资产的收益水平、流动性特征、信用风险等因素动态调整。</w:t>
            </w:r>
          </w:p>
          <w:p w:rsidR="007529F2" w:rsidRDefault="0070639F">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7529F2" w:rsidRDefault="0070639F">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7529F2" w:rsidRDefault="0070639F">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7529F2" w:rsidRDefault="0070639F">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7529F2" w:rsidRDefault="0070639F">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bookmarkStart w:id="3" w:name="OLE_LINK2" w:colFirst="1" w:colLast="1"/>
            <w:bookmarkStart w:id="4" w:name="OLE_LINK3" w:colFirst="1" w:colLast="1"/>
            <w:bookmarkStart w:id="5" w:name="_Hlk290294163"/>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C51BDC">
            <w:pPr>
              <w:adjustRightInd w:val="0"/>
              <w:snapToGrid w:val="0"/>
              <w:spacing w:line="300" w:lineRule="exact"/>
              <w:ind w:firstLineChars="200" w:firstLine="420"/>
              <w:rPr>
                <w:rFonts w:ascii="仿宋" w:eastAsia="仿宋" w:hAnsi="仿宋"/>
                <w:bCs/>
                <w:szCs w:val="21"/>
              </w:rPr>
            </w:pPr>
            <w:r w:rsidRPr="00C51BDC">
              <w:rPr>
                <w:rFonts w:ascii="仿宋" w:eastAsia="仿宋" w:hAnsi="仿宋" w:hint="eastAsia"/>
                <w:bCs/>
                <w:szCs w:val="21"/>
              </w:rPr>
              <w:t>2023年3月23日</w:t>
            </w:r>
            <w:r w:rsidR="0070639F">
              <w:rPr>
                <w:rFonts w:ascii="仿宋" w:eastAsia="仿宋" w:hAnsi="仿宋"/>
                <w:bCs/>
                <w:szCs w:val="21"/>
              </w:rPr>
              <w:t>－</w:t>
            </w:r>
            <w:r w:rsidRPr="00C51BDC">
              <w:rPr>
                <w:rFonts w:ascii="仿宋" w:eastAsia="仿宋" w:hAnsi="仿宋" w:hint="eastAsia"/>
                <w:bCs/>
                <w:szCs w:val="21"/>
              </w:rPr>
              <w:t>2023年4月3日</w:t>
            </w:r>
            <w:r w:rsidR="0070639F">
              <w:rPr>
                <w:rFonts w:ascii="仿宋" w:eastAsia="仿宋" w:hAnsi="仿宋"/>
                <w:bCs/>
                <w:szCs w:val="21"/>
              </w:rPr>
              <w:t>（含）</w:t>
            </w:r>
            <w:r w:rsidR="0070639F">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70639F">
              <w:rPr>
                <w:rFonts w:ascii="仿宋" w:eastAsia="仿宋" w:hAnsi="仿宋"/>
                <w:bCs/>
                <w:szCs w:val="21"/>
              </w:rPr>
              <w:t>）</w:t>
            </w:r>
          </w:p>
        </w:tc>
      </w:tr>
      <w:bookmarkEnd w:id="3"/>
      <w:bookmarkEnd w:id="4"/>
      <w:bookmarkEnd w:id="5"/>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C51BDC">
            <w:pPr>
              <w:adjustRightInd w:val="0"/>
              <w:snapToGrid w:val="0"/>
              <w:spacing w:line="300" w:lineRule="exact"/>
              <w:ind w:firstLineChars="200" w:firstLine="420"/>
              <w:rPr>
                <w:rFonts w:ascii="仿宋" w:eastAsia="仿宋" w:hAnsi="仿宋"/>
                <w:bCs/>
                <w:szCs w:val="21"/>
              </w:rPr>
            </w:pPr>
            <w:r w:rsidRPr="00C51BDC">
              <w:rPr>
                <w:rFonts w:ascii="仿宋" w:eastAsia="仿宋" w:hAnsi="仿宋" w:hint="eastAsia"/>
                <w:bCs/>
                <w:szCs w:val="21"/>
              </w:rPr>
              <w:t>2023年4月4日</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C51BDC">
            <w:pPr>
              <w:adjustRightInd w:val="0"/>
              <w:snapToGrid w:val="0"/>
              <w:spacing w:line="300" w:lineRule="exact"/>
              <w:ind w:firstLineChars="200" w:firstLine="420"/>
              <w:rPr>
                <w:rFonts w:ascii="仿宋" w:eastAsia="仿宋" w:hAnsi="仿宋"/>
                <w:bCs/>
                <w:szCs w:val="21"/>
              </w:rPr>
            </w:pPr>
            <w:r w:rsidRPr="00C51BDC">
              <w:rPr>
                <w:rFonts w:ascii="仿宋" w:eastAsia="仿宋" w:hAnsi="仿宋"/>
                <w:bCs/>
                <w:szCs w:val="21"/>
              </w:rPr>
              <w:t>98</w:t>
            </w:r>
            <w:r w:rsidR="0070639F">
              <w:rPr>
                <w:rFonts w:ascii="仿宋" w:eastAsia="仿宋" w:hAnsi="仿宋" w:hint="eastAsia"/>
                <w:bCs/>
                <w:szCs w:val="21"/>
              </w:rPr>
              <w:t>天</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C51BDC">
            <w:pPr>
              <w:adjustRightInd w:val="0"/>
              <w:snapToGrid w:val="0"/>
              <w:spacing w:line="300" w:lineRule="exact"/>
              <w:ind w:firstLineChars="200" w:firstLine="420"/>
              <w:rPr>
                <w:rFonts w:ascii="仿宋" w:eastAsia="仿宋" w:hAnsi="仿宋"/>
                <w:bCs/>
                <w:szCs w:val="21"/>
              </w:rPr>
            </w:pPr>
            <w:r w:rsidRPr="00C51BDC">
              <w:rPr>
                <w:rFonts w:ascii="仿宋" w:eastAsia="仿宋" w:hAnsi="仿宋" w:hint="eastAsia"/>
                <w:bCs/>
                <w:szCs w:val="21"/>
              </w:rPr>
              <w:t>2023年7月11日</w:t>
            </w:r>
            <w:r w:rsidR="0070639F">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7529F2" w:rsidRDefault="0070639F">
            <w:pPr>
              <w:adjustRightInd w:val="0"/>
              <w:snapToGrid w:val="0"/>
              <w:spacing w:line="300" w:lineRule="exact"/>
              <w:ind w:firstLineChars="200" w:firstLine="422"/>
              <w:rPr>
                <w:rFonts w:ascii="仿宋" w:eastAsia="仿宋" w:hAnsi="仿宋"/>
                <w:bCs/>
                <w:szCs w:val="21"/>
              </w:rPr>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color w:val="000000"/>
                <w:szCs w:val="21"/>
              </w:rPr>
              <w:t>面向全国发行</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计划发行规模上限为20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7529F2">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A份额：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7529F2" w:rsidRDefault="0070639F">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B份额：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7529F2" w:rsidRDefault="0070639F">
            <w:pPr>
              <w:adjustRightInd w:val="0"/>
              <w:snapToGrid w:val="0"/>
              <w:spacing w:line="300" w:lineRule="exac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7529F2" w:rsidRDefault="0070639F">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7529F2" w:rsidRDefault="0070639F">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7529F2" w:rsidRDefault="0070639F">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7529F2">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认购份额=认购金额/1元。</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7529F2" w:rsidRDefault="0070639F">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7529F2" w:rsidRDefault="0070639F">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lastRenderedPageBreak/>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7529F2">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7529F2">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420"/>
              <w:rPr>
                <w:rFonts w:ascii="仿宋" w:eastAsia="仿宋" w:hAnsi="仿宋"/>
                <w:b/>
                <w:bCs/>
                <w:szCs w:val="21"/>
              </w:rPr>
            </w:pPr>
            <w:r>
              <w:rPr>
                <w:rFonts w:ascii="仿宋" w:eastAsia="仿宋" w:hAnsi="仿宋" w:hint="eastAsia"/>
                <w:b/>
                <w:bCs/>
                <w:szCs w:val="21"/>
              </w:rPr>
              <w:t>本理财产品不收取认购费。</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uto"/>
              <w:jc w:val="center"/>
              <w:rPr>
                <w:rFonts w:ascii="仿宋" w:eastAsia="仿宋" w:hAnsi="仿宋"/>
                <w:bCs/>
                <w:szCs w:val="21"/>
              </w:rP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D069E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0.03%/年，以前一日资产净值为基数，每日计提。</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公式如下：</w:t>
            </w:r>
          </w:p>
          <w:p w:rsidR="007529F2" w:rsidRDefault="0070639F">
            <w:pPr>
              <w:adjustRightInd w:val="0"/>
              <w:snapToGrid w:val="0"/>
              <w:spacing w:line="240" w:lineRule="auto"/>
              <w:ind w:firstLine="420"/>
              <w:jc w:val="left"/>
              <w:rPr>
                <w:rFonts w:ascii="仿宋" w:eastAsia="仿宋" w:hAnsi="仿宋"/>
                <w:b/>
                <w:bCs/>
                <w:szCs w:val="21"/>
              </w:rPr>
            </w:pPr>
            <w:r>
              <w:rPr>
                <w:rFonts w:ascii="仿宋" w:eastAsia="仿宋" w:hAnsi="仿宋" w:hint="eastAsia"/>
                <w:b/>
                <w:bCs/>
                <w:szCs w:val="21"/>
              </w:rPr>
              <w:t>F=E×【0.03%】</w:t>
            </w:r>
            <w:r>
              <w:rPr>
                <w:rFonts w:ascii="仿宋" w:eastAsia="仿宋" w:hAnsi="仿宋" w:hint="eastAsia"/>
                <w:b/>
                <w:szCs w:val="21"/>
              </w:rPr>
              <w:t>/当年天数。</w:t>
            </w:r>
            <w:r>
              <w:rPr>
                <w:rFonts w:ascii="仿宋" w:eastAsia="仿宋" w:hAnsi="仿宋" w:hint="eastAsia"/>
                <w:b/>
                <w:bCs/>
                <w:szCs w:val="21"/>
              </w:rPr>
              <w:t>F为托管费；E为计算</w:t>
            </w:r>
            <w:r>
              <w:rPr>
                <w:rFonts w:ascii="仿宋" w:eastAsia="仿宋" w:hAnsi="仿宋"/>
                <w:b/>
                <w:bCs/>
                <w:szCs w:val="21"/>
              </w:rPr>
              <w:t>基数</w:t>
            </w:r>
            <w:r>
              <w:rPr>
                <w:rFonts w:ascii="仿宋" w:eastAsia="仿宋" w:hAnsi="仿宋" w:hint="eastAsia"/>
                <w:b/>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A份额：销售手续费率为0.05%/年，以前一日资产净值为基数，每日计提。</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 xml:space="preserve">B份额：销售手续费率为0.10%/年，以前一日资产净值为基数，每日计提。    </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公式如下：</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F=E×【各份额销售手续费率】/当年天数。F为各份额销售手续费；E为计算基数。</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（销售手续费由销售服务机构收取。）</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0.</w:t>
            </w:r>
            <w:r>
              <w:rPr>
                <w:rFonts w:ascii="仿宋" w:eastAsia="仿宋" w:hAnsi="仿宋"/>
                <w:b/>
                <w:bCs/>
                <w:szCs w:val="21"/>
              </w:rPr>
              <w:t>05</w:t>
            </w:r>
            <w:r>
              <w:rPr>
                <w:rFonts w:ascii="仿宋" w:eastAsia="仿宋" w:hAnsi="仿宋" w:hint="eastAsia"/>
                <w:b/>
                <w:bCs/>
                <w:szCs w:val="21"/>
              </w:rPr>
              <w:t>%/年，以前一日资产净值为基数，每日计提。</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公式如下：</w:t>
            </w:r>
          </w:p>
          <w:p w:rsidR="007529F2" w:rsidRDefault="0070639F">
            <w:pPr>
              <w:adjustRightInd w:val="0"/>
              <w:snapToGrid w:val="0"/>
              <w:spacing w:line="300" w:lineRule="exact"/>
              <w:ind w:firstLine="420"/>
              <w:rPr>
                <w:rFonts w:ascii="仿宋" w:eastAsia="仿宋" w:hAnsi="仿宋"/>
                <w:b/>
                <w:bCs/>
                <w:szCs w:val="21"/>
              </w:rPr>
            </w:pPr>
            <w:r>
              <w:rPr>
                <w:rFonts w:ascii="仿宋" w:eastAsia="仿宋" w:hAnsi="仿宋" w:hint="eastAsia"/>
                <w:b/>
                <w:bCs/>
                <w:szCs w:val="21"/>
              </w:rPr>
              <w:t>F=E×【0.</w:t>
            </w:r>
            <w:r>
              <w:rPr>
                <w:rFonts w:ascii="仿宋" w:eastAsia="仿宋" w:hAnsi="仿宋"/>
                <w:b/>
                <w:bCs/>
                <w:szCs w:val="21"/>
              </w:rPr>
              <w:t>05</w:t>
            </w:r>
            <w:r>
              <w:rPr>
                <w:rFonts w:ascii="仿宋" w:eastAsia="仿宋" w:hAnsi="仿宋" w:hint="eastAsia"/>
                <w:b/>
                <w:bCs/>
                <w:szCs w:val="21"/>
              </w:rPr>
              <w:t>%】</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w:t>
            </w:r>
            <w:r>
              <w:rPr>
                <w:rFonts w:ascii="仿宋" w:eastAsia="仿宋" w:hAnsi="仿宋" w:hint="eastAsia"/>
                <w:b/>
                <w:bCs/>
                <w:szCs w:val="21"/>
              </w:rPr>
              <w:t>F为固定管理费；E为计算</w:t>
            </w:r>
            <w:r>
              <w:rPr>
                <w:rFonts w:ascii="仿宋" w:eastAsia="仿宋" w:hAnsi="仿宋"/>
                <w:b/>
                <w:bCs/>
                <w:szCs w:val="21"/>
              </w:rPr>
              <w:t>基数</w:t>
            </w:r>
            <w:r>
              <w:rPr>
                <w:rFonts w:ascii="仿宋" w:eastAsia="仿宋" w:hAnsi="仿宋" w:hint="eastAsia"/>
                <w:b/>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本产品扣除各项费用（包括销售手续费、托管费、固定管理费及其他费用等）后，</w:t>
            </w:r>
            <w:proofErr w:type="gramStart"/>
            <w:r>
              <w:rPr>
                <w:rFonts w:ascii="仿宋" w:eastAsia="仿宋" w:hAnsi="仿宋" w:cs="Cambria" w:hint="eastAsia"/>
                <w:b/>
                <w:bCs/>
                <w:szCs w:val="21"/>
              </w:rPr>
              <w:t>年化收益率</w:t>
            </w:r>
            <w:proofErr w:type="gramEnd"/>
            <w:r>
              <w:rPr>
                <w:rFonts w:ascii="仿宋" w:eastAsia="仿宋" w:hAnsi="仿宋" w:cs="Cambria" w:hint="eastAsia"/>
                <w:b/>
                <w:bCs/>
                <w:szCs w:val="21"/>
              </w:rPr>
              <w:t>低于或等于超额管理费计提基准，则管理人不收取超额管理费；超过超额管理费计提基准的部分，50%归投资人所有，其余作为管理人的超额管理费。</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A份额超额管理费计提基准为2.90%（年化）；B份额超额管理费计提基准为2.85%（年化）。</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本产品超额管理费的计算公式：</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超额管理费=（</w:t>
            </w:r>
            <w:proofErr w:type="gramStart"/>
            <w:r>
              <w:rPr>
                <w:rFonts w:ascii="仿宋" w:eastAsia="仿宋" w:hAnsi="仿宋" w:cs="Cambria" w:hint="eastAsia"/>
                <w:b/>
                <w:bCs/>
                <w:szCs w:val="21"/>
              </w:rPr>
              <w:t>年化收益率</w:t>
            </w:r>
            <w:proofErr w:type="gramEnd"/>
            <w:r>
              <w:rPr>
                <w:rFonts w:ascii="仿宋" w:eastAsia="仿宋" w:hAnsi="仿宋" w:cs="Cambria" w:hint="eastAsia"/>
                <w:b/>
                <w:bCs/>
                <w:szCs w:val="21"/>
              </w:rPr>
              <w:t>-超额管理费计提基准）×当期持有天数÷365×50%×产品份额×1.0000</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其中：</w:t>
            </w:r>
          </w:p>
          <w:p w:rsidR="007529F2" w:rsidRDefault="0070639F">
            <w:pPr>
              <w:adjustRightInd w:val="0"/>
              <w:snapToGrid w:val="0"/>
              <w:spacing w:line="300" w:lineRule="exact"/>
              <w:ind w:firstLine="420"/>
              <w:rPr>
                <w:rFonts w:ascii="仿宋" w:eastAsia="仿宋" w:hAnsi="仿宋" w:cs="Cambria"/>
                <w:b/>
                <w:bCs/>
                <w:szCs w:val="21"/>
              </w:rPr>
            </w:pPr>
            <w:proofErr w:type="gramStart"/>
            <w:r>
              <w:rPr>
                <w:rFonts w:ascii="仿宋" w:eastAsia="仿宋" w:hAnsi="仿宋" w:cs="Cambria" w:hint="eastAsia"/>
                <w:b/>
                <w:bCs/>
                <w:szCs w:val="21"/>
              </w:rPr>
              <w:t>年化收益率</w:t>
            </w:r>
            <w:proofErr w:type="gramEnd"/>
            <w:r>
              <w:rPr>
                <w:rFonts w:ascii="仿宋" w:eastAsia="仿宋" w:hAnsi="仿宋" w:cs="Cambria" w:hint="eastAsia"/>
                <w:b/>
                <w:bCs/>
                <w:szCs w:val="21"/>
              </w:rPr>
              <w:t>=（计提日累计单位净值-1.0000）÷1.0000×365÷当期持有天数。</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“产品份额”为产品份额，若有红利再投时，将剔除红利再投产生份额的影响。</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投资周期内每个估值日计提超额管理费，仅</w:t>
            </w:r>
            <w:proofErr w:type="gramStart"/>
            <w:r>
              <w:rPr>
                <w:rFonts w:ascii="仿宋" w:eastAsia="仿宋" w:hAnsi="仿宋" w:cs="Cambria" w:hint="eastAsia"/>
                <w:b/>
                <w:bCs/>
                <w:szCs w:val="21"/>
              </w:rPr>
              <w:t>作为暂估数据</w:t>
            </w:r>
            <w:proofErr w:type="gramEnd"/>
            <w:r>
              <w:rPr>
                <w:rFonts w:ascii="仿宋" w:eastAsia="仿宋" w:hAnsi="仿宋" w:cs="Cambria" w:hint="eastAsia"/>
                <w:b/>
                <w:bCs/>
                <w:szCs w:val="21"/>
              </w:rPr>
              <w:t>，用于本产品会计核算和估值日估值。仅到期/终止日为本产品超额管理费实际计提和收取日。</w:t>
            </w:r>
          </w:p>
          <w:p w:rsidR="007529F2" w:rsidRDefault="0070639F">
            <w:pPr>
              <w:adjustRightInd w:val="0"/>
              <w:snapToGrid w:val="0"/>
              <w:spacing w:line="300" w:lineRule="exact"/>
              <w:ind w:firstLine="420"/>
              <w:rPr>
                <w:rFonts w:ascii="仿宋" w:eastAsia="仿宋" w:hAnsi="仿宋"/>
                <w:b/>
                <w:bCs/>
                <w:szCs w:val="21"/>
                <w:u w:val="single"/>
              </w:rPr>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420"/>
              <w:jc w:val="left"/>
              <w:rPr>
                <w:rFonts w:ascii="仿宋" w:eastAsia="仿宋" w:hAnsi="仿宋"/>
                <w:bCs/>
                <w:szCs w:val="21"/>
              </w:rPr>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7529F2" w:rsidRDefault="0070639F">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lastRenderedPageBreak/>
              <w:t>日的</w:t>
            </w:r>
            <w:r>
              <w:rPr>
                <w:rFonts w:ascii="仿宋" w:eastAsia="仿宋" w:hAnsi="仿宋" w:hint="eastAsia"/>
                <w:bCs/>
                <w:szCs w:val="21"/>
              </w:rPr>
              <w:t>份额净值</w:t>
            </w:r>
            <w:r>
              <w:rPr>
                <w:rFonts w:ascii="仿宋" w:eastAsia="仿宋" w:hAnsi="仿宋"/>
                <w:bCs/>
                <w:szCs w:val="21"/>
              </w:rPr>
              <w:t>。</w:t>
            </w:r>
          </w:p>
        </w:tc>
      </w:tr>
      <w:tr w:rsidR="007529F2">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uto"/>
              <w:jc w:val="center"/>
              <w:rPr>
                <w:rFonts w:ascii="仿宋" w:eastAsia="仿宋" w:hAnsi="仿宋"/>
                <w:bCs/>
                <w:szCs w:val="21"/>
              </w:rPr>
            </w:pPr>
            <w:r>
              <w:rPr>
                <w:rFonts w:ascii="仿宋" w:eastAsia="仿宋" w:hAnsi="仿宋" w:hint="eastAsia"/>
                <w:bCs/>
                <w:szCs w:val="21"/>
              </w:rPr>
              <w:lastRenderedPageBreak/>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uto"/>
              <w:ind w:firstLineChars="200" w:firstLine="420"/>
              <w:jc w:val="left"/>
              <w:rPr>
                <w:rFonts w:ascii="仿宋" w:eastAsia="仿宋" w:hAnsi="仿宋" w:cs="宋体"/>
                <w:kern w:val="0"/>
                <w:szCs w:val="21"/>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7529F2" w:rsidRDefault="0070639F">
            <w:pPr>
              <w:adjustRightInd w:val="0"/>
              <w:snapToGrid w:val="0"/>
              <w:spacing w:line="300" w:lineRule="exact"/>
              <w:ind w:right="-44" w:firstLineChars="200" w:firstLine="420"/>
              <w:rPr>
                <w:rFonts w:ascii="仿宋" w:eastAsia="仿宋" w:hAnsi="仿宋"/>
                <w:bCs/>
                <w:szCs w:val="21"/>
              </w:rPr>
            </w:pPr>
            <w:r>
              <w:rPr>
                <w:rFonts w:ascii="仿宋" w:eastAsia="仿宋" w:hAnsi="仿宋" w:hint="eastAsia"/>
                <w:bCs/>
                <w:szCs w:val="21"/>
              </w:rPr>
              <w:t>指上海证券交易所和深圳证券交易所的交易日，且同时为银行对外办理一般对公业务的工作日。</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7529F2" w:rsidRDefault="0070639F">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7529F2" w:rsidRDefault="0070639F">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7529F2">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7529F2">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7529F2" w:rsidRDefault="0070639F">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7529F2" w:rsidRDefault="0070639F">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7529F2" w:rsidRDefault="0070639F">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7529F2" w:rsidRDefault="007529F2">
      <w:pPr>
        <w:pStyle w:val="Default"/>
        <w:snapToGrid w:val="0"/>
        <w:spacing w:afterLines="50" w:after="156" w:line="400" w:lineRule="exact"/>
        <w:ind w:firstLineChars="200" w:firstLine="482"/>
        <w:jc w:val="both"/>
        <w:rPr>
          <w:rFonts w:ascii="Times New Roman" w:eastAsia="黑体" w:cs="Times New Roman"/>
          <w:b/>
          <w:color w:val="auto"/>
        </w:rPr>
      </w:pPr>
    </w:p>
    <w:p w:rsidR="007529F2" w:rsidRDefault="0070639F">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w:t>
      </w:r>
      <w:r>
        <w:rPr>
          <w:rFonts w:ascii="Times New Roman" w:eastAsia="黑体" w:cs="Times New Roman" w:hint="eastAsia"/>
          <w:b/>
          <w:color w:val="auto"/>
        </w:rPr>
        <w:t>对象</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本理财产品将全部投资于境内市场固定收益类金融工具，包括货币市场工具类资产、标准化债权类资产及其他符合监管要求的固定收益类金融资产。</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本理财产品计划100%投资于存款类、同业存单及债券逆回购等低波动类资产。</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本产品可通过信托、证券、基金、期货、保险资产管理机构等依法设立的资产管理产品以及其他符合国家相关政策、法律法规的投资渠道和方式实现对上述投资品种的投资。</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其中货币市场工具类资产包括但不限于银行存款、大额存单、同业存单（CD）、短期融资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7529F2" w:rsidRDefault="0070639F">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0" w:type="auto"/>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62"/>
        <w:gridCol w:w="5138"/>
      </w:tblGrid>
      <w:tr w:rsidR="007529F2">
        <w:trPr>
          <w:trHeight w:val="447"/>
          <w:tblCellSpacing w:w="0" w:type="dxa"/>
        </w:trPr>
        <w:tc>
          <w:tcPr>
            <w:tcW w:w="2762" w:type="dxa"/>
            <w:vAlign w:val="center"/>
          </w:tcPr>
          <w:p w:rsidR="007529F2" w:rsidRDefault="0070639F">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5138" w:type="dxa"/>
            <w:vAlign w:val="center"/>
          </w:tcPr>
          <w:p w:rsidR="007529F2" w:rsidRDefault="0070639F">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7529F2">
        <w:trPr>
          <w:trHeight w:val="447"/>
          <w:tblCellSpacing w:w="0" w:type="dxa"/>
        </w:trPr>
        <w:tc>
          <w:tcPr>
            <w:tcW w:w="2762" w:type="dxa"/>
            <w:vAlign w:val="center"/>
          </w:tcPr>
          <w:p w:rsidR="007529F2" w:rsidRDefault="0070639F">
            <w:pPr>
              <w:keepNext/>
              <w:adjustRightInd w:val="0"/>
              <w:snapToGrid w:val="0"/>
              <w:jc w:val="center"/>
              <w:rPr>
                <w:rFonts w:eastAsia="仿宋"/>
                <w:kern w:val="0"/>
                <w:sz w:val="24"/>
              </w:rPr>
            </w:pPr>
            <w:r>
              <w:rPr>
                <w:rFonts w:ascii="仿宋" w:eastAsia="仿宋" w:hAnsi="仿宋" w:cs="宋体" w:hint="eastAsia"/>
                <w:color w:val="000000"/>
                <w:kern w:val="0"/>
                <w:sz w:val="24"/>
              </w:rPr>
              <w:t>货币市场工具</w:t>
            </w:r>
          </w:p>
        </w:tc>
        <w:tc>
          <w:tcPr>
            <w:tcW w:w="5138" w:type="dxa"/>
            <w:vAlign w:val="center"/>
          </w:tcPr>
          <w:p w:rsidR="007529F2" w:rsidRDefault="0070639F">
            <w:pPr>
              <w:keepNext/>
              <w:adjustRightInd w:val="0"/>
              <w:snapToGrid w:val="0"/>
              <w:spacing w:line="400" w:lineRule="exact"/>
              <w:jc w:val="center"/>
              <w:rPr>
                <w:rFonts w:eastAsia="仿宋"/>
                <w:kern w:val="0"/>
                <w:sz w:val="24"/>
              </w:rPr>
            </w:pPr>
            <w:r>
              <w:rPr>
                <w:rFonts w:ascii="仿宋" w:eastAsia="仿宋" w:hAnsi="仿宋" w:cs="宋体" w:hint="eastAsia"/>
                <w:color w:val="000000"/>
                <w:kern w:val="0"/>
                <w:sz w:val="24"/>
              </w:rPr>
              <w:t>0%-100%</w:t>
            </w:r>
          </w:p>
        </w:tc>
      </w:tr>
      <w:tr w:rsidR="007529F2">
        <w:trPr>
          <w:trHeight w:val="447"/>
          <w:tblCellSpacing w:w="0" w:type="dxa"/>
        </w:trPr>
        <w:tc>
          <w:tcPr>
            <w:tcW w:w="2762" w:type="dxa"/>
            <w:vAlign w:val="center"/>
          </w:tcPr>
          <w:p w:rsidR="007529F2" w:rsidRDefault="0070639F">
            <w:pPr>
              <w:adjustRightInd w:val="0"/>
              <w:snapToGrid w:val="0"/>
              <w:jc w:val="center"/>
              <w:rPr>
                <w:rFonts w:ascii="仿宋" w:eastAsia="仿宋" w:hAnsi="仿宋" w:cs="宋体"/>
                <w:color w:val="000000"/>
                <w:kern w:val="0"/>
                <w:sz w:val="24"/>
              </w:rPr>
            </w:pPr>
            <w:r>
              <w:rPr>
                <w:rFonts w:ascii="仿宋" w:eastAsia="仿宋" w:hAnsi="仿宋" w:cs="宋体" w:hint="eastAsia"/>
                <w:color w:val="000000"/>
                <w:kern w:val="0"/>
                <w:sz w:val="24"/>
              </w:rPr>
              <w:t>标准化债权类</w:t>
            </w:r>
          </w:p>
        </w:tc>
        <w:tc>
          <w:tcPr>
            <w:tcW w:w="5138" w:type="dxa"/>
            <w:vAlign w:val="center"/>
          </w:tcPr>
          <w:p w:rsidR="007529F2" w:rsidRDefault="0070639F">
            <w:pPr>
              <w:adjustRightInd w:val="0"/>
              <w:snapToGrid w:val="0"/>
              <w:spacing w:line="400" w:lineRule="exact"/>
              <w:jc w:val="center"/>
              <w:rPr>
                <w:rFonts w:ascii="仿宋" w:eastAsia="仿宋" w:hAnsi="仿宋" w:cs="宋体"/>
                <w:color w:val="000000"/>
                <w:kern w:val="0"/>
                <w:sz w:val="24"/>
              </w:rPr>
            </w:pPr>
            <w:r>
              <w:rPr>
                <w:rFonts w:ascii="仿宋" w:eastAsia="仿宋" w:hAnsi="仿宋" w:cs="宋体" w:hint="eastAsia"/>
                <w:color w:val="000000"/>
                <w:kern w:val="0"/>
                <w:sz w:val="24"/>
              </w:rPr>
              <w:t>0%-100%</w:t>
            </w:r>
          </w:p>
        </w:tc>
      </w:tr>
    </w:tbl>
    <w:p w:rsidR="007529F2" w:rsidRDefault="0070639F">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7529F2" w:rsidRDefault="0070639F">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7529F2" w:rsidRDefault="007529F2">
      <w:pPr>
        <w:widowControl/>
        <w:adjustRightInd w:val="0"/>
        <w:snapToGrid w:val="0"/>
        <w:spacing w:line="276" w:lineRule="auto"/>
        <w:ind w:firstLineChars="200" w:firstLine="482"/>
        <w:contextualSpacing/>
        <w:rPr>
          <w:rFonts w:ascii="仿宋" w:eastAsia="仿宋" w:hAnsi="仿宋" w:cs="宋体"/>
          <w:b/>
          <w:bCs/>
          <w:color w:val="000000"/>
          <w:kern w:val="0"/>
          <w:sz w:val="24"/>
        </w:rPr>
      </w:pPr>
    </w:p>
    <w:p w:rsidR="007529F2" w:rsidRDefault="0070639F">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7529F2" w:rsidRDefault="0070639F">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w:t>
      </w:r>
      <w:r>
        <w:rPr>
          <w:rFonts w:ascii="仿宋" w:eastAsia="仿宋" w:hAnsi="仿宋" w:cs="宋体" w:hint="eastAsia"/>
          <w:color w:val="000000"/>
          <w:kern w:val="0"/>
          <w:sz w:val="24"/>
        </w:rPr>
        <w:lastRenderedPageBreak/>
        <w:t>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7529F2" w:rsidRDefault="0070639F">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7529F2" w:rsidRDefault="0070639F">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7529F2" w:rsidRDefault="0070639F" w:rsidP="00C472F0">
      <w:pPr>
        <w:pStyle w:val="Default"/>
        <w:keepNex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五</w:t>
      </w:r>
      <w:r>
        <w:rPr>
          <w:rFonts w:ascii="Times New Roman" w:eastAsia="黑体" w:cs="Times New Roman"/>
          <w:b/>
          <w:color w:val="auto"/>
        </w:rPr>
        <w:t>、认购</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7529F2" w:rsidRDefault="0070639F">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7529F2" w:rsidRDefault="0070639F">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7529F2" w:rsidRDefault="0070639F">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7529F2" w:rsidRDefault="0070639F">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7529F2" w:rsidRDefault="0070639F">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7529F2" w:rsidRDefault="0070639F">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1.00</w:t>
      </w:r>
      <w:r w:rsidR="00010FE2">
        <w:rPr>
          <w:rFonts w:ascii="仿宋" w:eastAsia="仿宋" w:hAnsi="仿宋" w:cs="仿宋"/>
          <w:sz w:val="24"/>
        </w:rPr>
        <w:t>1</w:t>
      </w:r>
      <w:r>
        <w:rPr>
          <w:rFonts w:ascii="仿宋" w:eastAsia="仿宋" w:hAnsi="仿宋" w:cs="仿宋"/>
          <w:sz w:val="24"/>
        </w:rPr>
        <w:t>0</w:t>
      </w:r>
      <w:r>
        <w:rPr>
          <w:rFonts w:ascii="仿宋" w:eastAsia="仿宋" w:hAnsi="仿宋" w:cs="仿宋" w:hint="eastAsia"/>
          <w:sz w:val="24"/>
        </w:rPr>
        <w:t>，客户到期获得的金额为：</w:t>
      </w:r>
      <w:r>
        <w:rPr>
          <w:rFonts w:ascii="仿宋" w:eastAsia="仿宋" w:hAnsi="仿宋" w:cs="仿宋"/>
          <w:sz w:val="24"/>
        </w:rPr>
        <w:t>100,000*1.00</w:t>
      </w:r>
      <w:r w:rsidR="00010FE2">
        <w:rPr>
          <w:rFonts w:ascii="仿宋" w:eastAsia="仿宋" w:hAnsi="仿宋" w:cs="仿宋"/>
          <w:sz w:val="24"/>
        </w:rPr>
        <w:t>1</w:t>
      </w:r>
      <w:r>
        <w:rPr>
          <w:rFonts w:ascii="仿宋" w:eastAsia="仿宋" w:hAnsi="仿宋" w:cs="仿宋"/>
          <w:sz w:val="24"/>
        </w:rPr>
        <w:t>0=100</w:t>
      </w:r>
      <w:r w:rsidR="00010FE2">
        <w:rPr>
          <w:rFonts w:ascii="仿宋" w:eastAsia="仿宋" w:hAnsi="仿宋" w:cs="仿宋"/>
          <w:sz w:val="24"/>
        </w:rPr>
        <w:t>,1</w:t>
      </w:r>
      <w:r>
        <w:rPr>
          <w:rFonts w:ascii="仿宋" w:eastAsia="仿宋" w:hAnsi="仿宋" w:cs="仿宋"/>
          <w:sz w:val="24"/>
        </w:rPr>
        <w:t>00.00</w:t>
      </w:r>
      <w:r>
        <w:rPr>
          <w:rFonts w:ascii="仿宋" w:eastAsia="仿宋" w:hAnsi="仿宋" w:cs="仿宋" w:hint="eastAsia"/>
          <w:sz w:val="24"/>
        </w:rPr>
        <w:t>元</w:t>
      </w:r>
    </w:p>
    <w:p w:rsidR="007529F2" w:rsidRDefault="0070639F">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7529F2" w:rsidRDefault="0070639F">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7529F2" w:rsidRDefault="0070639F">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7529F2" w:rsidRDefault="0070639F">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w:t>
      </w:r>
      <w:r>
        <w:rPr>
          <w:rFonts w:eastAsia="黑体" w:hint="eastAsia"/>
          <w:b/>
          <w:sz w:val="24"/>
        </w:rPr>
        <w:lastRenderedPageBreak/>
        <w:t>财本金，投资者应在对此风险有充分认识基础上谨慎投资。</w:t>
      </w:r>
    </w:p>
    <w:p w:rsidR="007529F2" w:rsidRDefault="0070639F">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7529F2" w:rsidRDefault="0070639F">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本理财产品所投资的银行存款、货币市场工具等标准化债权类资产以及资产管理产品等资产。</w:t>
      </w:r>
    </w:p>
    <w:p w:rsidR="007529F2" w:rsidRDefault="0070639F">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7529F2" w:rsidRDefault="0070639F">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w:t>
      </w:r>
      <w:r>
        <w:rPr>
          <w:rFonts w:ascii="仿宋" w:eastAsia="仿宋" w:hAnsi="仿宋" w:hint="eastAsia"/>
          <w:color w:val="auto"/>
        </w:rPr>
        <w:lastRenderedPageBreak/>
        <w:t>提供的流动性折扣进行估值。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w:t>
      </w:r>
      <w:r>
        <w:rPr>
          <w:rFonts w:ascii="仿宋" w:eastAsia="仿宋" w:hAnsi="仿宋" w:hint="eastAsia"/>
          <w:color w:val="auto"/>
        </w:rPr>
        <w:lastRenderedPageBreak/>
        <w:t>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7529F2" w:rsidRDefault="0070639F">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7529F2" w:rsidRDefault="0070639F">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7529F2" w:rsidRDefault="0070639F">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7529F2" w:rsidRDefault="0070639F">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7529F2" w:rsidRDefault="0070639F">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7529F2" w:rsidRDefault="0070639F">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7529F2" w:rsidRDefault="0070639F">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7529F2" w:rsidRDefault="0070639F">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7529F2" w:rsidRDefault="0070639F">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6" w:name="_Hlk76300274"/>
      <w:r>
        <w:rPr>
          <w:rFonts w:ascii="Times New Roman" w:eastAsia="黑体" w:cs="Times New Roman" w:hint="eastAsia"/>
          <w:b/>
          <w:color w:val="auto"/>
        </w:rPr>
        <w:t>所投资的资产</w:t>
      </w:r>
      <w:bookmarkEnd w:id="6"/>
      <w:r>
        <w:rPr>
          <w:rFonts w:ascii="Times New Roman" w:eastAsia="黑体" w:cs="Times New Roman" w:hint="eastAsia"/>
          <w:b/>
          <w:color w:val="auto"/>
        </w:rPr>
        <w:t>发行人、资产管理计划管理人、</w:t>
      </w:r>
      <w:r>
        <w:rPr>
          <w:rFonts w:ascii="Times New Roman" w:eastAsia="黑体" w:cs="Times New Roman" w:hint="eastAsia"/>
          <w:b/>
          <w:color w:val="auto"/>
        </w:rPr>
        <w:lastRenderedPageBreak/>
        <w:t>信托受托人、债务人、担保人（如有）等相关主体发生违约，可能导致无法按时支付本金及理财收益，进而导致本理财产品收益为零甚至本金遭受损失。</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7529F2" w:rsidRDefault="0070639F">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7"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7"/>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w:t>
      </w:r>
      <w:r>
        <w:rPr>
          <w:rFonts w:ascii="Times New Roman" w:eastAsia="黑体" w:cs="Times New Roman" w:hint="eastAsia"/>
          <w:b/>
          <w:color w:val="auto"/>
        </w:rPr>
        <w:lastRenderedPageBreak/>
        <w:t>者未及时告知导致的信息传递失败的风险由投资者自行承担。</w:t>
      </w:r>
    </w:p>
    <w:p w:rsidR="007529F2" w:rsidRDefault="0070639F">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7529F2" w:rsidRDefault="0070639F">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7529F2" w:rsidRDefault="0070639F">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7529F2" w:rsidRDefault="0070639F" w:rsidP="00C472F0">
      <w:pPr>
        <w:pStyle w:val="Default"/>
        <w:keepNex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7529F2" w:rsidRDefault="0070639F">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lastRenderedPageBreak/>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7529F2" w:rsidRDefault="0070639F">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lastRenderedPageBreak/>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7529F2" w:rsidRDefault="0070639F">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7529F2" w:rsidRDefault="0070639F">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7529F2" w:rsidRDefault="0070639F">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7529F2" w:rsidRDefault="007529F2">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7529F2" w:rsidRDefault="007529F2">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72F0" w:rsidRDefault="00C472F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72F0" w:rsidRDefault="00C472F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72F0" w:rsidRDefault="00C472F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72F0" w:rsidRDefault="00C472F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72F0" w:rsidRDefault="00C472F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72F0" w:rsidRDefault="00C472F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72F0" w:rsidRDefault="00C472F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7529F2" w:rsidRDefault="007529F2">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7529F2" w:rsidRDefault="007529F2">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lastRenderedPageBreak/>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7529F2" w:rsidRDefault="007529F2">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7529F2" w:rsidRDefault="007529F2">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7529F2" w:rsidRDefault="0070639F">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70639F" w:rsidRDefault="0070639F">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70639F">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0FE2"/>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200F"/>
    <w:rsid w:val="001D2415"/>
    <w:rsid w:val="001E0732"/>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B5A7F"/>
    <w:rsid w:val="002F6B80"/>
    <w:rsid w:val="00305047"/>
    <w:rsid w:val="00316AFC"/>
    <w:rsid w:val="003243A1"/>
    <w:rsid w:val="00332318"/>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23E7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81C15"/>
    <w:rsid w:val="00697279"/>
    <w:rsid w:val="006A3BD2"/>
    <w:rsid w:val="006B3B6A"/>
    <w:rsid w:val="006B7A12"/>
    <w:rsid w:val="006C3E53"/>
    <w:rsid w:val="006D0017"/>
    <w:rsid w:val="006D1929"/>
    <w:rsid w:val="006D5CC0"/>
    <w:rsid w:val="006D61F9"/>
    <w:rsid w:val="006E465C"/>
    <w:rsid w:val="006E5108"/>
    <w:rsid w:val="006F108E"/>
    <w:rsid w:val="0070057F"/>
    <w:rsid w:val="0070639F"/>
    <w:rsid w:val="00712D65"/>
    <w:rsid w:val="00714FA0"/>
    <w:rsid w:val="007529F2"/>
    <w:rsid w:val="0075453D"/>
    <w:rsid w:val="00755C63"/>
    <w:rsid w:val="00757C4D"/>
    <w:rsid w:val="007660D1"/>
    <w:rsid w:val="0077151B"/>
    <w:rsid w:val="0078428F"/>
    <w:rsid w:val="00792A0A"/>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5117E"/>
    <w:rsid w:val="00B64A10"/>
    <w:rsid w:val="00B7068C"/>
    <w:rsid w:val="00B835AA"/>
    <w:rsid w:val="00B86087"/>
    <w:rsid w:val="00B90CDB"/>
    <w:rsid w:val="00B960A6"/>
    <w:rsid w:val="00B97A5C"/>
    <w:rsid w:val="00BE486A"/>
    <w:rsid w:val="00BF042F"/>
    <w:rsid w:val="00C00CA6"/>
    <w:rsid w:val="00C20594"/>
    <w:rsid w:val="00C2501F"/>
    <w:rsid w:val="00C26621"/>
    <w:rsid w:val="00C34C70"/>
    <w:rsid w:val="00C472F0"/>
    <w:rsid w:val="00C51BDC"/>
    <w:rsid w:val="00C7590C"/>
    <w:rsid w:val="00CA6243"/>
    <w:rsid w:val="00CB07A0"/>
    <w:rsid w:val="00CB300C"/>
    <w:rsid w:val="00CC6613"/>
    <w:rsid w:val="00CD1AC8"/>
    <w:rsid w:val="00D03E60"/>
    <w:rsid w:val="00D069E2"/>
    <w:rsid w:val="00D06EC1"/>
    <w:rsid w:val="00D07C3B"/>
    <w:rsid w:val="00D20E48"/>
    <w:rsid w:val="00D5099C"/>
    <w:rsid w:val="00D54E89"/>
    <w:rsid w:val="00D62515"/>
    <w:rsid w:val="00D62EAE"/>
    <w:rsid w:val="00D633D2"/>
    <w:rsid w:val="00D7194A"/>
    <w:rsid w:val="00D74E35"/>
    <w:rsid w:val="00D7638E"/>
    <w:rsid w:val="00D81EE7"/>
    <w:rsid w:val="00D842DC"/>
    <w:rsid w:val="00D92F2F"/>
    <w:rsid w:val="00D96806"/>
    <w:rsid w:val="00DA1051"/>
    <w:rsid w:val="00DB3201"/>
    <w:rsid w:val="00DB5CD9"/>
    <w:rsid w:val="00DB6A3F"/>
    <w:rsid w:val="00DC5F87"/>
    <w:rsid w:val="00DE1803"/>
    <w:rsid w:val="00DE7DB8"/>
    <w:rsid w:val="00DF01F0"/>
    <w:rsid w:val="00E01C5E"/>
    <w:rsid w:val="00E02F1C"/>
    <w:rsid w:val="00E064E3"/>
    <w:rsid w:val="00E06630"/>
    <w:rsid w:val="00E254D4"/>
    <w:rsid w:val="00E32C0D"/>
    <w:rsid w:val="00E53D13"/>
    <w:rsid w:val="00E62046"/>
    <w:rsid w:val="00E65F0B"/>
    <w:rsid w:val="00E8067C"/>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A70D5"/>
    <w:rsid w:val="00FB10EC"/>
    <w:rsid w:val="00FC0983"/>
    <w:rsid w:val="00FC21F8"/>
    <w:rsid w:val="00FC6689"/>
    <w:rsid w:val="00FC72F2"/>
    <w:rsid w:val="00FF1A4F"/>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37B56"/>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E3163D"/>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B2942A8"/>
    <w:rsid w:val="2BBB2833"/>
    <w:rsid w:val="2BC42334"/>
    <w:rsid w:val="2C1011CD"/>
    <w:rsid w:val="2C40390A"/>
    <w:rsid w:val="2C4C703B"/>
    <w:rsid w:val="2C994559"/>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76CB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AB715E"/>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3D63BB7"/>
    <w:rsid w:val="445A3B32"/>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1C3F8C"/>
    <w:rsid w:val="4C263A21"/>
    <w:rsid w:val="4C973694"/>
    <w:rsid w:val="4CCE54E6"/>
    <w:rsid w:val="4D5D4C67"/>
    <w:rsid w:val="4EC3046A"/>
    <w:rsid w:val="4ECD4D2C"/>
    <w:rsid w:val="4EDD4EDE"/>
    <w:rsid w:val="4EE45C33"/>
    <w:rsid w:val="4EED4C04"/>
    <w:rsid w:val="4F323CFA"/>
    <w:rsid w:val="4FDD6C50"/>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54B61"/>
    <w:rsid w:val="62460A47"/>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C3F8C"/>
    <w:rsid w:val="6AFD414A"/>
    <w:rsid w:val="6B4C2F45"/>
    <w:rsid w:val="6B6E4269"/>
    <w:rsid w:val="6B961612"/>
    <w:rsid w:val="6B966680"/>
    <w:rsid w:val="6BEA36B3"/>
    <w:rsid w:val="6C161AD0"/>
    <w:rsid w:val="6D157AE9"/>
    <w:rsid w:val="6D275220"/>
    <w:rsid w:val="6D2E7D50"/>
    <w:rsid w:val="6DD90E21"/>
    <w:rsid w:val="6DE0162F"/>
    <w:rsid w:val="6DFA3383"/>
    <w:rsid w:val="6E1A49C5"/>
    <w:rsid w:val="6E254EA7"/>
    <w:rsid w:val="6E3C5181"/>
    <w:rsid w:val="6E4B2AEB"/>
    <w:rsid w:val="6EBB30B7"/>
    <w:rsid w:val="6F0D185D"/>
    <w:rsid w:val="6F786BDA"/>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0D59F8"/>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chartTrackingRefBased/>
  <w15:docId w15:val="{88AC980E-4E23-4619-9721-448D9CC71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qFormat/>
    <w:rPr>
      <w:sz w:val="21"/>
      <w:szCs w:val="21"/>
    </w:rPr>
  </w:style>
  <w:style w:type="character" w:customStyle="1" w:styleId="Char">
    <w:name w:val="批注文字 Char"/>
    <w:link w:val="a4"/>
    <w:qFormat/>
    <w:rPr>
      <w:kern w:val="2"/>
      <w:sz w:val="21"/>
      <w:szCs w:val="24"/>
    </w:rPr>
  </w:style>
  <w:style w:type="character" w:customStyle="1" w:styleId="Char0">
    <w:name w:val="批注主题 Char"/>
    <w:link w:val="a5"/>
    <w:qFormat/>
    <w:rPr>
      <w:b/>
      <w:bCs/>
      <w:kern w:val="2"/>
      <w:sz w:val="21"/>
      <w:szCs w:val="24"/>
    </w:rPr>
  </w:style>
  <w:style w:type="paragraph" w:styleId="a5">
    <w:name w:val="annotation subject"/>
    <w:basedOn w:val="a4"/>
    <w:next w:val="a4"/>
    <w:link w:val="Char0"/>
    <w:qFormat/>
    <w:rPr>
      <w:b/>
      <w:bCs/>
    </w:rPr>
  </w:style>
  <w:style w:type="paragraph" w:styleId="a4">
    <w:name w:val="annotation text"/>
    <w:basedOn w:val="a"/>
    <w:link w:val="Char"/>
    <w:qFormat/>
    <w:pPr>
      <w:jc w:val="left"/>
    </w:p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20"/>
    </w:rPr>
  </w:style>
  <w:style w:type="paragraph" w:styleId="a8">
    <w:name w:val="Balloon Text"/>
    <w:basedOn w:val="a"/>
    <w:semiHidden/>
    <w:qFormat/>
    <w:rPr>
      <w:sz w:val="18"/>
      <w:szCs w:val="18"/>
    </w:rPr>
  </w:style>
  <w:style w:type="paragraph" w:styleId="a9">
    <w:name w:val="Body Text Indent"/>
    <w:basedOn w:val="a"/>
    <w:unhideWhenUsed/>
    <w:qFormat/>
    <w:pPr>
      <w:ind w:firstLine="630"/>
    </w:pPr>
    <w:rPr>
      <w:kern w:val="0"/>
      <w:sz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2375</Words>
  <Characters>13542</Characters>
  <Application>Microsoft Office Word</Application>
  <DocSecurity>0</DocSecurity>
  <PresentationFormat/>
  <Lines>112</Lines>
  <Paragraphs>31</Paragraphs>
  <Slides>0</Slides>
  <Notes>0</Notes>
  <HiddenSlides>0</HiddenSlides>
  <MMClips>0</MMClips>
  <ScaleCrop>false</ScaleCrop>
  <Manager/>
  <Company>华夏银行总行</Company>
  <LinksUpToDate>false</LinksUpToDate>
  <CharactersWithSpaces>15886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华夏理财固定收益纯债型封闭式</dc:title>
  <dc:subject/>
  <dc:creator>ylh</dc:creator>
  <cp:keywords>满存</cp:keywords>
  <dc:description/>
  <cp:lastModifiedBy>产品营销部</cp:lastModifiedBy>
  <cp:revision>4</cp:revision>
  <cp:lastPrinted>2023-03-20T06:17:00Z</cp:lastPrinted>
  <dcterms:created xsi:type="dcterms:W3CDTF">2023-03-20T06:14:00Z</dcterms:created>
  <dcterms:modified xsi:type="dcterms:W3CDTF">2023-03-20T06:18:00Z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