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w:t>
      </w:r>
      <w:r>
        <w:rPr>
          <w:rFonts w:hint="eastAsia" w:eastAsia="黑体"/>
          <w:bCs/>
          <w:sz w:val="36"/>
          <w:szCs w:val="36"/>
          <w:lang w:val="en-US" w:eastAsia="zh-CN"/>
        </w:rPr>
        <w:t>09</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09</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简称：“华夏理财固收债权封闭1</w:t>
            </w:r>
            <w:r>
              <w:rPr>
                <w:rFonts w:hint="eastAsia" w:ascii="仿宋" w:hAnsi="仿宋" w:eastAsia="仿宋"/>
                <w:b/>
                <w:bCs/>
                <w:szCs w:val="21"/>
                <w:lang w:val="en-US" w:eastAsia="zh-CN"/>
              </w:rPr>
              <w:t>09</w:t>
            </w:r>
            <w:r>
              <w:rPr>
                <w:rFonts w:hint="eastAsia" w:ascii="仿宋" w:hAnsi="仿宋" w:eastAsia="仿宋"/>
                <w:b/>
                <w:bCs/>
                <w:szCs w:val="21"/>
              </w:rPr>
              <w:t>号</w:t>
            </w:r>
            <w:r>
              <w:rPr>
                <w:rFonts w:hint="eastAsia" w:ascii="仿宋" w:hAnsi="仿宋" w:eastAsia="仿宋"/>
                <w:b/>
                <w:bCs/>
                <w:szCs w:val="21"/>
                <w:lang w:val="en-US" w:eastAsia="zh-CN"/>
              </w:rPr>
              <w:t>386</w:t>
            </w:r>
            <w:r>
              <w:rPr>
                <w:rFonts w:hint="eastAsia" w:ascii="仿宋" w:hAnsi="仿宋" w:eastAsia="仿宋"/>
                <w:b/>
                <w:bCs/>
                <w:szCs w:val="21"/>
              </w:rPr>
              <w:t>天</w:t>
            </w:r>
            <w:r>
              <w:rPr>
                <w:rFonts w:hint="eastAsia" w:ascii="仿宋" w:hAnsi="仿宋" w:eastAsia="仿宋"/>
                <w:b/>
                <w:bCs/>
                <w:szCs w:val="21"/>
                <w:lang w:val="en-US" w:eastAsia="zh-CN"/>
              </w:rPr>
              <w:t>N南京专属</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09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41</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eastAsia" w:ascii="仿宋" w:hAnsi="仿宋" w:eastAsia="仿宋" w:cs="Cambria"/>
                <w:bCs/>
                <w:szCs w:val="21"/>
                <w:lang w:val="en-US" w:eastAsia="zh-CN"/>
              </w:rPr>
              <w:t>3.90%-4</w:t>
            </w:r>
            <w:r>
              <w:rPr>
                <w:rFonts w:hint="eastAsia" w:ascii="仿宋" w:hAnsi="仿宋" w:eastAsia="仿宋" w:cs="Cambria"/>
                <w:bCs/>
                <w:szCs w:val="21"/>
              </w:rPr>
              <w:t>.</w:t>
            </w:r>
            <w:r>
              <w:rPr>
                <w:rFonts w:hint="eastAsia" w:ascii="仿宋" w:hAnsi="仿宋" w:eastAsia="仿宋" w:cs="Cambria"/>
                <w:bCs/>
                <w:szCs w:val="21"/>
                <w:lang w:val="en-US" w:eastAsia="zh-CN"/>
              </w:rPr>
              <w:t>1</w:t>
            </w:r>
            <w:r>
              <w:rPr>
                <w:rFonts w:hint="eastAsia" w:ascii="仿宋" w:hAnsi="仿宋" w:eastAsia="仿宋" w:cs="Cambria"/>
                <w:bCs/>
                <w:szCs w:val="21"/>
              </w:rPr>
              <w:t>0%（年化）。</w:t>
            </w:r>
            <w:r>
              <w:rPr>
                <w:rFonts w:hint="eastAsia" w:ascii="仿宋" w:hAnsi="仿宋" w:eastAsia="仿宋" w:cs="Cambria"/>
                <w:bCs/>
                <w:i w:val="0"/>
                <w:iCs w:val="0"/>
                <w:szCs w:val="21"/>
                <w:highlight w:val="none"/>
              </w:rPr>
              <w:t>以产品投资债券类资产仓位</w:t>
            </w:r>
            <w:r>
              <w:rPr>
                <w:rFonts w:hint="eastAsia" w:ascii="仿宋" w:hAnsi="仿宋" w:eastAsia="仿宋" w:cs="Cambria"/>
                <w:bCs/>
                <w:i w:val="0"/>
                <w:iCs w:val="0"/>
                <w:szCs w:val="21"/>
                <w:highlight w:val="none"/>
                <w:lang w:val="en-US" w:eastAsia="zh-CN"/>
              </w:rPr>
              <w:t>55</w:t>
            </w:r>
            <w:r>
              <w:rPr>
                <w:rFonts w:hint="eastAsia" w:ascii="仿宋" w:hAnsi="仿宋" w:eastAsia="仿宋" w:cs="Cambria"/>
                <w:bCs/>
                <w:i w:val="0"/>
                <w:iCs w:val="0"/>
                <w:szCs w:val="21"/>
                <w:highlight w:val="none"/>
              </w:rPr>
              <w:t>%-100%，非标债权类资产仓位0-4</w:t>
            </w:r>
            <w:r>
              <w:rPr>
                <w:rFonts w:hint="eastAsia" w:ascii="仿宋" w:hAnsi="仿宋" w:eastAsia="仿宋" w:cs="Cambria"/>
                <w:bCs/>
                <w:i w:val="0"/>
                <w:iCs w:val="0"/>
                <w:szCs w:val="21"/>
                <w:highlight w:val="none"/>
                <w:lang w:val="en-US" w:eastAsia="zh-CN"/>
              </w:rPr>
              <w:t>5</w:t>
            </w:r>
            <w:r>
              <w:rPr>
                <w:rFonts w:hint="eastAsia" w:ascii="仿宋" w:hAnsi="仿宋" w:eastAsia="仿宋" w:cs="Cambria"/>
                <w:bCs/>
                <w:i w:val="0"/>
                <w:iCs w:val="0"/>
                <w:szCs w:val="21"/>
                <w:highlight w:val="none"/>
              </w:rPr>
              <w:t>%，组合杠杆率100%-1</w:t>
            </w:r>
            <w:r>
              <w:rPr>
                <w:rFonts w:hint="eastAsia" w:ascii="仿宋" w:hAnsi="仿宋" w:eastAsia="仿宋" w:cs="Cambria"/>
                <w:bCs/>
                <w:i w:val="0"/>
                <w:iCs w:val="0"/>
                <w:szCs w:val="21"/>
                <w:highlight w:val="none"/>
                <w:lang w:eastAsia="zh-CN"/>
              </w:rPr>
              <w:t>4</w:t>
            </w:r>
            <w:r>
              <w:rPr>
                <w:rFonts w:hint="eastAsia" w:ascii="仿宋" w:hAnsi="仿宋" w:eastAsia="仿宋" w:cs="Cambria"/>
                <w:bCs/>
                <w:i w:val="0"/>
                <w:iCs w:val="0"/>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386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hint="eastAsia" w:ascii="仿宋" w:hAnsi="仿宋" w:eastAsia="仿宋"/>
                <w:b/>
                <w:szCs w:val="21"/>
                <w:lang w:val="en-US" w:eastAsia="zh-CN"/>
              </w:rPr>
              <w:t>0.10%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超额管理费计提基准为</w:t>
            </w:r>
            <w:r>
              <w:rPr>
                <w:rFonts w:ascii="仿宋" w:hAnsi="仿宋" w:eastAsia="仿宋"/>
                <w:b/>
                <w:szCs w:val="21"/>
              </w:rPr>
              <w:t>4.</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bookmarkStart w:id="6" w:name="_GoBack"/>
      <w:bookmarkEnd w:id="6"/>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A983E05"/>
    <w:rsid w:val="0D3600BA"/>
    <w:rsid w:val="0D6C5F44"/>
    <w:rsid w:val="0DD32259"/>
    <w:rsid w:val="0E73282A"/>
    <w:rsid w:val="0EF43DB9"/>
    <w:rsid w:val="0F850895"/>
    <w:rsid w:val="102F133E"/>
    <w:rsid w:val="103E2F8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AB1F1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0662A6"/>
    <w:rsid w:val="1D104FDC"/>
    <w:rsid w:val="1D117096"/>
    <w:rsid w:val="1DE516B8"/>
    <w:rsid w:val="1E047274"/>
    <w:rsid w:val="1E2F7887"/>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0E5AEA"/>
    <w:rsid w:val="26103F21"/>
    <w:rsid w:val="27914154"/>
    <w:rsid w:val="27C604DA"/>
    <w:rsid w:val="27EA63D1"/>
    <w:rsid w:val="287A5D0E"/>
    <w:rsid w:val="28B05EE9"/>
    <w:rsid w:val="28D30187"/>
    <w:rsid w:val="28D53151"/>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6D84DBF"/>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A5F14"/>
    <w:rsid w:val="51844BB9"/>
    <w:rsid w:val="51954E8A"/>
    <w:rsid w:val="519B5496"/>
    <w:rsid w:val="52667895"/>
    <w:rsid w:val="52B20439"/>
    <w:rsid w:val="52B95D52"/>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A631A"/>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B11643"/>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A805D6"/>
    <w:rsid w:val="74A870B6"/>
    <w:rsid w:val="74EC6D1E"/>
    <w:rsid w:val="74FA0674"/>
    <w:rsid w:val="75385547"/>
    <w:rsid w:val="754F1383"/>
    <w:rsid w:val="75DC198B"/>
    <w:rsid w:val="75E25A77"/>
    <w:rsid w:val="762A07F6"/>
    <w:rsid w:val="764A2B58"/>
    <w:rsid w:val="76661B90"/>
    <w:rsid w:val="766878D1"/>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2377</Words>
  <Characters>13550</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2023-06-08T02:26:35Z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