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w:t>
      </w:r>
      <w:r>
        <w:rPr>
          <w:rFonts w:hint="eastAsia" w:eastAsia="黑体"/>
          <w:bCs/>
          <w:kern w:val="2"/>
          <w:sz w:val="36"/>
          <w:szCs w:val="36"/>
          <w:lang w:val="en-US" w:eastAsia="zh-CN"/>
        </w:rPr>
        <w:t>悦慧</w:t>
      </w:r>
      <w:r>
        <w:rPr>
          <w:rFonts w:hint="eastAsia" w:eastAsia="黑体"/>
          <w:bCs/>
          <w:kern w:val="2"/>
          <w:sz w:val="36"/>
          <w:szCs w:val="36"/>
        </w:rPr>
        <w:t>最短持有</w:t>
      </w:r>
      <w:r>
        <w:rPr>
          <w:rFonts w:hint="eastAsia" w:eastAsia="黑体"/>
          <w:bCs/>
          <w:kern w:val="2"/>
          <w:sz w:val="36"/>
          <w:szCs w:val="36"/>
          <w:lang w:val="en-US" w:eastAsia="zh-CN"/>
        </w:rPr>
        <w:t>30</w:t>
      </w:r>
      <w:r>
        <w:rPr>
          <w:rFonts w:hint="eastAsia" w:eastAsia="黑体"/>
          <w:bCs/>
          <w:kern w:val="2"/>
          <w:sz w:val="36"/>
          <w:szCs w:val="36"/>
        </w:rPr>
        <w:t>天理财产品</w:t>
      </w:r>
      <w:r>
        <w:rPr>
          <w:rFonts w:hint="eastAsia" w:eastAsia="黑体"/>
          <w:bCs/>
          <w:kern w:val="2"/>
          <w:sz w:val="36"/>
          <w:szCs w:val="36"/>
          <w:lang w:val="en-US" w:eastAsia="zh-CN"/>
        </w:rPr>
        <w:t>H</w:t>
      </w:r>
      <w:r>
        <w:rPr>
          <w:rFonts w:hint="eastAsia" w:eastAsia="黑体"/>
          <w:bCs/>
          <w:kern w:val="2"/>
          <w:sz w:val="36"/>
          <w:szCs w:val="36"/>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hint="eastAsia" w:ascii="仿宋" w:hAnsi="仿宋" w:eastAsia="仿宋"/>
                <w:b/>
                <w:bCs/>
                <w:szCs w:val="21"/>
                <w:lang w:val="en-US" w:eastAsia="zh-CN"/>
              </w:rPr>
              <w:t>30</w:t>
            </w:r>
            <w:r>
              <w:rPr>
                <w:rFonts w:hint="eastAsia" w:ascii="仿宋" w:hAnsi="仿宋" w:eastAsia="仿宋"/>
                <w:b/>
                <w:bCs/>
                <w:szCs w:val="21"/>
              </w:rPr>
              <w:t>天理财产品</w:t>
            </w:r>
            <w:r>
              <w:rPr>
                <w:rFonts w:hint="eastAsia" w:ascii="仿宋" w:hAnsi="仿宋" w:eastAsia="仿宋"/>
                <w:b/>
                <w:bCs/>
                <w:szCs w:val="21"/>
                <w:lang w:val="en-US" w:eastAsia="zh-CN"/>
              </w:rPr>
              <w:t>H</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华夏理财悦慧最短持有30天</w:t>
            </w:r>
            <w:r>
              <w:rPr>
                <w:rFonts w:hint="eastAsia" w:ascii="仿宋" w:hAnsi="仿宋" w:eastAsia="仿宋"/>
                <w:b/>
                <w:bCs/>
                <w:szCs w:val="21"/>
                <w:lang w:val="en-US" w:eastAsia="zh-CN"/>
              </w:rPr>
              <w:t>H</w:t>
            </w:r>
            <w:r>
              <w:rPr>
                <w:rFonts w:hint="eastAsia" w:ascii="仿宋" w:hAnsi="仿宋" w:eastAsia="仿宋"/>
                <w:b/>
                <w:bCs/>
                <w:szCs w:val="21"/>
                <w:lang w:eastAsia="zh-CN"/>
              </w:rPr>
              <w:t>款</w:t>
            </w:r>
            <w:r>
              <w:rPr>
                <w:rFonts w:hint="eastAsia" w:ascii="仿宋" w:hAnsi="仿宋" w:eastAsia="仿宋"/>
                <w:b/>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eastAsia="zh-CN"/>
              </w:rPr>
              <w:t>25135005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A份额：</w:t>
            </w:r>
            <w:r>
              <w:rPr>
                <w:rFonts w:hint="eastAsia" w:ascii="仿宋" w:hAnsi="仿宋" w:eastAsia="仿宋"/>
                <w:bCs/>
                <w:szCs w:val="21"/>
                <w:highlight w:val="none"/>
                <w:lang w:eastAsia="zh-CN"/>
              </w:rPr>
              <w:t>25135005</w:t>
            </w:r>
            <w:r>
              <w:rPr>
                <w:rFonts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rPr>
            </w:pPr>
            <w:r>
              <w:rPr>
                <w:rFonts w:hint="eastAsia" w:ascii="仿宋" w:hAnsi="仿宋" w:eastAsia="仿宋"/>
                <w:bCs/>
                <w:szCs w:val="21"/>
                <w:highlight w:val="none"/>
              </w:rPr>
              <w:t>Z7003925000159</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 xml:space="preserve">风险评估评定为 </w:t>
            </w:r>
            <w:r>
              <w:rPr>
                <w:rFonts w:hint="eastAsia" w:ascii="仿宋" w:hAnsi="仿宋" w:eastAsia="仿宋"/>
                <w:bCs/>
                <w:color w:val="000000"/>
                <w:szCs w:val="21"/>
              </w:rPr>
              <w:t>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kern w:val="0"/>
                <w:szCs w:val="21"/>
              </w:rPr>
              <w:t>业绩比较基准为</w:t>
            </w:r>
            <w:r>
              <w:rPr>
                <w:rFonts w:hint="eastAsia" w:ascii="仿宋" w:hAnsi="仿宋" w:eastAsia="仿宋" w:cs="Cambria"/>
                <w:bCs/>
                <w:kern w:val="0"/>
                <w:szCs w:val="21"/>
                <w:lang w:val="en-US" w:eastAsia="zh-CN"/>
              </w:rPr>
              <w:t>1.80%-2.80%</w:t>
            </w:r>
            <w:r>
              <w:rPr>
                <w:rFonts w:hint="eastAsia" w:ascii="仿宋" w:hAnsi="仿宋" w:eastAsia="仿宋" w:cs="Cambria"/>
                <w:bCs/>
                <w:kern w:val="0"/>
                <w:szCs w:val="21"/>
              </w:rPr>
              <w:t>（年化）。</w:t>
            </w:r>
            <w:r>
              <w:rPr>
                <w:rFonts w:hint="eastAsia" w:ascii="仿宋" w:hAnsi="仿宋" w:eastAsia="仿宋" w:cs="Cambria"/>
                <w:bCs/>
                <w:szCs w:val="21"/>
              </w:rPr>
              <w:t>以产品投资于债券类资产仓位80%-100%，权益类资产（仅限优先股）仓位0-20%，组合杠杆率110%-140%为例，参考符合久期要求的目标债券到期收益率、优先股资产收益率，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日－2025年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2025年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szCs w:val="21"/>
                <w:lang w:val="en-US" w:eastAsia="zh-CN"/>
              </w:rPr>
              <w:t>0</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30</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hint="eastAsia" w:ascii="仿宋" w:hAnsi="仿宋" w:eastAsia="仿宋"/>
                <w:bCs/>
                <w:szCs w:val="21"/>
                <w:u w:val="single"/>
                <w:lang w:val="en-US" w:eastAsia="zh-CN"/>
              </w:rPr>
              <w:t>30</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szCs w:val="21"/>
              </w:rPr>
              <w:t>A份额：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szCs w:val="21"/>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lang w:val="en-US" w:eastAsia="zh-CN"/>
              </w:rPr>
              <w:t>5,</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本产品主要投资于货币市场工具、标准化债权类资产等固定收益类资产</w:t>
      </w:r>
      <w:r>
        <w:rPr>
          <w:rFonts w:hint="eastAsia" w:ascii="仿宋" w:hAnsi="仿宋" w:eastAsia="仿宋" w:cs="宋体"/>
          <w:color w:val="000000"/>
          <w:kern w:val="0"/>
          <w:sz w:val="24"/>
          <w:lang w:val="en-US" w:eastAsia="zh-CN"/>
        </w:rPr>
        <w:t>以及</w:t>
      </w:r>
      <w:r>
        <w:rPr>
          <w:rFonts w:hint="eastAsia" w:ascii="仿宋" w:hAnsi="仿宋" w:eastAsia="仿宋" w:cs="宋体"/>
          <w:color w:val="000000"/>
          <w:kern w:val="0"/>
          <w:sz w:val="24"/>
        </w:rPr>
        <w:t>权益类资产。</w:t>
      </w:r>
    </w:p>
    <w:p>
      <w:pPr>
        <w:widowControl/>
        <w:adjustRightInd w:val="0"/>
        <w:snapToGrid w:val="0"/>
        <w:spacing w:line="276" w:lineRule="auto"/>
        <w:ind w:firstLine="480" w:firstLineChars="200"/>
        <w:contextualSpacing/>
        <w:jc w:val="both"/>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微软简仿宋" w:eastAsia="微软简仿宋"/>
          <w:sz w:val="24"/>
        </w:rPr>
      </w:pPr>
      <w:r>
        <w:rPr>
          <w:rFonts w:hint="eastAsia" w:ascii="微软简仿宋" w:eastAsia="微软简仿宋"/>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w:t>
      </w:r>
      <w:r>
        <w:rPr>
          <w:rFonts w:hint="eastAsia" w:ascii="仿宋" w:hAnsi="仿宋" w:eastAsia="仿宋" w:cs="宋体"/>
          <w:color w:val="000000"/>
          <w:kern w:val="0"/>
          <w:sz w:val="24"/>
          <w:lang w:val="en-US" w:eastAsia="zh-CN"/>
        </w:rPr>
        <w:t>仅</w:t>
      </w:r>
      <w:r>
        <w:rPr>
          <w:rFonts w:hint="eastAsia" w:ascii="仿宋" w:hAnsi="仿宋" w:eastAsia="仿宋" w:cs="宋体"/>
          <w:color w:val="000000"/>
          <w:kern w:val="0"/>
          <w:sz w:val="24"/>
        </w:rPr>
        <w:t>限于</w:t>
      </w:r>
      <w:r>
        <w:rPr>
          <w:rFonts w:hint="eastAsia" w:ascii="仿宋" w:hAnsi="仿宋" w:eastAsia="仿宋" w:cs="宋体"/>
          <w:color w:val="000000"/>
          <w:kern w:val="0"/>
          <w:sz w:val="24"/>
          <w:lang w:val="en-US" w:eastAsia="zh-CN"/>
        </w:rPr>
        <w:t>优先股</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固定收益类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80%（含）-100%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权益类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0%-20%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w:t>
      </w:r>
      <w:r>
        <w:rPr>
          <w:rFonts w:ascii="仿宋" w:hAnsi="仿宋" w:eastAsia="仿宋" w:cs="宋体"/>
          <w:b/>
          <w:bCs/>
          <w:color w:val="000000"/>
          <w:kern w:val="0"/>
          <w:sz w:val="24"/>
        </w:rPr>
        <w:t>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lang w:val="en-US" w:eastAsia="zh-CN"/>
        </w:rPr>
        <w:t>等</w:t>
      </w:r>
      <w:r>
        <w:rPr>
          <w:rFonts w:hint="eastAsia" w:ascii="仿宋" w:hAnsi="仿宋" w:eastAsia="仿宋" w:cs="宋体"/>
          <w:color w:val="000000"/>
          <w:kern w:val="0"/>
          <w:sz w:val="24"/>
        </w:rPr>
        <w:t>固定收益类资产</w:t>
      </w:r>
      <w:r>
        <w:rPr>
          <w:rFonts w:hint="eastAsia" w:ascii="仿宋" w:hAnsi="仿宋" w:eastAsia="仿宋" w:cs="宋体"/>
          <w:color w:val="000000"/>
          <w:kern w:val="0"/>
          <w:sz w:val="24"/>
          <w:lang w:eastAsia="zh-CN"/>
        </w:rPr>
        <w:t>、</w:t>
      </w:r>
      <w:r>
        <w:rPr>
          <w:rFonts w:hint="eastAsia" w:ascii="仿宋" w:hAnsi="仿宋" w:eastAsia="仿宋"/>
        </w:rPr>
        <w:t>权益类资产以及资产管理产品等资产。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beforeLines="0" w:afterLines="0" w:line="276" w:lineRule="auto"/>
        <w:ind w:firstLine="482"/>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3</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6</w:t>
      </w:r>
      <w:r>
        <w:rPr>
          <w:rFonts w:hint="eastAsia" w:ascii="Times New Roman" w:hAnsi="Times New Roman" w:eastAsia="黑体" w:cs="Times New Roman"/>
          <w:b/>
          <w:kern w:val="0"/>
          <w:sz w:val="24"/>
          <w:szCs w:val="24"/>
          <w:lang w:val="en-US" w:eastAsia="zh-CN" w:bidi="ar-SA"/>
        </w:rPr>
        <w:t xml:space="preserve">.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 </w:t>
      </w:r>
    </w:p>
    <w:p>
      <w:pPr>
        <w:pStyle w:val="22"/>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7.</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31EDCD"/>
    <w:multiLevelType w:val="singleLevel"/>
    <w:tmpl w:val="6531EDCD"/>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783E"/>
    <w:rsid w:val="00063561"/>
    <w:rsid w:val="00064D76"/>
    <w:rsid w:val="000713E1"/>
    <w:rsid w:val="000805E4"/>
    <w:rsid w:val="000A3C07"/>
    <w:rsid w:val="000B2313"/>
    <w:rsid w:val="000B32CF"/>
    <w:rsid w:val="000C6CF0"/>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E22CF"/>
    <w:rsid w:val="001E4307"/>
    <w:rsid w:val="001F6E3A"/>
    <w:rsid w:val="00214B23"/>
    <w:rsid w:val="0022758F"/>
    <w:rsid w:val="00227F2A"/>
    <w:rsid w:val="00294355"/>
    <w:rsid w:val="002A2967"/>
    <w:rsid w:val="002A2FEF"/>
    <w:rsid w:val="002E7F9D"/>
    <w:rsid w:val="00311EF5"/>
    <w:rsid w:val="00317320"/>
    <w:rsid w:val="00351C38"/>
    <w:rsid w:val="00365E5C"/>
    <w:rsid w:val="003923B3"/>
    <w:rsid w:val="003B2A65"/>
    <w:rsid w:val="003B5F8B"/>
    <w:rsid w:val="003C2EBD"/>
    <w:rsid w:val="003D55AF"/>
    <w:rsid w:val="003D65A8"/>
    <w:rsid w:val="003E4BEB"/>
    <w:rsid w:val="003E7186"/>
    <w:rsid w:val="003F4E18"/>
    <w:rsid w:val="003F6114"/>
    <w:rsid w:val="004021F4"/>
    <w:rsid w:val="0044086D"/>
    <w:rsid w:val="00462536"/>
    <w:rsid w:val="004734C8"/>
    <w:rsid w:val="00494748"/>
    <w:rsid w:val="004A15DE"/>
    <w:rsid w:val="004A2A5F"/>
    <w:rsid w:val="004C4084"/>
    <w:rsid w:val="004E60FD"/>
    <w:rsid w:val="004E7D97"/>
    <w:rsid w:val="004F4E81"/>
    <w:rsid w:val="004F648F"/>
    <w:rsid w:val="005016FC"/>
    <w:rsid w:val="005114E6"/>
    <w:rsid w:val="00512B7C"/>
    <w:rsid w:val="00516401"/>
    <w:rsid w:val="00557AC8"/>
    <w:rsid w:val="005604F6"/>
    <w:rsid w:val="00560CC1"/>
    <w:rsid w:val="005727C8"/>
    <w:rsid w:val="005C08EC"/>
    <w:rsid w:val="005F66E4"/>
    <w:rsid w:val="00601E1F"/>
    <w:rsid w:val="006075D0"/>
    <w:rsid w:val="00613BD1"/>
    <w:rsid w:val="00650968"/>
    <w:rsid w:val="00656FE9"/>
    <w:rsid w:val="0066020C"/>
    <w:rsid w:val="00667B5F"/>
    <w:rsid w:val="00670595"/>
    <w:rsid w:val="00677437"/>
    <w:rsid w:val="00681E3A"/>
    <w:rsid w:val="0068328B"/>
    <w:rsid w:val="006860DD"/>
    <w:rsid w:val="0069073D"/>
    <w:rsid w:val="006915E0"/>
    <w:rsid w:val="006D3A14"/>
    <w:rsid w:val="006E0E9D"/>
    <w:rsid w:val="006E742E"/>
    <w:rsid w:val="006F119A"/>
    <w:rsid w:val="006F13D3"/>
    <w:rsid w:val="00712CC7"/>
    <w:rsid w:val="00714E33"/>
    <w:rsid w:val="007311CA"/>
    <w:rsid w:val="00734D46"/>
    <w:rsid w:val="0076606B"/>
    <w:rsid w:val="00777429"/>
    <w:rsid w:val="007815CF"/>
    <w:rsid w:val="00792744"/>
    <w:rsid w:val="007D5695"/>
    <w:rsid w:val="007F32C1"/>
    <w:rsid w:val="00807591"/>
    <w:rsid w:val="008277B6"/>
    <w:rsid w:val="008340D5"/>
    <w:rsid w:val="00836CF0"/>
    <w:rsid w:val="00843345"/>
    <w:rsid w:val="00846F1F"/>
    <w:rsid w:val="008505CE"/>
    <w:rsid w:val="00852D93"/>
    <w:rsid w:val="00863612"/>
    <w:rsid w:val="00887E73"/>
    <w:rsid w:val="008D19F3"/>
    <w:rsid w:val="008D5335"/>
    <w:rsid w:val="008D5F85"/>
    <w:rsid w:val="008E0C40"/>
    <w:rsid w:val="008E628E"/>
    <w:rsid w:val="008F10DC"/>
    <w:rsid w:val="008F6891"/>
    <w:rsid w:val="00902123"/>
    <w:rsid w:val="00916782"/>
    <w:rsid w:val="00930217"/>
    <w:rsid w:val="00971A91"/>
    <w:rsid w:val="00972105"/>
    <w:rsid w:val="00991FA8"/>
    <w:rsid w:val="009A3572"/>
    <w:rsid w:val="009C0A85"/>
    <w:rsid w:val="009C4B76"/>
    <w:rsid w:val="009C5840"/>
    <w:rsid w:val="009E3137"/>
    <w:rsid w:val="009E6D89"/>
    <w:rsid w:val="009F0D25"/>
    <w:rsid w:val="009F1CB5"/>
    <w:rsid w:val="00A25440"/>
    <w:rsid w:val="00A33474"/>
    <w:rsid w:val="00A51A90"/>
    <w:rsid w:val="00A547BE"/>
    <w:rsid w:val="00A87692"/>
    <w:rsid w:val="00A93593"/>
    <w:rsid w:val="00A978E7"/>
    <w:rsid w:val="00AA15B6"/>
    <w:rsid w:val="00AA7D8A"/>
    <w:rsid w:val="00AD7FE0"/>
    <w:rsid w:val="00AE07B3"/>
    <w:rsid w:val="00AE1B0B"/>
    <w:rsid w:val="00AE26B5"/>
    <w:rsid w:val="00AE7F75"/>
    <w:rsid w:val="00AF3F07"/>
    <w:rsid w:val="00B22A7A"/>
    <w:rsid w:val="00B47C68"/>
    <w:rsid w:val="00B5695A"/>
    <w:rsid w:val="00BA2B7F"/>
    <w:rsid w:val="00BA77A8"/>
    <w:rsid w:val="00BB3661"/>
    <w:rsid w:val="00BB4269"/>
    <w:rsid w:val="00BC4B7F"/>
    <w:rsid w:val="00BE076D"/>
    <w:rsid w:val="00BE4A47"/>
    <w:rsid w:val="00C00313"/>
    <w:rsid w:val="00C04074"/>
    <w:rsid w:val="00C04B81"/>
    <w:rsid w:val="00C33E4C"/>
    <w:rsid w:val="00CD5A26"/>
    <w:rsid w:val="00CE50FA"/>
    <w:rsid w:val="00D04171"/>
    <w:rsid w:val="00D04582"/>
    <w:rsid w:val="00D06C20"/>
    <w:rsid w:val="00D316BA"/>
    <w:rsid w:val="00D3392B"/>
    <w:rsid w:val="00D34745"/>
    <w:rsid w:val="00D55F86"/>
    <w:rsid w:val="00D65353"/>
    <w:rsid w:val="00D8696C"/>
    <w:rsid w:val="00D919BF"/>
    <w:rsid w:val="00DC3F67"/>
    <w:rsid w:val="00DD0C1D"/>
    <w:rsid w:val="00DE02F1"/>
    <w:rsid w:val="00DE2987"/>
    <w:rsid w:val="00E46D53"/>
    <w:rsid w:val="00E67222"/>
    <w:rsid w:val="00E80727"/>
    <w:rsid w:val="00E8155A"/>
    <w:rsid w:val="00E816F5"/>
    <w:rsid w:val="00E82284"/>
    <w:rsid w:val="00E879FF"/>
    <w:rsid w:val="00E95A0F"/>
    <w:rsid w:val="00EA3D6E"/>
    <w:rsid w:val="00EE7A2F"/>
    <w:rsid w:val="00F17ED8"/>
    <w:rsid w:val="00F37C88"/>
    <w:rsid w:val="00F444A8"/>
    <w:rsid w:val="00F5357A"/>
    <w:rsid w:val="00F55B95"/>
    <w:rsid w:val="00F56D69"/>
    <w:rsid w:val="00F9415B"/>
    <w:rsid w:val="00FC1677"/>
    <w:rsid w:val="00FD2903"/>
    <w:rsid w:val="00FE1291"/>
    <w:rsid w:val="00FE482B"/>
    <w:rsid w:val="00FF56AD"/>
    <w:rsid w:val="018D5F51"/>
    <w:rsid w:val="01EB6FEC"/>
    <w:rsid w:val="020578AC"/>
    <w:rsid w:val="02377743"/>
    <w:rsid w:val="026A609C"/>
    <w:rsid w:val="03357777"/>
    <w:rsid w:val="03C00FC5"/>
    <w:rsid w:val="03DB06FE"/>
    <w:rsid w:val="046E56D3"/>
    <w:rsid w:val="049D2AC6"/>
    <w:rsid w:val="04B16B62"/>
    <w:rsid w:val="05215177"/>
    <w:rsid w:val="054369B0"/>
    <w:rsid w:val="06106106"/>
    <w:rsid w:val="06490B74"/>
    <w:rsid w:val="06996718"/>
    <w:rsid w:val="06E52844"/>
    <w:rsid w:val="07026ACD"/>
    <w:rsid w:val="08961A5A"/>
    <w:rsid w:val="08A96CC2"/>
    <w:rsid w:val="08D03FC7"/>
    <w:rsid w:val="09105290"/>
    <w:rsid w:val="0A0F44CD"/>
    <w:rsid w:val="0AA97A8C"/>
    <w:rsid w:val="0B047D48"/>
    <w:rsid w:val="0B9C5D9B"/>
    <w:rsid w:val="0BA27F6B"/>
    <w:rsid w:val="0C510FA4"/>
    <w:rsid w:val="0C53265C"/>
    <w:rsid w:val="0C9E5955"/>
    <w:rsid w:val="0D4C0E51"/>
    <w:rsid w:val="0D511F69"/>
    <w:rsid w:val="0D5A24E8"/>
    <w:rsid w:val="0DC52C23"/>
    <w:rsid w:val="0DD002B9"/>
    <w:rsid w:val="0DF70178"/>
    <w:rsid w:val="0E3C3C0F"/>
    <w:rsid w:val="0E966946"/>
    <w:rsid w:val="0EE542A1"/>
    <w:rsid w:val="0F0E3C1D"/>
    <w:rsid w:val="0F2862EC"/>
    <w:rsid w:val="0F2F40E2"/>
    <w:rsid w:val="0F806FD5"/>
    <w:rsid w:val="0FE53808"/>
    <w:rsid w:val="105D61FB"/>
    <w:rsid w:val="10AF5991"/>
    <w:rsid w:val="117C0D4E"/>
    <w:rsid w:val="11BB3DB9"/>
    <w:rsid w:val="11D21B30"/>
    <w:rsid w:val="123B658C"/>
    <w:rsid w:val="12822D5D"/>
    <w:rsid w:val="12AD4D73"/>
    <w:rsid w:val="12C45FA4"/>
    <w:rsid w:val="12CD4972"/>
    <w:rsid w:val="12FA2A1E"/>
    <w:rsid w:val="12FB08EA"/>
    <w:rsid w:val="13B35082"/>
    <w:rsid w:val="142741A0"/>
    <w:rsid w:val="14F661AC"/>
    <w:rsid w:val="14FD2EFF"/>
    <w:rsid w:val="152A1DB0"/>
    <w:rsid w:val="155D4436"/>
    <w:rsid w:val="1637208E"/>
    <w:rsid w:val="16457F02"/>
    <w:rsid w:val="1675525F"/>
    <w:rsid w:val="169510B8"/>
    <w:rsid w:val="16B5042D"/>
    <w:rsid w:val="16DD4AF1"/>
    <w:rsid w:val="174C5C47"/>
    <w:rsid w:val="178D27B4"/>
    <w:rsid w:val="180A32C2"/>
    <w:rsid w:val="182014A2"/>
    <w:rsid w:val="18294E04"/>
    <w:rsid w:val="1892050E"/>
    <w:rsid w:val="18967A67"/>
    <w:rsid w:val="18D80C51"/>
    <w:rsid w:val="18EE0BF6"/>
    <w:rsid w:val="18FF0F1B"/>
    <w:rsid w:val="198557BA"/>
    <w:rsid w:val="19CE04CC"/>
    <w:rsid w:val="1A707A6D"/>
    <w:rsid w:val="1A7D6D25"/>
    <w:rsid w:val="1A816486"/>
    <w:rsid w:val="1A893942"/>
    <w:rsid w:val="1A8E0614"/>
    <w:rsid w:val="1A907FA2"/>
    <w:rsid w:val="1AD533CC"/>
    <w:rsid w:val="1B5F5984"/>
    <w:rsid w:val="1BA64FD1"/>
    <w:rsid w:val="1BBC5A18"/>
    <w:rsid w:val="1BE97487"/>
    <w:rsid w:val="1C6357AF"/>
    <w:rsid w:val="1CAC5E2B"/>
    <w:rsid w:val="1CDF5587"/>
    <w:rsid w:val="1CF10D78"/>
    <w:rsid w:val="1D023468"/>
    <w:rsid w:val="1D0736D5"/>
    <w:rsid w:val="1D5D728B"/>
    <w:rsid w:val="1D795BF8"/>
    <w:rsid w:val="1E356AFA"/>
    <w:rsid w:val="1E724912"/>
    <w:rsid w:val="1E7F770F"/>
    <w:rsid w:val="1E8F70B8"/>
    <w:rsid w:val="1E936936"/>
    <w:rsid w:val="1F4F61EE"/>
    <w:rsid w:val="1F527064"/>
    <w:rsid w:val="1FE9236E"/>
    <w:rsid w:val="204A0870"/>
    <w:rsid w:val="204C73E3"/>
    <w:rsid w:val="20740963"/>
    <w:rsid w:val="20C822D8"/>
    <w:rsid w:val="21B36B87"/>
    <w:rsid w:val="21FA0627"/>
    <w:rsid w:val="220D5EC8"/>
    <w:rsid w:val="22220369"/>
    <w:rsid w:val="223431B1"/>
    <w:rsid w:val="223A7FB3"/>
    <w:rsid w:val="22A15AE0"/>
    <w:rsid w:val="22C149FC"/>
    <w:rsid w:val="22F1518B"/>
    <w:rsid w:val="238C25BD"/>
    <w:rsid w:val="246A62AE"/>
    <w:rsid w:val="24A91031"/>
    <w:rsid w:val="2540580E"/>
    <w:rsid w:val="254A0B53"/>
    <w:rsid w:val="25665B19"/>
    <w:rsid w:val="25E72FA7"/>
    <w:rsid w:val="273147E4"/>
    <w:rsid w:val="27487015"/>
    <w:rsid w:val="27A50231"/>
    <w:rsid w:val="27A506F6"/>
    <w:rsid w:val="27DC5671"/>
    <w:rsid w:val="282479C6"/>
    <w:rsid w:val="28347384"/>
    <w:rsid w:val="287A4275"/>
    <w:rsid w:val="29711978"/>
    <w:rsid w:val="298634AE"/>
    <w:rsid w:val="2A567387"/>
    <w:rsid w:val="2AC21136"/>
    <w:rsid w:val="2AED21E9"/>
    <w:rsid w:val="2B3649F4"/>
    <w:rsid w:val="2B4675FA"/>
    <w:rsid w:val="2BB602C5"/>
    <w:rsid w:val="2BC67352"/>
    <w:rsid w:val="2BD85FC4"/>
    <w:rsid w:val="2BF50AB4"/>
    <w:rsid w:val="2C1C5AFD"/>
    <w:rsid w:val="2C4A3CAE"/>
    <w:rsid w:val="2C9021AC"/>
    <w:rsid w:val="2CC66E03"/>
    <w:rsid w:val="2CDB7E63"/>
    <w:rsid w:val="2D434FF8"/>
    <w:rsid w:val="2DA05DCE"/>
    <w:rsid w:val="2E410428"/>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75578E"/>
    <w:rsid w:val="33F3040F"/>
    <w:rsid w:val="341C5C9E"/>
    <w:rsid w:val="34854AB1"/>
    <w:rsid w:val="34A63F82"/>
    <w:rsid w:val="34BF4198"/>
    <w:rsid w:val="350A7012"/>
    <w:rsid w:val="360161F0"/>
    <w:rsid w:val="36050641"/>
    <w:rsid w:val="361F6B5B"/>
    <w:rsid w:val="36365F0F"/>
    <w:rsid w:val="365C6B3D"/>
    <w:rsid w:val="369F292C"/>
    <w:rsid w:val="372651A6"/>
    <w:rsid w:val="379A4E61"/>
    <w:rsid w:val="37AC5C27"/>
    <w:rsid w:val="382265A3"/>
    <w:rsid w:val="385467B2"/>
    <w:rsid w:val="386B45BC"/>
    <w:rsid w:val="387A56B5"/>
    <w:rsid w:val="39223F50"/>
    <w:rsid w:val="394C6E9C"/>
    <w:rsid w:val="39915230"/>
    <w:rsid w:val="39A47D94"/>
    <w:rsid w:val="39B533F4"/>
    <w:rsid w:val="39CD5E4B"/>
    <w:rsid w:val="3A166DB1"/>
    <w:rsid w:val="3A6464DA"/>
    <w:rsid w:val="3B0D1F3F"/>
    <w:rsid w:val="3B35691C"/>
    <w:rsid w:val="3B376401"/>
    <w:rsid w:val="3B8B78CF"/>
    <w:rsid w:val="3BE5682B"/>
    <w:rsid w:val="3C345451"/>
    <w:rsid w:val="3C691FB2"/>
    <w:rsid w:val="3CD93877"/>
    <w:rsid w:val="3D1957A0"/>
    <w:rsid w:val="3D3B3330"/>
    <w:rsid w:val="3D794D6C"/>
    <w:rsid w:val="3D896A63"/>
    <w:rsid w:val="3EB035E6"/>
    <w:rsid w:val="3EED3B20"/>
    <w:rsid w:val="3F996600"/>
    <w:rsid w:val="401A73E5"/>
    <w:rsid w:val="40270632"/>
    <w:rsid w:val="40897331"/>
    <w:rsid w:val="41084885"/>
    <w:rsid w:val="41204B42"/>
    <w:rsid w:val="413B574D"/>
    <w:rsid w:val="41637739"/>
    <w:rsid w:val="41A75327"/>
    <w:rsid w:val="42503F0E"/>
    <w:rsid w:val="42511776"/>
    <w:rsid w:val="425C3FD4"/>
    <w:rsid w:val="42726493"/>
    <w:rsid w:val="43A6660D"/>
    <w:rsid w:val="44C2436C"/>
    <w:rsid w:val="44D90650"/>
    <w:rsid w:val="45225B34"/>
    <w:rsid w:val="454247FC"/>
    <w:rsid w:val="456B1E84"/>
    <w:rsid w:val="45905D94"/>
    <w:rsid w:val="45937A12"/>
    <w:rsid w:val="45AB7274"/>
    <w:rsid w:val="45C2437E"/>
    <w:rsid w:val="46247283"/>
    <w:rsid w:val="464740FB"/>
    <w:rsid w:val="466B4F36"/>
    <w:rsid w:val="46945BA3"/>
    <w:rsid w:val="469C1860"/>
    <w:rsid w:val="48100387"/>
    <w:rsid w:val="48636ED0"/>
    <w:rsid w:val="489F1960"/>
    <w:rsid w:val="48AD6D6F"/>
    <w:rsid w:val="492F3120"/>
    <w:rsid w:val="49866A44"/>
    <w:rsid w:val="4A646C71"/>
    <w:rsid w:val="4A73155F"/>
    <w:rsid w:val="4A974BFD"/>
    <w:rsid w:val="4B041272"/>
    <w:rsid w:val="4B9A6CD9"/>
    <w:rsid w:val="4CC42E4B"/>
    <w:rsid w:val="4CD55DF0"/>
    <w:rsid w:val="4DA41B7F"/>
    <w:rsid w:val="4DED30E6"/>
    <w:rsid w:val="4E006899"/>
    <w:rsid w:val="4E214553"/>
    <w:rsid w:val="4E4604CC"/>
    <w:rsid w:val="4E6B607B"/>
    <w:rsid w:val="4E7E67D5"/>
    <w:rsid w:val="4E834167"/>
    <w:rsid w:val="4EE704C2"/>
    <w:rsid w:val="500E145A"/>
    <w:rsid w:val="500E49CD"/>
    <w:rsid w:val="500F1CD5"/>
    <w:rsid w:val="50F30A3E"/>
    <w:rsid w:val="511D25A1"/>
    <w:rsid w:val="5143646D"/>
    <w:rsid w:val="51695710"/>
    <w:rsid w:val="51A36407"/>
    <w:rsid w:val="51D60B75"/>
    <w:rsid w:val="51D91B25"/>
    <w:rsid w:val="51DA4F03"/>
    <w:rsid w:val="5202225E"/>
    <w:rsid w:val="521557F3"/>
    <w:rsid w:val="52C77658"/>
    <w:rsid w:val="52DB0D77"/>
    <w:rsid w:val="53BF0718"/>
    <w:rsid w:val="54C77260"/>
    <w:rsid w:val="55170C3A"/>
    <w:rsid w:val="55503D34"/>
    <w:rsid w:val="56423C8E"/>
    <w:rsid w:val="56444969"/>
    <w:rsid w:val="56516960"/>
    <w:rsid w:val="57176092"/>
    <w:rsid w:val="57262273"/>
    <w:rsid w:val="575C7B62"/>
    <w:rsid w:val="57DD0263"/>
    <w:rsid w:val="58083A83"/>
    <w:rsid w:val="581B10FA"/>
    <w:rsid w:val="582156EE"/>
    <w:rsid w:val="58427747"/>
    <w:rsid w:val="58B94C78"/>
    <w:rsid w:val="58BB4CDB"/>
    <w:rsid w:val="58F96B51"/>
    <w:rsid w:val="59685B0E"/>
    <w:rsid w:val="59AD702D"/>
    <w:rsid w:val="59D14CC4"/>
    <w:rsid w:val="59EF730D"/>
    <w:rsid w:val="59FF73A2"/>
    <w:rsid w:val="5A945937"/>
    <w:rsid w:val="5AA340C2"/>
    <w:rsid w:val="5AB6501F"/>
    <w:rsid w:val="5B9E1D5B"/>
    <w:rsid w:val="5BCB323C"/>
    <w:rsid w:val="5CC83D65"/>
    <w:rsid w:val="5D790E7F"/>
    <w:rsid w:val="5DC24B3C"/>
    <w:rsid w:val="5DC63A4E"/>
    <w:rsid w:val="5DED53D1"/>
    <w:rsid w:val="5E1B7959"/>
    <w:rsid w:val="5EAD142E"/>
    <w:rsid w:val="5EF76013"/>
    <w:rsid w:val="5EFE5A8B"/>
    <w:rsid w:val="5F3F3BFD"/>
    <w:rsid w:val="5F7071A8"/>
    <w:rsid w:val="5FC6181B"/>
    <w:rsid w:val="60066955"/>
    <w:rsid w:val="600B7B81"/>
    <w:rsid w:val="601211DC"/>
    <w:rsid w:val="60292197"/>
    <w:rsid w:val="610C5CC5"/>
    <w:rsid w:val="612829F8"/>
    <w:rsid w:val="619A0DA9"/>
    <w:rsid w:val="61C43619"/>
    <w:rsid w:val="62060BAA"/>
    <w:rsid w:val="6210426E"/>
    <w:rsid w:val="62126C3A"/>
    <w:rsid w:val="62325267"/>
    <w:rsid w:val="63510BEE"/>
    <w:rsid w:val="637E758B"/>
    <w:rsid w:val="638119A8"/>
    <w:rsid w:val="642D51FD"/>
    <w:rsid w:val="64312382"/>
    <w:rsid w:val="644E4B1D"/>
    <w:rsid w:val="64651B49"/>
    <w:rsid w:val="648C2CC5"/>
    <w:rsid w:val="64A11C37"/>
    <w:rsid w:val="64A55F1E"/>
    <w:rsid w:val="64BA04E0"/>
    <w:rsid w:val="64E11654"/>
    <w:rsid w:val="652C5EC9"/>
    <w:rsid w:val="65353764"/>
    <w:rsid w:val="657171FE"/>
    <w:rsid w:val="65A12701"/>
    <w:rsid w:val="65A46AEA"/>
    <w:rsid w:val="65EC5F0A"/>
    <w:rsid w:val="65EE67C8"/>
    <w:rsid w:val="66567D7B"/>
    <w:rsid w:val="66EC4D96"/>
    <w:rsid w:val="6736101B"/>
    <w:rsid w:val="68370CCC"/>
    <w:rsid w:val="684D7DEF"/>
    <w:rsid w:val="68585ADF"/>
    <w:rsid w:val="68A77809"/>
    <w:rsid w:val="68C94029"/>
    <w:rsid w:val="68F660B3"/>
    <w:rsid w:val="695217DC"/>
    <w:rsid w:val="69923628"/>
    <w:rsid w:val="699E3EDE"/>
    <w:rsid w:val="69C37032"/>
    <w:rsid w:val="6A2C55E6"/>
    <w:rsid w:val="6A5034F9"/>
    <w:rsid w:val="6AFC54E5"/>
    <w:rsid w:val="6B2F26F6"/>
    <w:rsid w:val="6B570828"/>
    <w:rsid w:val="6B895F90"/>
    <w:rsid w:val="6BD916EE"/>
    <w:rsid w:val="6BF803B2"/>
    <w:rsid w:val="6C743E06"/>
    <w:rsid w:val="6C996F8A"/>
    <w:rsid w:val="6CCA1A7F"/>
    <w:rsid w:val="6CCA2908"/>
    <w:rsid w:val="6D966B59"/>
    <w:rsid w:val="6DD3641A"/>
    <w:rsid w:val="6E035291"/>
    <w:rsid w:val="6E1206A4"/>
    <w:rsid w:val="6E5A3D7E"/>
    <w:rsid w:val="6FC85320"/>
    <w:rsid w:val="6FDB28A3"/>
    <w:rsid w:val="6FE32862"/>
    <w:rsid w:val="703933A1"/>
    <w:rsid w:val="70AA0758"/>
    <w:rsid w:val="70B61502"/>
    <w:rsid w:val="70CE17C7"/>
    <w:rsid w:val="70F5166C"/>
    <w:rsid w:val="71981EC0"/>
    <w:rsid w:val="71EF5ACB"/>
    <w:rsid w:val="72145BFB"/>
    <w:rsid w:val="722B706A"/>
    <w:rsid w:val="723369CC"/>
    <w:rsid w:val="723B233B"/>
    <w:rsid w:val="724F5D5C"/>
    <w:rsid w:val="72595DB6"/>
    <w:rsid w:val="72850EF0"/>
    <w:rsid w:val="728E0A16"/>
    <w:rsid w:val="729371FE"/>
    <w:rsid w:val="72C43ABF"/>
    <w:rsid w:val="72E929DE"/>
    <w:rsid w:val="72EF2B1D"/>
    <w:rsid w:val="73655FDF"/>
    <w:rsid w:val="738D015F"/>
    <w:rsid w:val="73990B03"/>
    <w:rsid w:val="73A15E73"/>
    <w:rsid w:val="745751F5"/>
    <w:rsid w:val="74892FD1"/>
    <w:rsid w:val="74CF7316"/>
    <w:rsid w:val="74FB18F9"/>
    <w:rsid w:val="75616560"/>
    <w:rsid w:val="75990E46"/>
    <w:rsid w:val="75E158E8"/>
    <w:rsid w:val="75F80517"/>
    <w:rsid w:val="769C48A8"/>
    <w:rsid w:val="76C57715"/>
    <w:rsid w:val="771479EA"/>
    <w:rsid w:val="771C35A1"/>
    <w:rsid w:val="77A03719"/>
    <w:rsid w:val="78223427"/>
    <w:rsid w:val="789923C9"/>
    <w:rsid w:val="78A4259B"/>
    <w:rsid w:val="78C31CAF"/>
    <w:rsid w:val="78C3642C"/>
    <w:rsid w:val="78CE6E70"/>
    <w:rsid w:val="78FC6178"/>
    <w:rsid w:val="795B3486"/>
    <w:rsid w:val="79B75ECC"/>
    <w:rsid w:val="79E45FD6"/>
    <w:rsid w:val="7A52270E"/>
    <w:rsid w:val="7AD0105B"/>
    <w:rsid w:val="7AF92581"/>
    <w:rsid w:val="7B044A15"/>
    <w:rsid w:val="7B170E00"/>
    <w:rsid w:val="7B3057E8"/>
    <w:rsid w:val="7B3A013A"/>
    <w:rsid w:val="7B471A04"/>
    <w:rsid w:val="7B655D19"/>
    <w:rsid w:val="7B9D5277"/>
    <w:rsid w:val="7C214BB4"/>
    <w:rsid w:val="7C721F5F"/>
    <w:rsid w:val="7C7D36C4"/>
    <w:rsid w:val="7D197A3B"/>
    <w:rsid w:val="7D1F7EDB"/>
    <w:rsid w:val="7D3707EB"/>
    <w:rsid w:val="7D772F67"/>
    <w:rsid w:val="7DAC4B36"/>
    <w:rsid w:val="7E431677"/>
    <w:rsid w:val="7E5572E2"/>
    <w:rsid w:val="7E9A3A0C"/>
    <w:rsid w:val="7ED67996"/>
    <w:rsid w:val="7EF027D8"/>
    <w:rsid w:val="7F116F65"/>
    <w:rsid w:val="7F516160"/>
    <w:rsid w:val="7F976FF4"/>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20</Pages>
  <Words>18183</Words>
  <Characters>18762</Characters>
  <Lines>138</Lines>
  <Paragraphs>38</Paragraphs>
  <TotalTime>25</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2022-12-28T12:32:00Z</dcterms:created>
  <dc:creator>ylh</dc:creator>
  <cp:keywords>新版;22-12-28</cp:keywords>
  <cp:lastModifiedBy>苏晨晓</cp:lastModifiedBy>
  <dcterms:modified xsi:type="dcterms:W3CDTF">2025-03-05T11:54:57Z</dcterms:modified>
  <dc:title>华夏理财固定收益增强最短持有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E7888C42E42144B185ED996ACE457AD2</vt:lpwstr>
  </property>
</Properties>
</file>