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widowControl/>
        <w:spacing w:line="240" w:lineRule="auto"/>
        <w:ind w:firstLine="0"/>
        <w:jc w:val="center"/>
        <w:rPr>
          <w:rFonts w:eastAsia="黑体"/>
          <w:bCs/>
          <w:sz w:val="36"/>
          <w:szCs w:val="36"/>
        </w:rPr>
      </w:pPr>
      <w:bookmarkStart w:id="7" w:name="_GoBack"/>
      <w:bookmarkEnd w:id="7"/>
      <w:r>
        <w:rPr>
          <w:rFonts w:hint="eastAsia" w:eastAsia="黑体"/>
          <w:bCs/>
          <w:sz w:val="36"/>
          <w:szCs w:val="36"/>
        </w:rPr>
        <w:t>华夏理财固定收益增强型精选封闭式理财产品</w:t>
      </w:r>
      <w:r>
        <w:rPr>
          <w:rFonts w:hint="eastAsia" w:eastAsia="黑体"/>
          <w:bCs/>
          <w:sz w:val="36"/>
          <w:szCs w:val="36"/>
          <w:lang w:val="en-US" w:eastAsia="zh-CN"/>
        </w:rPr>
        <w:t>90</w:t>
      </w:r>
      <w:r>
        <w:rPr>
          <w:rFonts w:hint="eastAsia" w:eastAsia="黑体"/>
          <w:bCs/>
          <w:sz w:val="36"/>
          <w:szCs w:val="36"/>
        </w:rPr>
        <w:t>号</w:t>
      </w:r>
    </w:p>
    <w:p>
      <w:pPr>
        <w:pStyle w:val="3"/>
        <w:widowControl/>
        <w:spacing w:line="240" w:lineRule="auto"/>
        <w:ind w:firstLine="0"/>
        <w:jc w:val="center"/>
        <w:rPr>
          <w:rFonts w:eastAsia="黑体"/>
          <w:bCs/>
          <w:sz w:val="36"/>
          <w:szCs w:val="36"/>
        </w:rPr>
      </w:pPr>
      <w:r>
        <w:rPr>
          <w:rFonts w:hint="eastAsia" w:eastAsia="黑体"/>
          <w:bCs/>
          <w:sz w:val="36"/>
          <w:szCs w:val="36"/>
        </w:rPr>
        <w:t>说明书</w:t>
      </w:r>
    </w:p>
    <w:tbl>
      <w:tblPr>
        <w:tblStyle w:val="8"/>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一、理财非存款，产品有风险，投资须谨慎。</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二、本理财产品为非保本浮动收益净值型理财产品，华夏理财有限责任公司（以下简称“华夏理财”）不保证理财产品本金及理财收益。在本理财产品存续期间，除本产品说明书约定的特殊情况外，投资者不能申购、赎回本理财产品。投资者投资本理财产品所面临的风险包括本金及理财收益风险、信用风险、市场风险、流动性风险、投资风险、汇率风险、法律及政策风险、理财产品不成立风险、提前终止风险、延期风险、信息传递风险、关联关系风险、拟投资市场及资产风险和其他风险等，请投资者详细阅读本产品说明书第八部分风险揭示内容。投资者应在对风险有充分认识基础上基于自身的独立判断谨慎投资。</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三、华夏理财郑重提示：在购买理财产品前，投资者应仔细阅读本说明书，确保自己完全明白本项投资的性质和所涉及的风险，详细了解和审慎评估本理财产品的资金投资方向、风险类型等基本情况，在慎重考虑后自行决定购买与自身风险承受能力和资产管理需求匹配的理财产品。本理财产品的业绩比较基准(如有)不是预期收益率，不代表产品的未来表现和实际收益，不构成管理人对产品收益的承诺，投资者所能获得的最终收益以管理人根据本理财产品的投资运作情况实际支付给投资者的收益为准。</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华夏理财客户服务热线4001795577或其他代理销售机构客户服务热线</w:t>
            </w:r>
            <w:bookmarkEnd w:id="0"/>
            <w:r>
              <w:rPr>
                <w:rFonts w:hint="eastAsia" w:ascii="黑体" w:hAnsi="黑体" w:eastAsia="黑体"/>
                <w:b/>
                <w:sz w:val="28"/>
                <w:szCs w:val="28"/>
                <w:u w:val="single"/>
              </w:rPr>
              <w:t>。</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lang w:val="en-US" w:eastAsia="zh-CN"/>
              </w:rPr>
              <w:t>五</w:t>
            </w:r>
            <w:r>
              <w:rPr>
                <w:rFonts w:hint="eastAsia" w:ascii="黑体" w:hAnsi="黑体" w:eastAsia="黑体"/>
                <w:b/>
                <w:sz w:val="28"/>
                <w:szCs w:val="28"/>
                <w:u w:val="single"/>
              </w:rPr>
              <w:t>、本说明书在法律许可的范围内由华夏理财方负责解释。</w:t>
            </w:r>
          </w:p>
        </w:tc>
      </w:tr>
    </w:tbl>
    <w:p>
      <w:pPr>
        <w:pStyle w:val="11"/>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8"/>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华夏理财固定收益增强型精选封闭式理财产品</w:t>
            </w:r>
            <w:r>
              <w:rPr>
                <w:rFonts w:hint="eastAsia" w:ascii="仿宋" w:hAnsi="仿宋" w:eastAsia="仿宋"/>
                <w:b/>
                <w:bCs/>
                <w:szCs w:val="21"/>
                <w:lang w:val="en-US" w:eastAsia="zh-CN"/>
              </w:rPr>
              <w:t>90</w:t>
            </w:r>
            <w:r>
              <w:rPr>
                <w:rFonts w:hint="eastAsia" w:ascii="仿宋" w:hAnsi="仿宋" w:eastAsia="仿宋"/>
                <w:b/>
                <w:bCs/>
                <w:szCs w:val="21"/>
              </w:rPr>
              <w:t>号</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rPr>
              <w:t>A份额简称：“</w:t>
            </w:r>
            <w:r>
              <w:rPr>
                <w:rFonts w:hint="eastAsia" w:ascii="仿宋" w:hAnsi="仿宋" w:eastAsia="仿宋"/>
                <w:b/>
                <w:bCs/>
                <w:szCs w:val="21"/>
                <w:lang w:eastAsia="zh-CN"/>
              </w:rPr>
              <w:t>华夏理财固收增强精选封闭式90号420天</w:t>
            </w:r>
            <w:r>
              <w:rPr>
                <w:rFonts w:hint="eastAsia" w:ascii="仿宋" w:hAnsi="仿宋" w:eastAsia="仿宋"/>
                <w:b/>
                <w:bCs/>
                <w:szCs w:val="21"/>
              </w:rPr>
              <w:t>A”</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B</w:t>
            </w:r>
            <w:r>
              <w:rPr>
                <w:rFonts w:hint="eastAsia" w:ascii="仿宋" w:hAnsi="仿宋" w:eastAsia="仿宋"/>
                <w:b/>
                <w:bCs/>
                <w:szCs w:val="21"/>
              </w:rPr>
              <w:t>份额简称：“</w:t>
            </w:r>
            <w:r>
              <w:rPr>
                <w:rFonts w:hint="eastAsia" w:ascii="仿宋" w:hAnsi="仿宋" w:eastAsia="仿宋"/>
                <w:b/>
                <w:bCs/>
                <w:szCs w:val="21"/>
                <w:lang w:eastAsia="zh-CN"/>
              </w:rPr>
              <w:t>华夏理财固收增强精选封闭式90号420天</w:t>
            </w:r>
            <w:r>
              <w:rPr>
                <w:rFonts w:hint="eastAsia" w:ascii="仿宋" w:hAnsi="仿宋" w:eastAsia="仿宋"/>
                <w:b/>
                <w:bCs/>
                <w:szCs w:val="21"/>
                <w:lang w:val="en-US" w:eastAsia="zh-CN"/>
              </w:rPr>
              <w:t>B</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C</w:t>
            </w:r>
            <w:r>
              <w:rPr>
                <w:rFonts w:hint="eastAsia" w:ascii="仿宋" w:hAnsi="仿宋" w:eastAsia="仿宋"/>
                <w:b/>
                <w:bCs/>
                <w:szCs w:val="21"/>
              </w:rPr>
              <w:t>份额简称：“</w:t>
            </w:r>
            <w:r>
              <w:rPr>
                <w:rFonts w:hint="eastAsia" w:ascii="仿宋" w:hAnsi="仿宋" w:eastAsia="仿宋"/>
                <w:b/>
                <w:bCs/>
                <w:szCs w:val="21"/>
                <w:lang w:eastAsia="zh-CN"/>
              </w:rPr>
              <w:t>华夏理财固收增强精选封闭式90号420天</w:t>
            </w:r>
            <w:r>
              <w:rPr>
                <w:rFonts w:hint="eastAsia" w:ascii="仿宋" w:hAnsi="仿宋" w:eastAsia="仿宋"/>
                <w:b/>
                <w:bCs/>
                <w:szCs w:val="21"/>
                <w:lang w:val="en-US" w:eastAsia="zh-CN"/>
              </w:rPr>
              <w:t>C</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D</w:t>
            </w:r>
            <w:r>
              <w:rPr>
                <w:rFonts w:hint="eastAsia" w:ascii="仿宋" w:hAnsi="仿宋" w:eastAsia="仿宋"/>
                <w:b/>
                <w:bCs/>
                <w:szCs w:val="21"/>
              </w:rPr>
              <w:t>份额简称：“</w:t>
            </w:r>
            <w:r>
              <w:rPr>
                <w:rFonts w:hint="eastAsia" w:ascii="仿宋" w:hAnsi="仿宋" w:eastAsia="仿宋"/>
                <w:b/>
                <w:bCs/>
                <w:szCs w:val="21"/>
                <w:lang w:eastAsia="zh-CN"/>
              </w:rPr>
              <w:t>华夏理财固收增强精选封闭式90号420天</w:t>
            </w:r>
            <w:r>
              <w:rPr>
                <w:rFonts w:hint="eastAsia" w:ascii="仿宋" w:hAnsi="仿宋" w:eastAsia="仿宋"/>
                <w:b/>
                <w:bCs/>
                <w:szCs w:val="21"/>
                <w:lang w:val="en-US" w:eastAsia="zh-CN"/>
              </w:rPr>
              <w:t>D</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46"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eastAsia="zh-CN"/>
              </w:rPr>
              <w:t>25151090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A份额代码：</w:t>
            </w:r>
            <w:r>
              <w:rPr>
                <w:rFonts w:hint="eastAsia" w:ascii="仿宋" w:hAnsi="仿宋" w:eastAsia="仿宋"/>
                <w:bCs/>
                <w:szCs w:val="21"/>
                <w:lang w:eastAsia="zh-CN"/>
              </w:rPr>
              <w:t>25151090</w:t>
            </w:r>
            <w:r>
              <w:rPr>
                <w:rFonts w:hint="eastAsia" w:ascii="仿宋" w:hAnsi="仿宋" w:eastAsia="仿宋"/>
                <w:bCs/>
                <w:szCs w:val="21"/>
              </w:rPr>
              <w:t>A</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B</w:t>
            </w:r>
            <w:r>
              <w:rPr>
                <w:rFonts w:hint="eastAsia" w:ascii="仿宋" w:hAnsi="仿宋" w:eastAsia="仿宋"/>
                <w:bCs/>
                <w:szCs w:val="21"/>
              </w:rPr>
              <w:t>份额代码：</w:t>
            </w:r>
            <w:r>
              <w:rPr>
                <w:rFonts w:hint="eastAsia" w:ascii="仿宋" w:hAnsi="仿宋" w:eastAsia="仿宋"/>
                <w:bCs/>
                <w:szCs w:val="21"/>
                <w:lang w:eastAsia="zh-CN"/>
              </w:rPr>
              <w:t>25151090</w:t>
            </w:r>
            <w:r>
              <w:rPr>
                <w:rFonts w:hint="eastAsia" w:ascii="仿宋" w:hAnsi="仿宋" w:eastAsia="仿宋"/>
                <w:bCs/>
                <w:szCs w:val="21"/>
                <w:lang w:val="en-US" w:eastAsia="zh-CN"/>
              </w:rPr>
              <w:t>B</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C份额代码：25151090C</w:t>
            </w:r>
          </w:p>
          <w:p>
            <w:pPr>
              <w:adjustRightInd w:val="0"/>
              <w:snapToGrid w:val="0"/>
              <w:spacing w:line="300" w:lineRule="exact"/>
              <w:jc w:val="center"/>
              <w:rPr>
                <w:rFonts w:hint="default" w:ascii="仿宋" w:hAnsi="仿宋" w:eastAsia="仿宋"/>
                <w:bCs/>
                <w:szCs w:val="21"/>
                <w:lang w:val="en-US" w:eastAsia="zh-CN"/>
              </w:rPr>
            </w:pPr>
            <w:r>
              <w:rPr>
                <w:rFonts w:hint="eastAsia" w:ascii="仿宋" w:hAnsi="仿宋" w:eastAsia="仿宋"/>
                <w:bCs/>
                <w:szCs w:val="21"/>
                <w:lang w:val="en-US" w:eastAsia="zh-CN"/>
              </w:rPr>
              <w:t>D</w:t>
            </w:r>
            <w:r>
              <w:rPr>
                <w:rFonts w:hint="default" w:ascii="仿宋" w:hAnsi="仿宋" w:eastAsia="仿宋"/>
                <w:bCs/>
                <w:szCs w:val="21"/>
                <w:lang w:val="en-US" w:eastAsia="zh-CN"/>
              </w:rPr>
              <w:t>份额代码：</w:t>
            </w:r>
            <w:r>
              <w:rPr>
                <w:rFonts w:hint="eastAsia" w:ascii="仿宋" w:hAnsi="仿宋" w:eastAsia="仿宋"/>
                <w:bCs/>
                <w:szCs w:val="21"/>
                <w:lang w:val="en-US" w:eastAsia="zh-CN"/>
              </w:rPr>
              <w:t>25151090D</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Z7003925000310</w:t>
            </w:r>
          </w:p>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u w:val="single"/>
              </w:rPr>
              <w:t xml:space="preserve"> </w:t>
            </w:r>
            <w:r>
              <w:rPr>
                <w:rFonts w:hint="eastAsia" w:ascii="仿宋" w:hAnsi="仿宋" w:eastAsia="仿宋"/>
                <w:bCs/>
                <w:szCs w:val="21"/>
                <w:u w:val="single"/>
              </w:rPr>
              <w:t>PR2级（中低风险）</w:t>
            </w:r>
            <w:r>
              <w:rPr>
                <w:rFonts w:ascii="仿宋" w:hAnsi="仿宋"/>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b/>
              </w:rPr>
            </w:pPr>
            <w:r>
              <w:rPr>
                <w:rFonts w:hint="eastAsia" w:ascii="仿宋" w:hAnsi="仿宋" w:eastAsia="仿宋"/>
                <w:bCs/>
                <w:szCs w:val="21"/>
              </w:rPr>
              <w:t>本理财产品通过代理销售机构（以下简称“代销机构”）渠道销售的，理财产品评级应当以</w:t>
            </w:r>
            <w:bookmarkStart w:id="1" w:name="_Hlk76302700"/>
            <w:r>
              <w:rPr>
                <w:rFonts w:hint="eastAsia" w:ascii="仿宋" w:hAnsi="仿宋" w:eastAsia="仿宋"/>
                <w:bCs/>
                <w:szCs w:val="21"/>
              </w:rPr>
              <w:t>代销机构最终披露的评级结果</w:t>
            </w:r>
            <w:bookmarkEnd w:id="1"/>
            <w:r>
              <w:rPr>
                <w:rFonts w:hint="eastAsia" w:ascii="仿宋" w:hAnsi="仿宋" w:eastAsia="仿宋"/>
                <w:bCs/>
                <w:szCs w:val="21"/>
              </w:rPr>
              <w:t>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个人投资者、机构投资</w:t>
            </w:r>
            <w:r>
              <w:rPr>
                <w:rFonts w:ascii="仿宋" w:hAnsi="仿宋" w:eastAsia="仿宋"/>
                <w:bCs/>
                <w:szCs w:val="21"/>
              </w:rPr>
              <w:t>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lang w:eastAsia="zh-CN"/>
              </w:rPr>
              <w:t>【</w:t>
            </w:r>
            <w:r>
              <w:rPr>
                <w:rFonts w:hint="eastAsia" w:ascii="仿宋" w:hAnsi="仿宋" w:eastAsia="仿宋"/>
                <w:bCs/>
                <w:szCs w:val="21"/>
                <w:u w:val="single"/>
              </w:rPr>
              <w:t>CR2（稳健型）、CR3（平衡型）、CR4（进取型）、CR5（激进型）</w:t>
            </w:r>
            <w:r>
              <w:rPr>
                <w:rFonts w:hint="eastAsia" w:ascii="仿宋" w:hAnsi="仿宋" w:eastAsia="仿宋"/>
                <w:bCs/>
                <w:szCs w:val="21"/>
                <w:lang w:eastAsia="zh-CN"/>
              </w:rPr>
              <w:t>】</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rPr>
                <w:rFonts w:hint="eastAsia" w:ascii="仿宋" w:hAnsi="仿宋" w:eastAsia="仿宋"/>
                <w:b/>
                <w:bCs/>
                <w:szCs w:val="21"/>
              </w:rPr>
            </w:pPr>
            <w:r>
              <w:rPr>
                <w:rFonts w:hint="eastAsia" w:ascii="仿宋" w:hAnsi="仿宋" w:eastAsia="仿宋"/>
                <w:b/>
                <w:bCs/>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p>
            <w:pPr>
              <w:adjustRightInd w:val="0"/>
              <w:snapToGrid w:val="0"/>
              <w:spacing w:line="300" w:lineRule="exact"/>
              <w:ind w:firstLine="420" w:firstLineChars="200"/>
              <w:rPr>
                <w:rFonts w:hint="eastAsia" w:ascii="仿宋" w:hAnsi="仿宋" w:eastAsia="仿宋"/>
                <w:b/>
                <w:bCs/>
                <w:szCs w:val="21"/>
              </w:rPr>
            </w:pPr>
            <w:r>
              <w:rPr>
                <w:rFonts w:hint="eastAsia" w:ascii="仿宋" w:hAnsi="仿宋" w:eastAsia="仿宋"/>
                <w:b w:val="0"/>
                <w:bCs w:val="0"/>
                <w:szCs w:val="21"/>
              </w:rPr>
              <w:t>如影响风险承受能力的因素发生变化，请及时完成风险承受能力评估。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业绩比较</w:t>
            </w:r>
            <w:r>
              <w:rPr>
                <w:rFonts w:hint="eastAsia" w:ascii="仿宋" w:hAnsi="仿宋" w:eastAsia="仿宋" w:cs="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rPr>
              <w:t>A份额：业绩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2.95%-3.55%</w:t>
            </w:r>
            <w:r>
              <w:rPr>
                <w:rFonts w:hint="eastAsia" w:ascii="仿宋" w:hAnsi="仿宋" w:eastAsia="仿宋" w:cs="Cambria"/>
                <w:bCs/>
                <w:szCs w:val="21"/>
              </w:rPr>
              <w:t>（年化）</w:t>
            </w:r>
            <w:r>
              <w:rPr>
                <w:rFonts w:hint="eastAsia" w:ascii="仿宋" w:hAnsi="仿宋" w:eastAsia="仿宋" w:cs="Cambria"/>
                <w:bCs/>
                <w:szCs w:val="21"/>
                <w:lang w:val="en-US" w:eastAsia="zh-CN"/>
              </w:rPr>
              <w:t>；B</w:t>
            </w:r>
            <w:r>
              <w:rPr>
                <w:rFonts w:hint="eastAsia" w:ascii="仿宋" w:hAnsi="仿宋" w:eastAsia="仿宋" w:cs="Cambria"/>
                <w:bCs/>
                <w:szCs w:val="21"/>
              </w:rPr>
              <w:t>份额：业绩比较基准为</w:t>
            </w:r>
            <w:r>
              <w:rPr>
                <w:rFonts w:hint="eastAsia" w:ascii="仿宋" w:hAnsi="仿宋" w:eastAsia="仿宋" w:cs="Cambria"/>
                <w:bCs/>
                <w:szCs w:val="21"/>
                <w:lang w:val="en-US" w:eastAsia="zh-CN"/>
              </w:rPr>
              <w:t>2.90%-3.50%（年化）；C份额：业绩比较基准为2.85%-3.45%（年化）；D份额：业绩比较基准为2.75%-3.35%（年化）</w:t>
            </w:r>
            <w:r>
              <w:rPr>
                <w:rFonts w:hint="eastAsia" w:ascii="仿宋" w:hAnsi="仿宋" w:eastAsia="仿宋" w:cs="Cambria"/>
                <w:bCs/>
                <w:szCs w:val="21"/>
              </w:rPr>
              <w:t>。以产品投资债券类资产仓位60%-100%，非标债权类资产仓位0-45%，权益类资产仓位0-5%，组合杠杆率110%-140%为例，参考符合久期要求的目标债券到期收益率、非标债权类资产目标收益率、Wind混合型基金总指数，结合产品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rPr>
                <w:rFonts w:ascii="仿宋" w:hAnsi="仿宋" w:eastAsia="仿宋" w:cs="Cambria"/>
                <w:bCs/>
                <w:szCs w:val="21"/>
              </w:rPr>
            </w:pPr>
            <w:r>
              <w:rPr>
                <w:rFonts w:hint="eastAsia" w:ascii="仿宋" w:hAnsi="仿宋" w:eastAsia="仿宋" w:cs="Cambria"/>
                <w:bCs/>
                <w:szCs w:val="21"/>
              </w:rPr>
              <w:t xml:space="preserve">    华夏理财有权根据市场情况及产品运作情况调整业绩比较基准，并至少于新业绩比较基准启用前3个工作日公告。</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3.理财产品过往业绩不代表其未来表现，不等于理财产品实际收益，不构成对产品收益的承诺，投资须谨慎。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bookmarkStart w:id="2" w:name="OLE_LINK2" w:colFirst="1" w:colLast="1"/>
            <w:bookmarkStart w:id="3" w:name="OLE_LINK3" w:colFirst="1" w:colLast="1"/>
            <w:bookmarkStart w:id="4" w:name="_Hlk290294163"/>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5</w:t>
            </w:r>
            <w:r>
              <w:rPr>
                <w:rFonts w:hint="eastAsia" w:ascii="仿宋" w:hAnsi="仿宋" w:eastAsia="仿宋"/>
                <w:bCs/>
                <w:szCs w:val="21"/>
              </w:rPr>
              <w:t>月</w:t>
            </w:r>
            <w:r>
              <w:rPr>
                <w:rFonts w:hint="eastAsia" w:ascii="仿宋" w:hAnsi="仿宋" w:eastAsia="仿宋"/>
                <w:bCs/>
                <w:szCs w:val="21"/>
                <w:lang w:val="en-US" w:eastAsia="zh-CN"/>
              </w:rPr>
              <w:t>21</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5</w:t>
            </w:r>
            <w:r>
              <w:rPr>
                <w:rFonts w:hint="eastAsia" w:ascii="仿宋" w:hAnsi="仿宋" w:eastAsia="仿宋"/>
                <w:bCs/>
                <w:szCs w:val="21"/>
              </w:rPr>
              <w:t>月</w:t>
            </w:r>
            <w:r>
              <w:rPr>
                <w:rFonts w:hint="eastAsia" w:ascii="仿宋" w:hAnsi="仿宋" w:eastAsia="仿宋"/>
                <w:bCs/>
                <w:szCs w:val="21"/>
                <w:lang w:val="en-US" w:eastAsia="zh-CN"/>
              </w:rPr>
              <w:t>27</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2"/>
      <w:bookmarkEnd w:id="3"/>
      <w:bookmarkEnd w:id="4"/>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5</w:t>
            </w:r>
            <w:r>
              <w:rPr>
                <w:rFonts w:hint="eastAsia" w:ascii="仿宋" w:hAnsi="仿宋" w:eastAsia="仿宋"/>
                <w:bCs/>
                <w:szCs w:val="21"/>
              </w:rPr>
              <w:t>月</w:t>
            </w:r>
            <w:r>
              <w:rPr>
                <w:rFonts w:hint="eastAsia" w:ascii="仿宋" w:hAnsi="仿宋" w:eastAsia="仿宋"/>
                <w:bCs/>
                <w:szCs w:val="21"/>
                <w:lang w:val="en-US" w:eastAsia="zh-CN"/>
              </w:rPr>
              <w:t>28</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lang w:val="en-US" w:eastAsia="zh-CN"/>
              </w:rPr>
              <w:t>20</w:t>
            </w:r>
            <w:r>
              <w:rPr>
                <w:rFonts w:hint="eastAsia" w:ascii="仿宋" w:hAnsi="仿宋" w:eastAsia="仿宋"/>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w:t>
            </w:r>
            <w:r>
              <w:rPr>
                <w:rFonts w:hint="eastAsia" w:ascii="仿宋" w:hAnsi="仿宋" w:eastAsia="仿宋"/>
                <w:bCs/>
                <w:szCs w:val="21"/>
                <w:lang w:val="en-US" w:eastAsia="zh-CN"/>
              </w:rPr>
              <w:t>6</w:t>
            </w:r>
            <w:r>
              <w:rPr>
                <w:rFonts w:hint="eastAsia" w:ascii="仿宋" w:hAnsi="仿宋" w:eastAsia="仿宋"/>
                <w:bCs/>
                <w:szCs w:val="21"/>
              </w:rPr>
              <w:t>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22</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22" w:firstLineChars="200"/>
              <w:rPr>
                <w:rFonts w:ascii="仿宋" w:hAnsi="仿宋" w:eastAsia="仿宋"/>
                <w:bCs/>
                <w:szCs w:val="21"/>
              </w:rPr>
            </w:pPr>
            <w:r>
              <w:rPr>
                <w:rFonts w:hint="eastAsia" w:ascii="仿宋" w:hAnsi="仿宋" w:eastAsia="仿宋"/>
                <w:b/>
                <w:bCs/>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后2个工作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rPr>
            </w:pPr>
            <w:r>
              <w:rPr>
                <w:rFonts w:hint="eastAsia" w:ascii="仿宋" w:hAnsi="仿宋" w:eastAsia="仿宋"/>
                <w:bCs/>
                <w:szCs w:val="21"/>
              </w:rPr>
              <w:t>面向全国发行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本产品</w:t>
            </w:r>
            <w:r>
              <w:rPr>
                <w:rFonts w:ascii="仿宋" w:hAnsi="仿宋" w:eastAsia="仿宋"/>
                <w:bCs/>
                <w:szCs w:val="21"/>
              </w:rPr>
              <w:t>计划发行规模下限为</w:t>
            </w:r>
            <w:r>
              <w:rPr>
                <w:rFonts w:hint="eastAsia" w:ascii="仿宋" w:hAnsi="仿宋" w:eastAsia="仿宋"/>
                <w:bCs/>
                <w:szCs w:val="21"/>
                <w:lang w:val="en-US" w:eastAsia="zh-CN"/>
              </w:rPr>
              <w:t>5</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cs="Cambria"/>
                <w:bCs/>
                <w:szCs w:val="21"/>
              </w:rPr>
              <w:t>A份额：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cs="Cambria"/>
                <w:bCs/>
                <w:szCs w:val="21"/>
                <w:lang w:val="en-US" w:eastAsia="zh-CN"/>
              </w:rPr>
              <w:t>B</w:t>
            </w:r>
            <w:r>
              <w:rPr>
                <w:rFonts w:hint="eastAsia" w:ascii="仿宋" w:hAnsi="仿宋" w:eastAsia="仿宋" w:cs="Cambria"/>
                <w:bCs/>
                <w:szCs w:val="21"/>
              </w:rPr>
              <w:t>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C</w:t>
            </w:r>
            <w:r>
              <w:rPr>
                <w:rFonts w:hint="eastAsia" w:ascii="仿宋" w:hAnsi="仿宋" w:eastAsia="仿宋"/>
                <w:bCs/>
                <w:szCs w:val="21"/>
              </w:rPr>
              <w:t>份额：认购起点金额1元，以1元的整数倍递增。</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D</w:t>
            </w:r>
            <w:r>
              <w:rPr>
                <w:rFonts w:hint="eastAsia" w:ascii="仿宋" w:hAnsi="仿宋" w:eastAsia="仿宋"/>
                <w:bCs/>
                <w:szCs w:val="21"/>
              </w:rPr>
              <w:t>份额：认购起点金额1元，以1元的整数倍递增。</w:t>
            </w:r>
          </w:p>
          <w:p>
            <w:pPr>
              <w:adjustRightInd w:val="0"/>
              <w:snapToGrid w:val="0"/>
              <w:spacing w:line="240" w:lineRule="atLeast"/>
              <w:ind w:firstLine="420" w:firstLineChars="200"/>
              <w:rPr>
                <w:rFonts w:ascii="仿宋" w:hAnsi="仿宋" w:eastAsia="仿宋"/>
              </w:rPr>
            </w:pPr>
            <w:r>
              <w:rPr>
                <w:rFonts w:hint="eastAsia" w:ascii="仿宋" w:hAnsi="仿宋" w:eastAsia="仿宋"/>
              </w:rPr>
              <w:t>如代销机构规定与本规则不一致的，则以各代销机构规定为准，但不得低于本起点金额。</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rPr>
            </w:pPr>
            <w:r>
              <w:rPr>
                <w:rFonts w:hint="eastAsia" w:ascii="仿宋" w:hAnsi="仿宋" w:eastAsia="仿宋"/>
              </w:rPr>
              <w:t>最高持有限额要求：本理财产品单一投资者持有本产品份额数不得超过产品份额总数的50%。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jc w:val="center"/>
              <w:rPr>
                <w:rFonts w:ascii="仿宋" w:hAnsi="仿宋" w:eastAsia="仿宋"/>
                <w:bCs/>
                <w:szCs w:val="21"/>
              </w:rP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tabs>
                <w:tab w:val="left" w:pos="720"/>
              </w:tabs>
              <w:autoSpaceDE w:val="0"/>
              <w:autoSpaceDN w:val="0"/>
              <w:adjustRightInd w:val="0"/>
              <w:snapToGrid w:val="0"/>
              <w:spacing w:line="240" w:lineRule="atLeast"/>
              <w:ind w:right="18" w:firstLine="420" w:firstLineChars="200"/>
              <w:rPr>
                <w:rFonts w:ascii="仿宋" w:hAnsi="仿宋" w:eastAsia="仿宋"/>
                <w:b/>
                <w:bCs/>
                <w:szCs w:val="21"/>
              </w:rPr>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华夏理财将于2个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w:t>
            </w:r>
            <w:r>
              <w:rPr>
                <w:rFonts w:ascii="仿宋" w:hAnsi="仿宋" w:eastAsia="仿宋"/>
              </w:rPr>
              <w:t>7</w:t>
            </w:r>
            <w:r>
              <w:rPr>
                <w:rFonts w:hint="eastAsia" w:ascii="仿宋" w:hAnsi="仿宋" w:eastAsia="仿宋"/>
              </w:rPr>
              <w:t>:30（含）之后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w:t>
            </w:r>
            <w:r>
              <w:rPr>
                <w:rFonts w:ascii="仿宋" w:hAnsi="仿宋" w:eastAsia="仿宋"/>
              </w:rPr>
              <w:t>7</w:t>
            </w:r>
            <w:r>
              <w:rPr>
                <w:rFonts w:hint="eastAsia" w:ascii="仿宋" w:hAnsi="仿宋" w:eastAsia="仿宋"/>
              </w:rPr>
              <w:t>:30（含）之后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szCs w:val="21"/>
              </w:rPr>
            </w:pPr>
            <w:r>
              <w:rPr>
                <w:rFonts w:hint="eastAsia" w:ascii="仿宋" w:hAnsi="仿宋" w:eastAsia="仿宋"/>
                <w:b/>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szCs w:val="21"/>
              </w:rPr>
            </w:pPr>
            <w:r>
              <w:rPr>
                <w:rFonts w:hint="eastAsia" w:ascii="仿宋" w:hAnsi="仿宋" w:eastAsia="仿宋"/>
                <w:b/>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
                <w:szCs w:val="21"/>
              </w:rPr>
            </w:pPr>
            <w:r>
              <w:rPr>
                <w:rFonts w:hint="eastAsia" w:ascii="仿宋" w:hAnsi="仿宋" w:eastAsia="仿宋"/>
                <w:b/>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0.03%/年，以前一日资产净值为基数，每日计提。</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公式如下：</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F=E×【0.03%】/当年天数。F为托管费；E为计算</w:t>
            </w:r>
            <w:r>
              <w:rPr>
                <w:rFonts w:ascii="仿宋" w:hAnsi="仿宋" w:eastAsia="仿宋"/>
                <w:b/>
                <w:szCs w:val="21"/>
              </w:rPr>
              <w:t>基数</w:t>
            </w:r>
            <w:r>
              <w:rPr>
                <w:rFonts w:hint="eastAsia" w:ascii="仿宋" w:hAnsi="仿宋" w:eastAsia="仿宋"/>
                <w:b/>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szCs w:val="21"/>
              </w:rPr>
            </w:pPr>
            <w:r>
              <w:rPr>
                <w:rFonts w:hint="eastAsia" w:ascii="仿宋" w:hAnsi="仿宋" w:eastAsia="仿宋"/>
                <w:b/>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jc w:val="left"/>
              <w:rPr>
                <w:rFonts w:hint="eastAsia" w:ascii="仿宋" w:hAnsi="仿宋" w:eastAsia="仿宋"/>
                <w:b/>
                <w:szCs w:val="21"/>
              </w:rPr>
            </w:pPr>
            <w:r>
              <w:rPr>
                <w:rFonts w:hint="eastAsia" w:ascii="仿宋" w:hAnsi="仿宋" w:eastAsia="仿宋" w:cs="Cambria"/>
                <w:b/>
                <w:szCs w:val="21"/>
              </w:rPr>
              <w:t>A份额：</w:t>
            </w:r>
            <w:r>
              <w:rPr>
                <w:rFonts w:ascii="仿宋" w:hAnsi="仿宋" w:eastAsia="仿宋"/>
                <w:b/>
                <w:szCs w:val="21"/>
              </w:rPr>
              <w:t>0.</w:t>
            </w:r>
            <w:r>
              <w:rPr>
                <w:rFonts w:hint="eastAsia" w:ascii="仿宋" w:hAnsi="仿宋" w:eastAsia="仿宋"/>
                <w:b/>
                <w:szCs w:val="21"/>
                <w:lang w:val="en-US" w:eastAsia="zh-CN"/>
              </w:rPr>
              <w:t>10</w:t>
            </w:r>
            <w:r>
              <w:rPr>
                <w:rFonts w:ascii="仿宋" w:hAnsi="仿宋" w:eastAsia="仿宋"/>
                <w:b/>
                <w:szCs w:val="21"/>
              </w:rPr>
              <w:t>%</w:t>
            </w:r>
            <w:r>
              <w:rPr>
                <w:rFonts w:hint="eastAsia" w:ascii="仿宋" w:hAnsi="仿宋" w:eastAsia="仿宋"/>
                <w:b/>
                <w:szCs w:val="21"/>
              </w:rPr>
              <w:t>/年，以前一日资产净值为基数，每日计提。</w:t>
            </w:r>
          </w:p>
          <w:p>
            <w:pPr>
              <w:adjustRightInd w:val="0"/>
              <w:snapToGrid w:val="0"/>
              <w:spacing w:line="300" w:lineRule="exact"/>
              <w:ind w:firstLine="422" w:firstLineChars="200"/>
              <w:jc w:val="left"/>
              <w:rPr>
                <w:rFonts w:hint="eastAsia" w:ascii="仿宋" w:hAnsi="仿宋" w:eastAsia="仿宋"/>
                <w:b/>
                <w:szCs w:val="21"/>
              </w:rPr>
            </w:pPr>
            <w:r>
              <w:rPr>
                <w:rFonts w:hint="eastAsia" w:ascii="仿宋" w:hAnsi="仿宋" w:eastAsia="仿宋" w:cs="Cambria"/>
                <w:b/>
                <w:szCs w:val="21"/>
                <w:lang w:val="en-US" w:eastAsia="zh-CN"/>
              </w:rPr>
              <w:t>B</w:t>
            </w:r>
            <w:r>
              <w:rPr>
                <w:rFonts w:hint="eastAsia" w:ascii="仿宋" w:hAnsi="仿宋" w:eastAsia="仿宋" w:cs="Cambria"/>
                <w:b/>
                <w:szCs w:val="21"/>
              </w:rPr>
              <w:t>份额：</w:t>
            </w:r>
            <w:r>
              <w:rPr>
                <w:rFonts w:ascii="仿宋" w:hAnsi="仿宋" w:eastAsia="仿宋"/>
                <w:b/>
                <w:szCs w:val="21"/>
              </w:rPr>
              <w:t>0.</w:t>
            </w:r>
            <w:r>
              <w:rPr>
                <w:rFonts w:hint="eastAsia" w:ascii="仿宋" w:hAnsi="仿宋" w:eastAsia="仿宋"/>
                <w:b/>
                <w:szCs w:val="21"/>
                <w:lang w:val="en-US" w:eastAsia="zh-CN"/>
              </w:rPr>
              <w:t>15</w:t>
            </w:r>
            <w:r>
              <w:rPr>
                <w:rFonts w:ascii="仿宋" w:hAnsi="仿宋" w:eastAsia="仿宋"/>
                <w:b/>
                <w:szCs w:val="21"/>
              </w:rPr>
              <w:t>%</w:t>
            </w:r>
            <w:r>
              <w:rPr>
                <w:rFonts w:hint="eastAsia" w:ascii="仿宋" w:hAnsi="仿宋" w:eastAsia="仿宋"/>
                <w:b/>
                <w:szCs w:val="21"/>
              </w:rPr>
              <w:t>/年，以前一日资产净值为基数，每日计提。</w:t>
            </w:r>
          </w:p>
          <w:p>
            <w:pPr>
              <w:adjustRightInd w:val="0"/>
              <w:snapToGrid w:val="0"/>
              <w:spacing w:line="300" w:lineRule="exact"/>
              <w:ind w:firstLine="422" w:firstLineChars="200"/>
              <w:jc w:val="left"/>
              <w:rPr>
                <w:rFonts w:hint="eastAsia" w:ascii="仿宋" w:hAnsi="仿宋" w:eastAsia="仿宋"/>
                <w:b/>
                <w:szCs w:val="21"/>
              </w:rPr>
            </w:pPr>
            <w:r>
              <w:rPr>
                <w:rFonts w:hint="eastAsia" w:ascii="仿宋" w:hAnsi="仿宋" w:eastAsia="仿宋"/>
                <w:b/>
                <w:szCs w:val="21"/>
                <w:lang w:val="en-US" w:eastAsia="zh-CN"/>
              </w:rPr>
              <w:t>C</w:t>
            </w:r>
            <w:r>
              <w:rPr>
                <w:rFonts w:hint="eastAsia" w:ascii="仿宋" w:hAnsi="仿宋" w:eastAsia="仿宋"/>
                <w:b/>
                <w:szCs w:val="21"/>
              </w:rPr>
              <w:t>份额：0.</w:t>
            </w:r>
            <w:r>
              <w:rPr>
                <w:rFonts w:hint="eastAsia" w:ascii="仿宋" w:hAnsi="仿宋" w:eastAsia="仿宋"/>
                <w:b/>
                <w:szCs w:val="21"/>
                <w:lang w:val="en-US" w:eastAsia="zh-CN"/>
              </w:rPr>
              <w:t>20</w:t>
            </w:r>
            <w:r>
              <w:rPr>
                <w:rFonts w:hint="eastAsia" w:ascii="仿宋" w:hAnsi="仿宋" w:eastAsia="仿宋"/>
                <w:b/>
                <w:szCs w:val="21"/>
              </w:rPr>
              <w:t>%/年，以前一日资产净值为基数，每日计提。</w:t>
            </w:r>
          </w:p>
          <w:p>
            <w:pPr>
              <w:adjustRightInd w:val="0"/>
              <w:snapToGrid w:val="0"/>
              <w:spacing w:line="300" w:lineRule="exact"/>
              <w:ind w:firstLine="422" w:firstLineChars="200"/>
              <w:jc w:val="left"/>
              <w:rPr>
                <w:rFonts w:hint="eastAsia" w:ascii="仿宋" w:hAnsi="仿宋" w:eastAsia="仿宋"/>
                <w:b/>
                <w:szCs w:val="21"/>
              </w:rPr>
            </w:pPr>
            <w:r>
              <w:rPr>
                <w:rFonts w:hint="eastAsia" w:ascii="仿宋" w:hAnsi="仿宋" w:eastAsia="仿宋"/>
                <w:b/>
                <w:szCs w:val="21"/>
                <w:lang w:val="en-US" w:eastAsia="zh-CN"/>
              </w:rPr>
              <w:t>D</w:t>
            </w:r>
            <w:r>
              <w:rPr>
                <w:rFonts w:hint="eastAsia" w:ascii="仿宋" w:hAnsi="仿宋" w:eastAsia="仿宋"/>
                <w:b/>
                <w:szCs w:val="21"/>
              </w:rPr>
              <w:t>份额：0.</w:t>
            </w:r>
            <w:r>
              <w:rPr>
                <w:rFonts w:hint="eastAsia" w:ascii="仿宋" w:hAnsi="仿宋" w:eastAsia="仿宋"/>
                <w:b/>
                <w:szCs w:val="21"/>
                <w:lang w:val="en-US" w:eastAsia="zh-CN"/>
              </w:rPr>
              <w:t>30</w:t>
            </w:r>
            <w:r>
              <w:rPr>
                <w:rFonts w:hint="eastAsia" w:ascii="仿宋" w:hAnsi="仿宋" w:eastAsia="仿宋"/>
                <w:b/>
                <w:szCs w:val="21"/>
              </w:rPr>
              <w:t>%/年，以前一日资产净值为基数，每日计提。</w:t>
            </w:r>
          </w:p>
          <w:p>
            <w:pPr>
              <w:adjustRightInd w:val="0"/>
              <w:snapToGrid w:val="0"/>
              <w:spacing w:line="300" w:lineRule="exact"/>
              <w:ind w:firstLine="420"/>
              <w:jc w:val="left"/>
              <w:rPr>
                <w:rFonts w:ascii="仿宋" w:hAnsi="仿宋" w:eastAsia="仿宋"/>
                <w:b/>
                <w:szCs w:val="21"/>
              </w:rPr>
            </w:pPr>
            <w:r>
              <w:rPr>
                <w:rFonts w:hint="eastAsia" w:ascii="仿宋" w:hAnsi="仿宋" w:eastAsia="仿宋"/>
                <w:b/>
                <w:szCs w:val="21"/>
              </w:rPr>
              <w:t>公式如下：</w:t>
            </w:r>
          </w:p>
          <w:p>
            <w:pPr>
              <w:adjustRightInd w:val="0"/>
              <w:snapToGrid w:val="0"/>
              <w:spacing w:line="240" w:lineRule="atLeast"/>
              <w:ind w:firstLine="420"/>
              <w:jc w:val="left"/>
              <w:rPr>
                <w:rFonts w:hint="eastAsia" w:ascii="仿宋" w:hAnsi="仿宋" w:eastAsia="仿宋"/>
                <w:b/>
                <w:szCs w:val="21"/>
              </w:rPr>
            </w:pPr>
            <w:r>
              <w:rPr>
                <w:rFonts w:hint="eastAsia" w:ascii="仿宋" w:hAnsi="仿宋" w:eastAsia="仿宋"/>
                <w:b/>
                <w:szCs w:val="21"/>
              </w:rPr>
              <w:t>F=E×【各</w:t>
            </w:r>
            <w:r>
              <w:rPr>
                <w:rFonts w:ascii="仿宋" w:hAnsi="仿宋" w:eastAsia="仿宋"/>
                <w:b/>
                <w:szCs w:val="21"/>
              </w:rPr>
              <w:t>份额</w:t>
            </w:r>
            <w:r>
              <w:rPr>
                <w:rFonts w:hint="eastAsia" w:ascii="仿宋" w:hAnsi="仿宋" w:eastAsia="仿宋"/>
                <w:b/>
                <w:szCs w:val="21"/>
              </w:rPr>
              <w:t>销售</w:t>
            </w:r>
            <w:r>
              <w:rPr>
                <w:rFonts w:ascii="仿宋" w:hAnsi="仿宋" w:eastAsia="仿宋"/>
                <w:b/>
                <w:szCs w:val="21"/>
              </w:rPr>
              <w:t>手续费率</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。F为各</w:t>
            </w:r>
            <w:r>
              <w:rPr>
                <w:rFonts w:ascii="仿宋" w:hAnsi="仿宋" w:eastAsia="仿宋"/>
                <w:b/>
                <w:szCs w:val="21"/>
              </w:rPr>
              <w:t>份额</w:t>
            </w:r>
            <w:r>
              <w:rPr>
                <w:rFonts w:hint="eastAsia" w:ascii="仿宋" w:hAnsi="仿宋" w:eastAsia="仿宋"/>
                <w:b/>
                <w:szCs w:val="21"/>
              </w:rPr>
              <w:t>销售</w:t>
            </w:r>
            <w:r>
              <w:rPr>
                <w:rFonts w:ascii="仿宋" w:hAnsi="仿宋" w:eastAsia="仿宋"/>
                <w:b/>
                <w:szCs w:val="21"/>
              </w:rPr>
              <w:t>手续费</w:t>
            </w:r>
            <w:r>
              <w:rPr>
                <w:rFonts w:hint="eastAsia" w:ascii="仿宋" w:hAnsi="仿宋" w:eastAsia="仿宋"/>
                <w:b/>
                <w:szCs w:val="21"/>
              </w:rPr>
              <w:t>；E为计算</w:t>
            </w:r>
            <w:r>
              <w:rPr>
                <w:rFonts w:ascii="仿宋" w:hAnsi="仿宋" w:eastAsia="仿宋"/>
                <w:b/>
                <w:szCs w:val="21"/>
              </w:rPr>
              <w:t>基数</w:t>
            </w:r>
            <w:r>
              <w:rPr>
                <w:rFonts w:hint="eastAsia" w:ascii="仿宋" w:hAnsi="仿宋" w:eastAsia="仿宋"/>
                <w:b/>
                <w:szCs w:val="21"/>
              </w:rPr>
              <w:t>。</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szCs w:val="21"/>
              </w:rPr>
            </w:pPr>
            <w:r>
              <w:rPr>
                <w:rFonts w:hint="eastAsia" w:ascii="仿宋" w:hAnsi="仿宋" w:eastAsia="仿宋"/>
                <w:b/>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szCs w:val="21"/>
              </w:rPr>
            </w:pPr>
            <w:r>
              <w:rPr>
                <w:rFonts w:ascii="仿宋" w:hAnsi="仿宋" w:eastAsia="仿宋"/>
                <w:b/>
                <w:szCs w:val="21"/>
              </w:rPr>
              <w:t>0.</w:t>
            </w:r>
            <w:r>
              <w:rPr>
                <w:rFonts w:hint="eastAsia" w:ascii="仿宋" w:hAnsi="仿宋" w:eastAsia="仿宋"/>
                <w:b/>
                <w:szCs w:val="21"/>
                <w:lang w:val="en-US" w:eastAsia="zh-CN"/>
              </w:rPr>
              <w:t>10</w:t>
            </w:r>
            <w:r>
              <w:rPr>
                <w:rFonts w:ascii="仿宋" w:hAnsi="仿宋" w:eastAsia="仿宋"/>
                <w:b/>
                <w:szCs w:val="21"/>
              </w:rPr>
              <w:t>%</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公式如下：</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F=E×【</w:t>
            </w:r>
            <w:r>
              <w:rPr>
                <w:rFonts w:ascii="仿宋" w:hAnsi="仿宋" w:eastAsia="仿宋"/>
                <w:b/>
                <w:szCs w:val="21"/>
              </w:rPr>
              <w:t>0.</w:t>
            </w:r>
            <w:r>
              <w:rPr>
                <w:rFonts w:hint="eastAsia" w:ascii="仿宋" w:hAnsi="仿宋" w:eastAsia="仿宋"/>
                <w:b/>
                <w:szCs w:val="21"/>
                <w:lang w:val="en-US" w:eastAsia="zh-CN"/>
              </w:rPr>
              <w:t>10</w:t>
            </w:r>
            <w:r>
              <w:rPr>
                <w:rFonts w:ascii="仿宋" w:hAnsi="仿宋" w:eastAsia="仿宋"/>
                <w:b/>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。F为固定管理费；E为计算</w:t>
            </w:r>
            <w:r>
              <w:rPr>
                <w:rFonts w:ascii="仿宋" w:hAnsi="仿宋" w:eastAsia="仿宋"/>
                <w:b/>
                <w:szCs w:val="21"/>
              </w:rPr>
              <w:t>基数</w:t>
            </w:r>
            <w:r>
              <w:rPr>
                <w:rFonts w:hint="eastAsia" w:ascii="仿宋" w:hAnsi="仿宋" w:eastAsia="仿宋"/>
                <w:b/>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
                <w:szCs w:val="21"/>
              </w:rPr>
            </w:pPr>
            <w:r>
              <w:rPr>
                <w:rFonts w:hint="eastAsia" w:ascii="仿宋" w:hAnsi="仿宋" w:eastAsia="仿宋"/>
                <w:b/>
                <w:szCs w:val="21"/>
              </w:rPr>
              <w:t>超额计提基准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szCs w:val="21"/>
              </w:rPr>
            </w:pPr>
            <w:r>
              <w:rPr>
                <w:rFonts w:hint="eastAsia" w:ascii="仿宋" w:hAnsi="仿宋" w:eastAsia="仿宋"/>
                <w:b/>
                <w:szCs w:val="21"/>
              </w:rPr>
              <w:t>本</w:t>
            </w:r>
            <w:r>
              <w:rPr>
                <w:rFonts w:hint="eastAsia" w:ascii="仿宋" w:hAnsi="仿宋" w:eastAsia="仿宋"/>
                <w:b/>
                <w:szCs w:val="21"/>
                <w:lang w:val="en-US" w:eastAsia="zh-CN"/>
              </w:rPr>
              <w:t>理财</w:t>
            </w:r>
            <w:r>
              <w:rPr>
                <w:rFonts w:hint="eastAsia" w:ascii="仿宋" w:hAnsi="仿宋" w:eastAsia="仿宋"/>
                <w:b/>
                <w:szCs w:val="21"/>
              </w:rPr>
              <w:t>产品扣除各项费用（包括销售手续费、托管费、固定管理费及其他费用等）后，年化收益率低于或等于超额计提基准，则管理人不收取超额管理费；超过超额计提基准的部分，</w:t>
            </w:r>
            <w:r>
              <w:rPr>
                <w:rFonts w:hint="eastAsia" w:ascii="仿宋" w:hAnsi="仿宋" w:eastAsia="仿宋"/>
                <w:b/>
                <w:szCs w:val="21"/>
                <w:lang w:val="en-US" w:eastAsia="zh-CN"/>
              </w:rPr>
              <w:t>50%</w:t>
            </w:r>
            <w:r>
              <w:rPr>
                <w:rFonts w:hint="eastAsia" w:ascii="仿宋" w:hAnsi="仿宋" w:eastAsia="仿宋"/>
                <w:b/>
                <w:szCs w:val="21"/>
              </w:rPr>
              <w:t>归投资人所有，</w:t>
            </w:r>
            <w:r>
              <w:rPr>
                <w:rFonts w:hint="eastAsia" w:ascii="仿宋" w:hAnsi="仿宋" w:eastAsia="仿宋"/>
                <w:b/>
                <w:szCs w:val="21"/>
                <w:lang w:val="en-US" w:eastAsia="zh-CN"/>
              </w:rPr>
              <w:t>50%</w:t>
            </w:r>
            <w:r>
              <w:rPr>
                <w:rFonts w:hint="eastAsia" w:ascii="仿宋" w:hAnsi="仿宋" w:eastAsia="仿宋"/>
                <w:b/>
                <w:szCs w:val="21"/>
              </w:rPr>
              <w:t>作为管理人的超额管理费。</w:t>
            </w:r>
          </w:p>
          <w:p>
            <w:pPr>
              <w:adjustRightInd w:val="0"/>
              <w:snapToGrid w:val="0"/>
              <w:spacing w:line="240" w:lineRule="atLeast"/>
              <w:ind w:firstLine="420"/>
              <w:jc w:val="left"/>
              <w:rPr>
                <w:rFonts w:hint="eastAsia" w:ascii="仿宋" w:hAnsi="仿宋" w:eastAsia="仿宋"/>
                <w:b/>
                <w:szCs w:val="21"/>
              </w:rPr>
            </w:pPr>
            <w:r>
              <w:rPr>
                <w:rFonts w:hint="eastAsia" w:ascii="仿宋" w:hAnsi="仿宋" w:eastAsia="仿宋"/>
                <w:b/>
                <w:szCs w:val="21"/>
              </w:rPr>
              <w:t>A份额超额计提基准为</w:t>
            </w:r>
            <w:r>
              <w:rPr>
                <w:rFonts w:hint="eastAsia" w:ascii="仿宋" w:hAnsi="仿宋" w:eastAsia="仿宋"/>
                <w:b/>
                <w:szCs w:val="21"/>
                <w:lang w:val="en-US" w:eastAsia="zh-CN"/>
              </w:rPr>
              <w:t>3</w:t>
            </w:r>
            <w:r>
              <w:rPr>
                <w:rFonts w:hint="eastAsia" w:ascii="仿宋" w:hAnsi="仿宋" w:eastAsia="仿宋"/>
                <w:b/>
                <w:szCs w:val="21"/>
              </w:rPr>
              <w:t>.</w:t>
            </w:r>
            <w:r>
              <w:rPr>
                <w:rFonts w:hint="eastAsia" w:ascii="仿宋" w:hAnsi="仿宋" w:eastAsia="仿宋"/>
                <w:b/>
                <w:szCs w:val="21"/>
                <w:lang w:val="en-US" w:eastAsia="zh-CN"/>
              </w:rPr>
              <w:t>25</w:t>
            </w:r>
            <w:r>
              <w:rPr>
                <w:rFonts w:hint="eastAsia" w:ascii="仿宋" w:hAnsi="仿宋" w:eastAsia="仿宋"/>
                <w:b/>
                <w:szCs w:val="21"/>
              </w:rPr>
              <w:t>%（年化）</w:t>
            </w:r>
            <w:r>
              <w:rPr>
                <w:rFonts w:hint="eastAsia" w:ascii="仿宋" w:hAnsi="仿宋" w:eastAsia="仿宋"/>
                <w:b/>
                <w:szCs w:val="21"/>
                <w:lang w:eastAsia="zh-CN"/>
              </w:rPr>
              <w:t>；</w:t>
            </w:r>
            <w:r>
              <w:rPr>
                <w:rFonts w:hint="eastAsia" w:ascii="仿宋" w:hAnsi="仿宋" w:eastAsia="仿宋"/>
                <w:b/>
                <w:szCs w:val="21"/>
                <w:lang w:val="en-US" w:eastAsia="zh-CN"/>
              </w:rPr>
              <w:t>B</w:t>
            </w:r>
            <w:r>
              <w:rPr>
                <w:rFonts w:hint="eastAsia" w:ascii="仿宋" w:hAnsi="仿宋" w:eastAsia="仿宋"/>
                <w:b/>
                <w:szCs w:val="21"/>
              </w:rPr>
              <w:t>份额超额计提基准为</w:t>
            </w:r>
            <w:r>
              <w:rPr>
                <w:rFonts w:hint="eastAsia" w:ascii="仿宋" w:hAnsi="仿宋" w:eastAsia="仿宋"/>
                <w:b/>
                <w:szCs w:val="21"/>
                <w:lang w:val="en-US" w:eastAsia="zh-CN"/>
              </w:rPr>
              <w:t>3</w:t>
            </w:r>
            <w:r>
              <w:rPr>
                <w:rFonts w:hint="eastAsia" w:ascii="仿宋" w:hAnsi="仿宋" w:eastAsia="仿宋"/>
                <w:b/>
                <w:szCs w:val="21"/>
              </w:rPr>
              <w:t>.</w:t>
            </w:r>
            <w:r>
              <w:rPr>
                <w:rFonts w:hint="eastAsia" w:ascii="仿宋" w:hAnsi="仿宋" w:eastAsia="仿宋"/>
                <w:b/>
                <w:szCs w:val="21"/>
                <w:lang w:val="en-US" w:eastAsia="zh-CN"/>
              </w:rPr>
              <w:t>20</w:t>
            </w:r>
            <w:r>
              <w:rPr>
                <w:rFonts w:hint="eastAsia" w:ascii="仿宋" w:hAnsi="仿宋" w:eastAsia="仿宋"/>
                <w:b/>
                <w:szCs w:val="21"/>
              </w:rPr>
              <w:t>%（年化）</w:t>
            </w:r>
            <w:r>
              <w:rPr>
                <w:rFonts w:hint="eastAsia" w:ascii="仿宋" w:hAnsi="仿宋" w:eastAsia="仿宋"/>
                <w:b/>
                <w:szCs w:val="21"/>
                <w:lang w:eastAsia="zh-CN"/>
              </w:rPr>
              <w:t>；</w:t>
            </w:r>
            <w:r>
              <w:rPr>
                <w:rFonts w:hint="eastAsia" w:ascii="仿宋" w:hAnsi="仿宋" w:eastAsia="仿宋"/>
                <w:b/>
                <w:szCs w:val="21"/>
                <w:lang w:val="en-US" w:eastAsia="zh-CN"/>
              </w:rPr>
              <w:t>C</w:t>
            </w:r>
            <w:r>
              <w:rPr>
                <w:rFonts w:hint="eastAsia" w:ascii="仿宋" w:hAnsi="仿宋" w:eastAsia="仿宋"/>
                <w:b/>
                <w:szCs w:val="21"/>
              </w:rPr>
              <w:t>份额超额计提基准为</w:t>
            </w:r>
            <w:r>
              <w:rPr>
                <w:rFonts w:hint="eastAsia" w:ascii="仿宋" w:hAnsi="仿宋" w:eastAsia="仿宋"/>
                <w:b/>
                <w:szCs w:val="21"/>
                <w:lang w:val="en-US" w:eastAsia="zh-CN"/>
              </w:rPr>
              <w:t>3</w:t>
            </w:r>
            <w:r>
              <w:rPr>
                <w:rFonts w:hint="eastAsia" w:ascii="仿宋" w:hAnsi="仿宋" w:eastAsia="仿宋"/>
                <w:b/>
                <w:szCs w:val="21"/>
              </w:rPr>
              <w:t>.</w:t>
            </w:r>
            <w:r>
              <w:rPr>
                <w:rFonts w:hint="eastAsia" w:ascii="仿宋" w:hAnsi="仿宋" w:eastAsia="仿宋"/>
                <w:b/>
                <w:szCs w:val="21"/>
                <w:lang w:val="en-US" w:eastAsia="zh-CN"/>
              </w:rPr>
              <w:t>15</w:t>
            </w:r>
            <w:r>
              <w:rPr>
                <w:rFonts w:hint="eastAsia" w:ascii="仿宋" w:hAnsi="仿宋" w:eastAsia="仿宋"/>
                <w:b/>
                <w:szCs w:val="21"/>
              </w:rPr>
              <w:t>%（年化）</w:t>
            </w:r>
            <w:r>
              <w:rPr>
                <w:rFonts w:hint="eastAsia" w:ascii="仿宋" w:hAnsi="仿宋" w:eastAsia="仿宋"/>
                <w:b/>
                <w:szCs w:val="21"/>
                <w:lang w:eastAsia="zh-CN"/>
              </w:rPr>
              <w:t>；</w:t>
            </w:r>
            <w:r>
              <w:rPr>
                <w:rFonts w:hint="eastAsia" w:ascii="仿宋" w:hAnsi="仿宋" w:eastAsia="仿宋"/>
                <w:b/>
                <w:szCs w:val="21"/>
                <w:lang w:val="en-US" w:eastAsia="zh-CN"/>
              </w:rPr>
              <w:t>D</w:t>
            </w:r>
            <w:r>
              <w:rPr>
                <w:rFonts w:hint="eastAsia" w:ascii="仿宋" w:hAnsi="仿宋" w:eastAsia="仿宋"/>
                <w:b/>
                <w:szCs w:val="21"/>
              </w:rPr>
              <w:t>份额超额计提基准为</w:t>
            </w:r>
            <w:r>
              <w:rPr>
                <w:rFonts w:hint="eastAsia" w:ascii="仿宋" w:hAnsi="仿宋" w:eastAsia="仿宋"/>
                <w:b/>
                <w:szCs w:val="21"/>
                <w:lang w:val="en-US" w:eastAsia="zh-CN"/>
              </w:rPr>
              <w:t>3</w:t>
            </w:r>
            <w:r>
              <w:rPr>
                <w:rFonts w:hint="eastAsia" w:ascii="仿宋" w:hAnsi="仿宋" w:eastAsia="仿宋"/>
                <w:b/>
                <w:szCs w:val="21"/>
              </w:rPr>
              <w:t>.</w:t>
            </w:r>
            <w:r>
              <w:rPr>
                <w:rFonts w:hint="eastAsia" w:ascii="仿宋" w:hAnsi="仿宋" w:eastAsia="仿宋"/>
                <w:b/>
                <w:szCs w:val="21"/>
                <w:lang w:val="en-US" w:eastAsia="zh-CN"/>
              </w:rPr>
              <w:t>05</w:t>
            </w:r>
            <w:r>
              <w:rPr>
                <w:rFonts w:hint="eastAsia" w:ascii="仿宋" w:hAnsi="仿宋" w:eastAsia="仿宋"/>
                <w:b/>
                <w:szCs w:val="21"/>
              </w:rPr>
              <w:t>%（年化）。</w:t>
            </w:r>
          </w:p>
          <w:p>
            <w:pPr>
              <w:adjustRightInd w:val="0"/>
              <w:snapToGrid w:val="0"/>
              <w:spacing w:line="240" w:lineRule="atLeast"/>
              <w:ind w:firstLine="420"/>
              <w:jc w:val="left"/>
              <w:rPr>
                <w:rFonts w:hint="eastAsia" w:ascii="仿宋" w:hAnsi="仿宋" w:eastAsia="仿宋"/>
                <w:b/>
                <w:szCs w:val="21"/>
              </w:rPr>
            </w:pPr>
            <w:r>
              <w:rPr>
                <w:rFonts w:hint="eastAsia" w:ascii="仿宋" w:hAnsi="仿宋" w:eastAsia="仿宋"/>
                <w:b/>
                <w:szCs w:val="21"/>
              </w:rPr>
              <w:t>计算规则详见</w:t>
            </w:r>
            <w:r>
              <w:rPr>
                <w:rFonts w:hint="eastAsia" w:ascii="仿宋" w:hAnsi="仿宋" w:eastAsia="仿宋"/>
                <w:b/>
                <w:szCs w:val="21"/>
                <w:lang w:eastAsia="zh-CN"/>
              </w:rPr>
              <w:t>“超额管理费”</w:t>
            </w:r>
            <w:r>
              <w:rPr>
                <w:rFonts w:hint="eastAsia" w:ascii="仿宋" w:hAnsi="仿宋" w:eastAsia="仿宋"/>
                <w:b/>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szCs w:val="21"/>
              </w:rPr>
            </w:pPr>
            <w:r>
              <w:rPr>
                <w:rFonts w:hint="eastAsia" w:ascii="仿宋" w:hAnsi="仿宋" w:eastAsia="仿宋"/>
                <w:b/>
                <w:szCs w:val="21"/>
              </w:rPr>
              <w:t>超额</w:t>
            </w:r>
            <w:r>
              <w:rPr>
                <w:rFonts w:ascii="仿宋" w:hAnsi="仿宋" w:eastAsia="仿宋"/>
                <w:b/>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本</w:t>
            </w:r>
            <w:r>
              <w:rPr>
                <w:rFonts w:hint="eastAsia" w:ascii="仿宋" w:hAnsi="仿宋" w:eastAsia="仿宋" w:cs="Cambria"/>
                <w:b/>
                <w:szCs w:val="21"/>
                <w:lang w:val="en-US" w:eastAsia="zh-CN"/>
              </w:rPr>
              <w:t>理财</w:t>
            </w:r>
            <w:r>
              <w:rPr>
                <w:rFonts w:hint="eastAsia" w:ascii="仿宋" w:hAnsi="仿宋" w:eastAsia="仿宋" w:cs="Cambria"/>
                <w:b/>
                <w:szCs w:val="21"/>
              </w:rPr>
              <w:t>产品超额管理费的计算公式：</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超额管理费=（年化收益率-超额计提基准）×当期持有天数÷365×50%×产品份额×1.0000</w:t>
            </w:r>
          </w:p>
          <w:p>
            <w:pPr>
              <w:adjustRightInd w:val="0"/>
              <w:snapToGrid w:val="0"/>
              <w:spacing w:line="300" w:lineRule="exact"/>
              <w:ind w:firstLine="420"/>
              <w:rPr>
                <w:rFonts w:hint="eastAsia" w:ascii="仿宋" w:hAnsi="仿宋" w:eastAsia="仿宋" w:cs="Cambria"/>
                <w:b/>
                <w:szCs w:val="21"/>
              </w:rPr>
            </w:pPr>
            <w:r>
              <w:rPr>
                <w:rFonts w:hint="eastAsia" w:ascii="仿宋" w:hAnsi="仿宋" w:eastAsia="仿宋" w:cs="Cambria"/>
                <w:b/>
                <w:szCs w:val="21"/>
              </w:rPr>
              <w:t>其中：</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年化收益率=（计提日累计单位净值-1.0000）÷1.0000×365÷当期持有天数。</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“产品份额”为产品份额，若有红利再投时，将剔除红利再投产生份额的影响。</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rPr>
                <w:rFonts w:ascii="仿宋" w:hAnsi="仿宋" w:eastAsia="仿宋"/>
                <w:b/>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
                <w:szCs w:val="21"/>
              </w:rPr>
            </w:pPr>
            <w:r>
              <w:rPr>
                <w:rFonts w:hint="eastAsia" w:ascii="仿宋" w:hAnsi="仿宋" w:eastAsia="仿宋"/>
                <w:b/>
                <w:szCs w:val="21"/>
              </w:rPr>
              <w:t>其他</w:t>
            </w:r>
            <w:r>
              <w:rPr>
                <w:rFonts w:ascii="仿宋" w:hAnsi="仿宋" w:eastAsia="仿宋"/>
                <w:b/>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ind w:firstLine="420"/>
              <w:jc w:val="left"/>
              <w:rPr>
                <w:rFonts w:ascii="仿宋" w:hAnsi="仿宋" w:eastAsia="仿宋"/>
                <w:b/>
                <w:szCs w:val="21"/>
              </w:rPr>
            </w:pPr>
            <w:r>
              <w:rPr>
                <w:rFonts w:hint="eastAsia" w:ascii="仿宋" w:hAnsi="仿宋" w:eastAsia="仿宋"/>
                <w:b/>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份额净值为提取管理费、托管费、销售手续费等相关费用后的理财产品份额净值，投资者按该份额净值进行到期/终止时的分配。</w:t>
            </w:r>
            <w:r>
              <w:rPr>
                <w:rFonts w:hint="eastAsia" w:ascii="仿宋" w:hAnsi="仿宋" w:eastAsia="仿宋"/>
                <w:b/>
                <w:bCs w:val="0"/>
                <w:szCs w:val="21"/>
              </w:rPr>
              <w:t>份额净值的计算保留到小数点后</w:t>
            </w:r>
            <w:r>
              <w:rPr>
                <w:rFonts w:ascii="仿宋" w:hAnsi="仿宋" w:eastAsia="仿宋"/>
                <w:b/>
                <w:bCs w:val="0"/>
                <w:szCs w:val="21"/>
              </w:rPr>
              <w:t>4</w:t>
            </w:r>
            <w:r>
              <w:rPr>
                <w:rFonts w:hint="eastAsia" w:ascii="仿宋" w:hAnsi="仿宋" w:eastAsia="仿宋"/>
                <w:b/>
                <w:bCs w:val="0"/>
                <w:szCs w:val="21"/>
              </w:rPr>
              <w:t>位，小数点后第</w:t>
            </w:r>
            <w:r>
              <w:rPr>
                <w:rFonts w:ascii="仿宋" w:hAnsi="仿宋" w:eastAsia="仿宋"/>
                <w:b/>
                <w:bCs w:val="0"/>
                <w:szCs w:val="21"/>
              </w:rPr>
              <w:t>5</w:t>
            </w:r>
            <w:r>
              <w:rPr>
                <w:rFonts w:hint="eastAsia" w:ascii="仿宋" w:hAnsi="仿宋" w:eastAsia="仿宋"/>
                <w:b/>
                <w:bCs w:val="0"/>
                <w:szCs w:val="21"/>
              </w:rPr>
              <w:t>位</w:t>
            </w:r>
            <w:r>
              <w:rPr>
                <w:rFonts w:hint="eastAsia" w:ascii="仿宋" w:hAnsi="仿宋" w:eastAsia="仿宋"/>
                <w:b/>
                <w:bCs w:val="0"/>
                <w:szCs w:val="21"/>
                <w:lang w:val="en-US" w:eastAsia="zh-CN"/>
              </w:rPr>
              <w:t>舍去</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kern w:val="0"/>
              </w:rPr>
            </w:pPr>
            <w:r>
              <w:rPr>
                <w:rFonts w:ascii="仿宋" w:hAnsi="仿宋" w:eastAsia="仿宋" w:cs="宋体"/>
                <w:kern w:val="0"/>
                <w:szCs w:val="21"/>
              </w:rPr>
              <w:t>产品管理人可以在产品存续期根据投资情况选择分红或不分红，若分红，将以现金分红或红利再投资方式进行，默认为现金分红，具体以公告为准。本理财产品分红，将于分红日前3个工作日通过本产品说明书约定的信息披露渠道公布分红方案</w:t>
            </w:r>
            <w:r>
              <w:rPr>
                <w:rFonts w:hint="eastAsia" w:ascii="仿宋" w:hAnsi="仿宋" w:eastAsia="仿宋" w:cs="宋体"/>
                <w:kern w:val="0"/>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right="-44" w:firstLine="420" w:firstLineChars="200"/>
              <w:jc w:val="left"/>
              <w:rPr>
                <w:rFonts w:hint="eastAsia" w:ascii="仿宋" w:hAnsi="仿宋" w:eastAsia="仿宋" w:cs="Cambria"/>
                <w:bCs/>
                <w:szCs w:val="21"/>
              </w:rPr>
            </w:pPr>
            <w:r>
              <w:rPr>
                <w:rFonts w:hint="eastAsia" w:ascii="仿宋" w:hAnsi="仿宋" w:eastAsia="仿宋" w:cs="Cambria"/>
                <w:bCs/>
                <w:szCs w:val="21"/>
              </w:rPr>
              <w:t>工作日指上海证券交易所和深圳证券交易所的交易日，且同时为银行对外办理一般对公业务的工作日。</w:t>
            </w:r>
          </w:p>
          <w:p>
            <w:pPr>
              <w:adjustRightInd w:val="0"/>
              <w:snapToGrid w:val="0"/>
              <w:spacing w:line="300" w:lineRule="exact"/>
              <w:ind w:right="-44" w:firstLine="420" w:firstLineChars="200"/>
              <w:jc w:val="left"/>
              <w:rPr>
                <w:rFonts w:ascii="仿宋" w:hAnsi="仿宋" w:eastAsia="仿宋"/>
                <w:bCs/>
                <w:szCs w:val="21"/>
              </w:rPr>
            </w:pPr>
            <w:r>
              <w:rPr>
                <w:rFonts w:hint="eastAsia" w:ascii="仿宋" w:hAnsi="仿宋" w:eastAsia="仿宋" w:cs="Cambria"/>
                <w:bCs/>
                <w:szCs w:val="21"/>
              </w:rPr>
              <w:t>本说明书中所写的“确认日”、“到账日”，除非特别说明均为工作日，若遇非工作日顺延至下一工作日。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交易日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right="-44" w:firstLine="420" w:firstLineChars="200"/>
              <w:jc w:val="left"/>
              <w:rPr>
                <w:rFonts w:hint="eastAsia" w:ascii="仿宋" w:hAnsi="仿宋" w:eastAsia="仿宋" w:cs="Cambria"/>
                <w:bCs/>
                <w:szCs w:val="21"/>
              </w:rPr>
            </w:pPr>
            <w:r>
              <w:rPr>
                <w:rFonts w:hint="eastAsia" w:ascii="仿宋" w:hAnsi="仿宋" w:eastAsia="仿宋" w:cs="Cambria"/>
                <w:bCs/>
                <w:szCs w:val="21"/>
              </w:rPr>
              <w:t>交易日指上海证券交易所和深圳证券交易所的交易日。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cs="宋体"/>
                <w:kern w:val="0"/>
                <w:szCs w:val="21"/>
              </w:rP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1"/>
        <w:snapToGrid w:val="0"/>
        <w:spacing w:before="156" w:beforeLines="50" w:after="156" w:afterLines="50" w:line="400" w:lineRule="exact"/>
        <w:ind w:firstLine="482" w:firstLineChars="200"/>
        <w:jc w:val="both"/>
        <w:outlineLvl w:val="0"/>
        <w:rPr>
          <w:rFonts w:hint="eastAsia" w:ascii="Times New Roman" w:eastAsia="黑体" w:cs="Times New Roman"/>
          <w:b/>
          <w:color w:val="auto"/>
        </w:rPr>
      </w:pP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本产品主要投资于货币市场工具、标准化债权类资产、非标准化债权类资产等固定收益类资产，权益类资产，商品及金融衍生品类资产。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本理财产品可以按照国务院金融管理部门相关规定开展回购业务，回购业务中可接受押品的资质要求与本说明书约定的投资范围保持一致。</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其中货币市场工具包括但不限于银行存款、大额存单、同业存单（CD）、短期融资券、超短期融资券、剩余期限在397天以内（含397天）的债券、期限在一年以内（含一年）的债券回购、期限在一年以内（含一年）的中央银行票据以及</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权益类资产包括但不限于国内依法发行和上市的股票（包括主板、创业板、中小板、科创板以及其他经中国证监会核准上市的股票，包括新股申购、定向增发、大宗交易、询价转让等）、内地与香港股票市场交易互联互通机制允许买卖的香港市场股票，以及股票型、混合型公募证券投资基金等；</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商品类资产包括贵金属和大宗商品等以实物形式存在的商品资产；金融衍生品类资产包括但不限于远期合同、期货合同、互换和期权，以及具有远期合同、期货合同、互换和期权一种或一种以上特征的工具。</w:t>
      </w:r>
    </w:p>
    <w:p>
      <w:pPr>
        <w:widowControl/>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各类资产投资比例如下：</w:t>
      </w:r>
    </w:p>
    <w:tbl>
      <w:tblPr>
        <w:tblStyle w:val="8"/>
        <w:tblW w:w="8336" w:type="dxa"/>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685"/>
        <w:gridCol w:w="26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jc w:val="center"/>
        </w:trPr>
        <w:tc>
          <w:tcPr>
            <w:tcW w:w="5685" w:type="dxa"/>
            <w:vAlign w:val="center"/>
          </w:tcPr>
          <w:p>
            <w:pPr>
              <w:adjustRightInd w:val="0"/>
              <w:snapToGrid w:val="0"/>
              <w:jc w:val="center"/>
              <w:rPr>
                <w:rFonts w:eastAsia="仿宋"/>
                <w:kern w:val="0"/>
                <w:sz w:val="24"/>
              </w:rPr>
            </w:pPr>
            <w:r>
              <w:rPr>
                <w:rFonts w:hint="eastAsia" w:eastAsia="仿宋"/>
                <w:kern w:val="0"/>
                <w:sz w:val="24"/>
              </w:rPr>
              <w:t>资产</w:t>
            </w:r>
            <w:r>
              <w:rPr>
                <w:rFonts w:eastAsia="仿宋"/>
                <w:kern w:val="0"/>
                <w:sz w:val="24"/>
              </w:rPr>
              <w:t>类别</w:t>
            </w:r>
          </w:p>
        </w:tc>
        <w:tc>
          <w:tcPr>
            <w:tcW w:w="2651" w:type="dxa"/>
            <w:vAlign w:val="center"/>
          </w:tcPr>
          <w:p>
            <w:pPr>
              <w:adjustRightInd w:val="0"/>
              <w:snapToGrid w:val="0"/>
              <w:jc w:val="center"/>
              <w:rPr>
                <w:rFonts w:eastAsia="仿宋"/>
                <w:kern w:val="0"/>
                <w:sz w:val="24"/>
              </w:rPr>
            </w:pPr>
            <w:r>
              <w:rPr>
                <w:rFonts w:eastAsia="仿宋"/>
                <w:kern w:val="0"/>
                <w:sz w:val="24"/>
              </w:rPr>
              <w:t>投资比例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jc w:val="center"/>
        </w:trPr>
        <w:tc>
          <w:tcPr>
            <w:tcW w:w="5685" w:type="dxa"/>
            <w:vAlign w:val="center"/>
          </w:tcPr>
          <w:p>
            <w:pPr>
              <w:adjustRightInd w:val="0"/>
              <w:snapToGrid w:val="0"/>
              <w:spacing w:line="288" w:lineRule="auto"/>
              <w:jc w:val="center"/>
              <w:rPr>
                <w:rFonts w:eastAsia="仿宋"/>
                <w:kern w:val="0"/>
                <w:sz w:val="24"/>
              </w:rPr>
            </w:pPr>
            <w:r>
              <w:rPr>
                <w:rFonts w:hint="eastAsia" w:ascii="仿宋" w:hAnsi="仿宋" w:eastAsia="仿宋" w:cs="宋体"/>
                <w:color w:val="000000"/>
                <w:kern w:val="0"/>
                <w:sz w:val="24"/>
              </w:rPr>
              <w:t>固定收益类</w:t>
            </w:r>
          </w:p>
        </w:tc>
        <w:tc>
          <w:tcPr>
            <w:tcW w:w="2651" w:type="dxa"/>
            <w:vAlign w:val="center"/>
          </w:tcPr>
          <w:p>
            <w:pPr>
              <w:adjustRightInd w:val="0"/>
              <w:snapToGrid w:val="0"/>
              <w:spacing w:line="288" w:lineRule="auto"/>
              <w:jc w:val="center"/>
              <w:rPr>
                <w:kern w:val="0"/>
                <w:sz w:val="24"/>
              </w:rPr>
            </w:pPr>
            <w:r>
              <w:rPr>
                <w:rFonts w:ascii="仿宋" w:hAnsi="仿宋" w:eastAsia="仿宋" w:cs="宋体"/>
                <w:color w:val="000000"/>
                <w:kern w:val="0"/>
                <w:sz w:val="24"/>
              </w:rPr>
              <w:t>95</w:t>
            </w:r>
            <w:r>
              <w:rPr>
                <w:rFonts w:hint="eastAsia" w:ascii="仿宋" w:hAnsi="仿宋" w:eastAsia="仿宋" w:cs="宋体"/>
                <w:color w:val="000000"/>
                <w:kern w:val="0"/>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1" w:hRule="atLeast"/>
          <w:tblCellSpacing w:w="0" w:type="dxa"/>
          <w:jc w:val="center"/>
        </w:trPr>
        <w:tc>
          <w:tcPr>
            <w:tcW w:w="5685" w:type="dxa"/>
            <w:vAlign w:val="center"/>
          </w:tcPr>
          <w:p>
            <w:pPr>
              <w:adjustRightInd w:val="0"/>
              <w:snapToGrid w:val="0"/>
              <w:spacing w:line="288" w:lineRule="auto"/>
              <w:jc w:val="center"/>
              <w:rPr>
                <w:rFonts w:ascii="仿宋" w:hAnsi="仿宋" w:eastAsia="仿宋" w:cs="宋体"/>
                <w:color w:val="000000"/>
                <w:kern w:val="0"/>
                <w:sz w:val="24"/>
              </w:rPr>
            </w:pPr>
            <w:r>
              <w:rPr>
                <w:rFonts w:hint="eastAsia" w:ascii="仿宋" w:hAnsi="仿宋" w:eastAsia="仿宋" w:cs="宋体"/>
                <w:color w:val="000000"/>
                <w:kern w:val="0"/>
                <w:sz w:val="24"/>
              </w:rPr>
              <w:t>权益类</w:t>
            </w:r>
          </w:p>
          <w:p>
            <w:pPr>
              <w:adjustRightInd w:val="0"/>
              <w:snapToGrid w:val="0"/>
              <w:spacing w:line="288" w:lineRule="auto"/>
              <w:jc w:val="center"/>
              <w:rPr>
                <w:rFonts w:ascii="仿宋" w:hAnsi="仿宋" w:eastAsia="仿宋" w:cs="宋体"/>
                <w:color w:val="000000"/>
                <w:kern w:val="0"/>
                <w:sz w:val="24"/>
              </w:rPr>
            </w:pPr>
            <w:r>
              <w:rPr>
                <w:rFonts w:hint="eastAsia" w:ascii="仿宋" w:hAnsi="仿宋" w:eastAsia="仿宋" w:cs="宋体"/>
                <w:color w:val="000000"/>
                <w:kern w:val="0"/>
                <w:sz w:val="24"/>
              </w:rPr>
              <w:t>商品及金融衍生品类</w:t>
            </w:r>
          </w:p>
          <w:p>
            <w:pPr>
              <w:adjustRightInd w:val="0"/>
              <w:snapToGrid w:val="0"/>
              <w:spacing w:line="288" w:lineRule="auto"/>
              <w:jc w:val="center"/>
              <w:rPr>
                <w:rFonts w:eastAsia="仿宋"/>
                <w:kern w:val="0"/>
                <w:sz w:val="24"/>
              </w:rPr>
            </w:pPr>
            <w:r>
              <w:rPr>
                <w:rFonts w:hint="eastAsia" w:ascii="仿宋" w:hAnsi="仿宋" w:eastAsia="仿宋" w:cs="宋体"/>
                <w:color w:val="000000"/>
                <w:kern w:val="0"/>
                <w:sz w:val="24"/>
              </w:rPr>
              <w:t>（商品及金融衍生品类资产投资须符合监管要求）</w:t>
            </w:r>
          </w:p>
        </w:tc>
        <w:tc>
          <w:tcPr>
            <w:tcW w:w="2651" w:type="dxa"/>
            <w:vAlign w:val="center"/>
          </w:tcPr>
          <w:p>
            <w:pPr>
              <w:adjustRightInd w:val="0"/>
              <w:snapToGrid w:val="0"/>
              <w:spacing w:line="288" w:lineRule="auto"/>
              <w:jc w:val="center"/>
              <w:rPr>
                <w:kern w:val="0"/>
                <w:sz w:val="24"/>
              </w:rPr>
            </w:pPr>
            <w:r>
              <w:rPr>
                <w:rFonts w:hint="eastAsia" w:ascii="仿宋" w:hAnsi="仿宋" w:eastAsia="仿宋" w:cs="宋体"/>
                <w:color w:val="000000"/>
                <w:kern w:val="0"/>
                <w:sz w:val="24"/>
              </w:rPr>
              <w:t>0%-</w:t>
            </w:r>
            <w:r>
              <w:rPr>
                <w:rFonts w:ascii="仿宋" w:hAnsi="仿宋" w:eastAsia="仿宋" w:cs="宋体"/>
                <w:color w:val="000000"/>
                <w:kern w:val="0"/>
                <w:sz w:val="24"/>
              </w:rPr>
              <w:t>5</w:t>
            </w:r>
            <w:r>
              <w:rPr>
                <w:rFonts w:hint="eastAsia" w:ascii="仿宋" w:hAnsi="仿宋" w:eastAsia="仿宋" w:cs="宋体"/>
                <w:color w:val="000000"/>
                <w:kern w:val="0"/>
                <w:sz w:val="24"/>
              </w:rPr>
              <w:t>%</w:t>
            </w:r>
          </w:p>
        </w:tc>
      </w:tr>
    </w:tbl>
    <w:p>
      <w:pPr>
        <w:widowControl/>
        <w:adjustRightInd w:val="0"/>
        <w:snapToGrid w:val="0"/>
        <w:spacing w:line="276" w:lineRule="auto"/>
        <w:ind w:firstLine="0" w:firstLineChars="0"/>
        <w:contextualSpacing/>
        <w:jc w:val="left"/>
        <w:rPr>
          <w:rFonts w:ascii="仿宋" w:hAnsi="仿宋" w:eastAsia="仿宋" w:cs="宋体"/>
          <w:color w:val="000000"/>
          <w:kern w:val="0"/>
          <w:sz w:val="24"/>
        </w:rPr>
      </w:pPr>
      <w:r>
        <w:rPr>
          <w:rFonts w:hint="eastAsia" w:ascii="仿宋" w:hAnsi="仿宋" w:eastAsia="仿宋" w:cs="宋体"/>
          <w:b/>
          <w:bCs/>
          <w:color w:val="000000"/>
          <w:kern w:val="0"/>
          <w:sz w:val="24"/>
          <w:lang w:val="en-US" w:eastAsia="zh-CN"/>
        </w:rPr>
        <w:t xml:space="preserve">    </w:t>
      </w:r>
      <w:r>
        <w:rPr>
          <w:rFonts w:hint="eastAsia" w:ascii="仿宋" w:hAnsi="仿宋" w:eastAsia="仿宋" w:cs="宋体"/>
          <w:kern w:val="0"/>
          <w:sz w:val="24"/>
        </w:rPr>
        <w:t>本理财产品可以按照监管部门相关规定开展回购业务。</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p>
    <w:p>
      <w:pPr>
        <w:widowControl/>
        <w:adjustRightInd w:val="0"/>
        <w:snapToGrid w:val="0"/>
        <w:spacing w:line="276" w:lineRule="auto"/>
        <w:ind w:firstLine="482" w:firstLineChars="200"/>
        <w:contextualSpacing/>
        <w:rPr>
          <w:rFonts w:hint="eastAsia" w:ascii="仿宋" w:hAnsi="仿宋" w:eastAsia="仿宋" w:cs="宋体"/>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0" w:firstLineChars="200"/>
        <w:contextualSpacing/>
        <w:rPr>
          <w:rFonts w:hint="eastAsia" w:ascii="仿宋" w:hAnsi="仿宋" w:eastAsia="仿宋" w:cs="宋体"/>
          <w:kern w:val="0"/>
          <w:sz w:val="24"/>
        </w:rPr>
      </w:pP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color w:val="000000"/>
          <w:kern w:val="0"/>
          <w:sz w:val="24"/>
        </w:rPr>
        <w:t>管理人应当自本理财产品成立日起</w:t>
      </w:r>
      <w:r>
        <w:rPr>
          <w:rFonts w:ascii="仿宋" w:hAnsi="仿宋" w:eastAsia="仿宋" w:cs="宋体"/>
          <w:b/>
          <w:bCs/>
          <w:kern w:val="0"/>
          <w:sz w:val="24"/>
        </w:rPr>
        <w:t>3</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1"/>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w:t>
      </w:r>
      <w:r>
        <w:rPr>
          <w:rFonts w:ascii="仿宋" w:hAnsi="仿宋" w:eastAsia="仿宋"/>
          <w:color w:val="auto"/>
        </w:rPr>
        <w:t>本</w:t>
      </w:r>
      <w:r>
        <w:rPr>
          <w:rFonts w:hint="eastAsia" w:ascii="仿宋" w:hAnsi="仿宋" w:eastAsia="仿宋"/>
          <w:color w:val="auto"/>
        </w:rPr>
        <w:t>理财</w:t>
      </w:r>
      <w:r>
        <w:rPr>
          <w:rFonts w:ascii="仿宋" w:hAnsi="仿宋" w:eastAsia="仿宋"/>
          <w:color w:val="auto"/>
        </w:rPr>
        <w:t>产品管理人为华夏理财有限责任公司。</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w:t>
      </w:r>
      <w:r>
        <w:rPr>
          <w:rFonts w:ascii="仿宋" w:hAnsi="仿宋" w:eastAsia="仿宋"/>
          <w:color w:val="auto"/>
        </w:rPr>
        <w:t>本理财产品</w:t>
      </w:r>
      <w:r>
        <w:rPr>
          <w:rFonts w:hint="eastAsia" w:ascii="仿宋" w:hAnsi="仿宋" w:eastAsia="仿宋"/>
          <w:color w:val="auto"/>
        </w:rPr>
        <w:t>托管人为华夏银行股份有限公司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eastAsia="黑体"/>
          <w:b/>
        </w:rPr>
      </w:pPr>
      <w:r>
        <w:rPr>
          <w:rFonts w:hint="eastAsia" w:ascii="仿宋" w:hAnsi="仿宋" w:eastAsia="仿宋" w:cs="宋体"/>
          <w:color w:val="000000"/>
          <w:kern w:val="0"/>
          <w:sz w:val="24"/>
        </w:rPr>
        <w:t>（9）银行业监督管理机构规定的其他职责。</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sz w:val="24"/>
        </w:rPr>
        <w:t>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 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2" w:firstLineChars="200"/>
        <w:contextualSpacing/>
        <w:outlineLvl w:val="1"/>
        <w:rPr>
          <w:rFonts w:ascii="仿宋" w:hAnsi="仿宋" w:eastAsia="仿宋" w:cs="宋体"/>
          <w:b/>
          <w:bCs/>
          <w:kern w:val="0"/>
          <w:sz w:val="24"/>
        </w:rPr>
      </w:pPr>
      <w:r>
        <w:rPr>
          <w:rFonts w:hint="eastAsia" w:ascii="仿宋" w:hAnsi="仿宋" w:eastAsia="仿宋" w:cs="宋体"/>
          <w:b/>
          <w:bCs/>
          <w:kern w:val="0"/>
          <w:sz w:val="24"/>
        </w:rPr>
        <w:t>3.拒绝或暂停认购的情形</w:t>
      </w:r>
    </w:p>
    <w:p>
      <w:pPr>
        <w:autoSpaceDE w:val="0"/>
        <w:autoSpaceDN w:val="0"/>
        <w:adjustRightInd w:val="0"/>
        <w:snapToGrid w:val="0"/>
        <w:spacing w:line="276" w:lineRule="auto"/>
        <w:ind w:firstLine="482" w:firstLineChars="200"/>
        <w:contextualSpacing/>
        <w:outlineLvl w:val="1"/>
        <w:rPr>
          <w:rFonts w:ascii="仿宋" w:hAnsi="仿宋" w:eastAsia="仿宋" w:cs="宋体"/>
          <w:b/>
          <w:bCs/>
          <w:kern w:val="0"/>
          <w:sz w:val="24"/>
        </w:rPr>
      </w:pPr>
      <w:r>
        <w:rPr>
          <w:rFonts w:hint="eastAsia" w:ascii="仿宋" w:hAnsi="仿宋" w:eastAsia="仿宋" w:cs="宋体"/>
          <w:b/>
          <w:bCs/>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可以采取认购风险应对措施，拒绝或暂停接受认购申请：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widowControl/>
        <w:adjustRightInd w:val="0"/>
        <w:snapToGrid w:val="0"/>
        <w:spacing w:line="276" w:lineRule="auto"/>
        <w:ind w:firstLine="480" w:firstLineChars="200"/>
        <w:contextualSpacing/>
        <w:rPr>
          <w:rFonts w:ascii="仿宋" w:hAnsi="仿宋" w:eastAsia="仿宋"/>
        </w:rPr>
      </w:pPr>
      <w:r>
        <w:rPr>
          <w:rFonts w:hint="eastAsia" w:ascii="仿宋" w:hAnsi="仿宋" w:eastAsia="仿宋" w:cs="宋体"/>
          <w:color w:val="000000"/>
          <w:kern w:val="0"/>
          <w:sz w:val="24"/>
        </w:rPr>
        <w:t>如果投资人的认购申请被全部或部分拒绝的，被拒绝的认购款项将退还给投资人。在暂停认购的情况消除时，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w:t>
      </w:r>
      <w:r>
        <w:rPr>
          <w:rFonts w:hint="eastAsia" w:ascii="仿宋" w:hAnsi="仿宋" w:eastAsia="仿宋" w:cs="仿宋"/>
          <w:sz w:val="24"/>
        </w:rPr>
        <w:t>06</w:t>
      </w:r>
      <w:r>
        <w:rPr>
          <w:rFonts w:ascii="仿宋" w:hAnsi="仿宋" w:eastAsia="仿宋" w:cs="仿宋"/>
          <w:sz w:val="24"/>
        </w:rPr>
        <w:t>00</w:t>
      </w:r>
      <w:r>
        <w:rPr>
          <w:rFonts w:hint="eastAsia" w:ascii="仿宋" w:hAnsi="仿宋" w:eastAsia="仿宋" w:cs="仿宋"/>
          <w:sz w:val="24"/>
        </w:rPr>
        <w:t>，客户到期获得的金额为：</w:t>
      </w:r>
      <w:r>
        <w:rPr>
          <w:rFonts w:ascii="仿宋" w:hAnsi="仿宋" w:eastAsia="仿宋" w:cs="仿宋"/>
          <w:sz w:val="24"/>
        </w:rPr>
        <w:t>100,000*1.</w:t>
      </w:r>
      <w:r>
        <w:rPr>
          <w:rFonts w:hint="eastAsia" w:ascii="仿宋" w:hAnsi="仿宋" w:eastAsia="仿宋" w:cs="仿宋"/>
          <w:sz w:val="24"/>
        </w:rPr>
        <w:t>06</w:t>
      </w:r>
      <w:r>
        <w:rPr>
          <w:rFonts w:ascii="仿宋" w:hAnsi="仿宋" w:eastAsia="仿宋" w:cs="仿宋"/>
          <w:sz w:val="24"/>
        </w:rPr>
        <w:t>00=1</w:t>
      </w:r>
      <w:r>
        <w:rPr>
          <w:rFonts w:hint="eastAsia" w:ascii="仿宋" w:hAnsi="仿宋" w:eastAsia="仿宋" w:cs="仿宋"/>
          <w:sz w:val="24"/>
        </w:rPr>
        <w:t>06</w:t>
      </w:r>
      <w:r>
        <w:rPr>
          <w:rFonts w:ascii="仿宋" w:hAnsi="仿宋" w:eastAsia="仿宋" w:cs="仿宋"/>
          <w:sz w:val="24"/>
        </w:rPr>
        <w:t>,000.00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1.0200</w:t>
      </w:r>
      <w:r>
        <w:rPr>
          <w:rFonts w:hint="eastAsia" w:ascii="仿宋" w:hAnsi="仿宋" w:eastAsia="仿宋" w:cs="仿宋"/>
          <w:sz w:val="24"/>
        </w:rPr>
        <w:t>，客户到期获得的金额为：</w:t>
      </w:r>
      <w:r>
        <w:rPr>
          <w:rFonts w:ascii="仿宋" w:hAnsi="仿宋" w:eastAsia="仿宋" w:cs="仿宋"/>
          <w:sz w:val="24"/>
        </w:rPr>
        <w:t>100,000*1.0200=102,000.00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示例或类似表述均不具有法律约束力，不等于预期收益，不代表投资者可能获得的实际收益，亦不构成华夏理财/代销机构对本理财产品的任何收益承诺。</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本理财产品所投资的货币市场工具、标准化债权类资产、非标准化债权类资产、权益类资产以及资产管理产品等资产。</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（1）场外申赎的开放式非货币基金以估值日可获取的基金管理人公布的最新基金份额净值估值；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（3）货币基金以估值日可获取的基金管理人公布的最新万份收益计提红利。</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11.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w:t>
      </w:r>
      <w:r>
        <w:rPr>
          <w:rFonts w:ascii="仿宋" w:hAnsi="仿宋" w:eastAsia="仿宋"/>
          <w:color w:val="auto"/>
        </w:rPr>
        <w:t xml:space="preserve"> </w:t>
      </w:r>
      <w:r>
        <w:rPr>
          <w:rFonts w:hint="eastAsia" w:ascii="仿宋" w:hAnsi="仿宋" w:eastAsia="仿宋"/>
          <w:color w:val="auto"/>
        </w:rPr>
        <w:t>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1"/>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1"/>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1"/>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1"/>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1"/>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在法律法规允许的范围内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1"/>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的影响。在最不利的情况下，理财产品到期/终止时投资者可能无法获得理财产品投资收益，甚至损失全部理财本金，由此产生的风险由投资者自行承担。</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5" w:name="_Hlk76300274"/>
      <w:r>
        <w:rPr>
          <w:rFonts w:hint="eastAsia" w:ascii="Times New Roman" w:eastAsia="黑体" w:cs="Times New Roman"/>
          <w:b/>
          <w:color w:val="auto"/>
        </w:rPr>
        <w:t>所投资的资产</w:t>
      </w:r>
      <w:bookmarkEnd w:id="5"/>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1"/>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投资者无权随时提前赎回</w:t>
      </w:r>
      <w:r>
        <w:rPr>
          <w:rFonts w:hint="eastAsia" w:ascii="Times New Roman" w:eastAsia="黑体" w:cs="Times New Roman"/>
          <w:b/>
          <w:color w:val="auto"/>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1"/>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（十）延期风险：</w:t>
      </w:r>
      <w:r>
        <w:rPr>
          <w:rFonts w:ascii="Times New Roman" w:eastAsia="黑体" w:cs="Times New Roman"/>
          <w:b/>
          <w:color w:val="auto"/>
        </w:rPr>
        <w:t>如因与理财产品投资资产相关的</w:t>
      </w:r>
      <w:r>
        <w:rPr>
          <w:rFonts w:hint="eastAsia" w:ascii="Times New Roman" w:eastAsia="黑体" w:cs="Times New Roman"/>
          <w:b/>
          <w:color w:val="auto"/>
        </w:rPr>
        <w:t>资产管理计划管理人、</w:t>
      </w:r>
      <w:r>
        <w:rPr>
          <w:rFonts w:ascii="Times New Roman" w:eastAsia="黑体" w:cs="Times New Roman"/>
          <w:b/>
          <w:color w:val="auto"/>
        </w:rPr>
        <w:t>信托受托人、债务人、担保人（如有）等主体发生违约，导致本理财产品不能按时偿</w:t>
      </w:r>
      <w:r>
        <w:rPr>
          <w:rFonts w:hint="eastAsia" w:ascii="Times New Roman" w:eastAsia="黑体" w:cs="Times New Roman"/>
          <w:b/>
          <w:color w:val="auto"/>
        </w:rPr>
        <w:t>付</w:t>
      </w:r>
      <w:r>
        <w:rPr>
          <w:rFonts w:ascii="Times New Roman" w:eastAsia="黑体" w:cs="Times New Roman"/>
          <w:b/>
          <w:color w:val="auto"/>
        </w:rPr>
        <w:t>理财本金及收益</w:t>
      </w:r>
      <w:r>
        <w:rPr>
          <w:rFonts w:hint="eastAsia" w:ascii="Times New Roman" w:eastAsia="黑体" w:cs="Times New Roman"/>
          <w:b/>
          <w:color w:val="auto"/>
        </w:rPr>
        <w:t>；或因市场成交量不足、资产限制赎回、暂停交易、缺乏意愿交易对手等原因，管理人未能及时完成资产变现，则本</w:t>
      </w:r>
      <w:r>
        <w:rPr>
          <w:rFonts w:ascii="Times New Roman" w:eastAsia="黑体" w:cs="Times New Roman"/>
          <w:b/>
          <w:color w:val="auto"/>
        </w:rPr>
        <w:t>理财</w:t>
      </w:r>
      <w:r>
        <w:rPr>
          <w:rFonts w:hint="eastAsia" w:ascii="Times New Roman" w:eastAsia="黑体" w:cs="Times New Roman"/>
          <w:b/>
          <w:color w:val="auto"/>
        </w:rPr>
        <w:t>产品</w:t>
      </w:r>
      <w:r>
        <w:rPr>
          <w:rFonts w:ascii="Times New Roman" w:eastAsia="黑体" w:cs="Times New Roman"/>
          <w:b/>
          <w:color w:val="auto"/>
        </w:rPr>
        <w:t>期限将相应延长。</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6" w:name="_Hlk76301212"/>
      <w:r>
        <w:rPr>
          <w:rFonts w:hint="eastAsia" w:ascii="Times New Roman" w:eastAsia="黑体" w:cs="Times New Roman"/>
          <w:b/>
          <w:color w:val="auto"/>
        </w:rPr>
        <w:t>华夏理财/代销机构</w:t>
      </w:r>
      <w:bookmarkEnd w:id="6"/>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（十三）拟投资市场及资产的流动性风险评估</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（十四）流动性应对措施及对投资者的潜在影响</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当管理人实施流动性应对措施时，可能对投资者具有一定的潜在影响，包括但不限于不能认购本理财产品、认购交易确认失败等。</w:t>
      </w:r>
    </w:p>
    <w:p>
      <w:pPr>
        <w:pStyle w:val="11"/>
        <w:numPr>
          <w:ilvl w:val="0"/>
          <w:numId w:val="1"/>
        </w:numPr>
        <w:snapToGrid w:val="0"/>
        <w:spacing w:line="276" w:lineRule="auto"/>
        <w:ind w:firstLine="482" w:firstLineChars="200"/>
        <w:contextualSpacing/>
        <w:jc w:val="both"/>
        <w:rPr>
          <w:rFonts w:hint="eastAsia" w:ascii="Times New Roman" w:eastAsia="黑体" w:cs="Times New Roman"/>
          <w:b/>
          <w:color w:val="auto"/>
        </w:rPr>
      </w:pPr>
      <w:r>
        <w:rPr>
          <w:rFonts w:hint="eastAsia" w:ascii="Times New Roman" w:eastAsia="黑体" w:cs="Times New Roman"/>
          <w:b/>
          <w:color w:val="auto"/>
        </w:rPr>
        <w:t>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或非华夏理财原因发生的计算机系统故障、网络故障、通讯故障、电力故障等导致理财产品所投资资产收益降低或损失，甚至影响理财产品的受理、投资、偿还等的正常进行，进而影响理财产品的投资收益和本金安全。</w:t>
      </w:r>
    </w:p>
    <w:p>
      <w:pPr>
        <w:pStyle w:val="11"/>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lang w:eastAsia="zh-CN"/>
        </w:rPr>
        <w:t>（</w:t>
      </w:r>
      <w:r>
        <w:rPr>
          <w:rFonts w:hint="eastAsia" w:ascii="Times New Roman" w:eastAsia="黑体" w:cs="Times New Roman"/>
          <w:b/>
          <w:lang w:val="en-US" w:eastAsia="zh-CN"/>
        </w:rPr>
        <w:t>十六</w:t>
      </w:r>
      <w:r>
        <w:rPr>
          <w:rFonts w:hint="eastAsia" w:ascii="Times New Roman" w:eastAsia="黑体" w:cs="Times New Roman"/>
          <w:b/>
          <w:lang w:eastAsia="zh-CN"/>
        </w:rPr>
        <w:t>）</w:t>
      </w:r>
      <w:r>
        <w:rPr>
          <w:rFonts w:hint="eastAsia" w:ascii="Times New Roman" w:eastAsia="黑体" w:cs="Times New Roman"/>
          <w:b/>
        </w:rPr>
        <w:t>本产品特有风险说明</w:t>
      </w:r>
    </w:p>
    <w:p>
      <w:pPr>
        <w:pStyle w:val="11"/>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本产品由于</w:t>
      </w:r>
      <w:r>
        <w:rPr>
          <w:rFonts w:hint="eastAsia" w:ascii="Times New Roman" w:eastAsia="黑体" w:cs="Times New Roman"/>
          <w:b/>
          <w:lang w:val="en-US" w:eastAsia="zh-CN"/>
        </w:rPr>
        <w:t>投资于</w:t>
      </w:r>
      <w:r>
        <w:rPr>
          <w:rFonts w:hint="eastAsia" w:ascii="Times New Roman" w:hAnsi="Times New Roman" w:eastAsia="黑体" w:cs="Times New Roman"/>
          <w:b/>
          <w:color w:val="000000"/>
          <w:kern w:val="0"/>
          <w:sz w:val="24"/>
        </w:rPr>
        <w:t>固定收益类、权益类</w:t>
      </w:r>
      <w:r>
        <w:rPr>
          <w:rFonts w:hint="eastAsia" w:ascii="Times New Roman" w:eastAsia="黑体" w:cs="Times New Roman"/>
          <w:b/>
          <w:color w:val="000000"/>
          <w:kern w:val="0"/>
          <w:sz w:val="24"/>
          <w:lang w:eastAsia="zh-CN"/>
        </w:rPr>
        <w:t>、</w:t>
      </w:r>
      <w:r>
        <w:rPr>
          <w:rFonts w:hint="eastAsia" w:ascii="Times New Roman" w:hAnsi="Times New Roman" w:eastAsia="黑体" w:cs="Times New Roman"/>
          <w:b/>
          <w:color w:val="000000"/>
          <w:kern w:val="0"/>
          <w:sz w:val="24"/>
        </w:rPr>
        <w:t>商品及</w:t>
      </w:r>
      <w:r>
        <w:rPr>
          <w:rFonts w:hint="eastAsia" w:ascii="Times New Roman" w:hAnsi="Times New Roman" w:eastAsia="黑体" w:cs="Times New Roman"/>
          <w:b/>
          <w:kern w:val="0"/>
          <w:sz w:val="24"/>
        </w:rPr>
        <w:t>金融衍生品类</w:t>
      </w:r>
      <w:r>
        <w:rPr>
          <w:rFonts w:hint="eastAsia" w:ascii="Times New Roman" w:hAnsi="Times New Roman" w:eastAsia="黑体" w:cs="Times New Roman"/>
          <w:b/>
          <w:color w:val="000000"/>
          <w:kern w:val="0"/>
          <w:sz w:val="24"/>
        </w:rPr>
        <w:t>资产</w:t>
      </w:r>
      <w:r>
        <w:rPr>
          <w:rFonts w:hint="eastAsia" w:ascii="Times New Roman" w:eastAsia="黑体" w:cs="Times New Roman"/>
          <w:b/>
        </w:rPr>
        <w:t>，因此可能面临如下特定风险：</w:t>
      </w:r>
    </w:p>
    <w:p>
      <w:pPr>
        <w:pStyle w:val="11"/>
        <w:snapToGrid w:val="0"/>
        <w:spacing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w:t>
      </w:r>
      <w:r>
        <w:rPr>
          <w:rFonts w:hint="eastAsia" w:ascii="Times New Roman" w:eastAsia="黑体" w:cs="Times New Roman"/>
          <w:b/>
          <w:kern w:val="0"/>
          <w:sz w:val="24"/>
          <w:szCs w:val="24"/>
          <w:lang w:val="en-US" w:eastAsia="zh-CN" w:bidi="ar-SA"/>
        </w:rPr>
        <w:t>（5）</w:t>
      </w:r>
      <w:r>
        <w:rPr>
          <w:rFonts w:hint="eastAsia" w:ascii="Times New Roman" w:hAnsi="Times New Roman" w:eastAsia="黑体" w:cs="Times New Roman"/>
          <w:b/>
          <w:kern w:val="0"/>
          <w:sz w:val="24"/>
          <w:szCs w:val="24"/>
          <w:lang w:val="en-US" w:eastAsia="zh-CN" w:bidi="ar-SA"/>
        </w:rPr>
        <w:t>债券市场出现整体下跌，导致债券市场的系统性风险等。（6）</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交换债券投资风险（如有）：</w:t>
      </w:r>
      <w:r>
        <w:rPr>
          <w:rFonts w:hint="eastAsia" w:ascii="Times New Roman" w:hAnsi="Times New Roman" w:eastAsia="黑体" w:cs="Times New Roman"/>
          <w:b/>
          <w:kern w:val="0"/>
          <w:sz w:val="24"/>
          <w:szCs w:val="24"/>
          <w:lang w:val="en-US" w:eastAsia="zh-CN"/>
        </w:rPr>
        <w:t>A、</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交换债券收益与对应标的股票股价直接挂钩，</w:t>
      </w:r>
      <w:r>
        <w:rPr>
          <w:rFonts w:hint="eastAsia" w:ascii="Times New Roman" w:hAnsi="Times New Roman" w:eastAsia="黑体" w:cs="Times New Roman"/>
          <w:b/>
          <w:kern w:val="0"/>
          <w:sz w:val="24"/>
          <w:szCs w:val="24"/>
          <w:lang w:val="en-US" w:eastAsia="zh-CN"/>
        </w:rPr>
        <w:t>债券价格</w:t>
      </w:r>
      <w:r>
        <w:rPr>
          <w:rFonts w:hint="eastAsia" w:ascii="Times New Roman" w:hAnsi="Times New Roman" w:eastAsia="黑体" w:cs="Times New Roman"/>
          <w:b/>
          <w:kern w:val="0"/>
          <w:sz w:val="24"/>
          <w:szCs w:val="24"/>
        </w:rPr>
        <w:t>可能受</w:t>
      </w:r>
      <w:r>
        <w:rPr>
          <w:rFonts w:hint="eastAsia" w:ascii="Times New Roman" w:hAnsi="Times New Roman" w:eastAsia="黑体" w:cs="Times New Roman"/>
          <w:b/>
          <w:kern w:val="0"/>
          <w:sz w:val="24"/>
          <w:szCs w:val="24"/>
          <w:lang w:val="en-US" w:eastAsia="zh-CN"/>
        </w:rPr>
        <w:t>之</w:t>
      </w:r>
      <w:r>
        <w:rPr>
          <w:rFonts w:hint="eastAsia" w:ascii="Times New Roman" w:hAnsi="Times New Roman" w:eastAsia="黑体" w:cs="Times New Roman"/>
          <w:b/>
          <w:kern w:val="0"/>
          <w:sz w:val="24"/>
          <w:szCs w:val="24"/>
        </w:rPr>
        <w:t>影响；</w:t>
      </w:r>
      <w:r>
        <w:rPr>
          <w:rFonts w:hint="eastAsia" w:ascii="Times New Roman" w:hAnsi="Times New Roman" w:eastAsia="黑体" w:cs="Times New Roman"/>
          <w:b/>
          <w:kern w:val="0"/>
          <w:sz w:val="24"/>
          <w:szCs w:val="24"/>
          <w:lang w:val="en-US" w:eastAsia="zh-CN"/>
        </w:rPr>
        <w:t>B、</w:t>
      </w:r>
      <w:r>
        <w:rPr>
          <w:rFonts w:hint="eastAsia" w:ascii="Times New Roman" w:hAnsi="Times New Roman" w:eastAsia="黑体" w:cs="Times New Roman"/>
          <w:b/>
          <w:kern w:val="0"/>
          <w:sz w:val="24"/>
          <w:szCs w:val="24"/>
        </w:rPr>
        <w:t>转股期内，对应标的股票价格可能低于转股价格，若选择转股，产品将承受标的股票价格低于转股价格之间的价差；</w:t>
      </w:r>
      <w:r>
        <w:rPr>
          <w:rFonts w:hint="eastAsia" w:ascii="Times New Roman" w:hAnsi="Times New Roman" w:eastAsia="黑体" w:cs="Times New Roman"/>
          <w:b/>
          <w:kern w:val="0"/>
          <w:sz w:val="24"/>
          <w:szCs w:val="24"/>
          <w:lang w:val="en-US" w:eastAsia="zh-CN"/>
        </w:rPr>
        <w:t>C、</w:t>
      </w:r>
      <w:r>
        <w:rPr>
          <w:rFonts w:hint="eastAsia" w:ascii="Times New Roman" w:hAnsi="Times New Roman" w:eastAsia="黑体" w:cs="Times New Roman"/>
          <w:b/>
          <w:kern w:val="0"/>
          <w:sz w:val="24"/>
          <w:szCs w:val="24"/>
        </w:rPr>
        <w:t>转股价格向下修正条款触发时，存在发行方</w:t>
      </w:r>
      <w:r>
        <w:rPr>
          <w:rFonts w:hint="eastAsia" w:ascii="Times New Roman" w:hAnsi="Times New Roman" w:eastAsia="黑体" w:cs="Times New Roman"/>
          <w:b/>
          <w:kern w:val="0"/>
          <w:sz w:val="24"/>
          <w:szCs w:val="24"/>
          <w:lang w:val="en-US" w:eastAsia="zh-CN"/>
        </w:rPr>
        <w:t>不</w:t>
      </w:r>
      <w:r>
        <w:rPr>
          <w:rFonts w:hint="eastAsia" w:ascii="Times New Roman" w:hAnsi="Times New Roman" w:eastAsia="黑体" w:cs="Times New Roman"/>
          <w:b/>
          <w:kern w:val="0"/>
          <w:sz w:val="24"/>
          <w:szCs w:val="24"/>
        </w:rPr>
        <w:t>同意修正转股价格的风险；</w:t>
      </w:r>
      <w:r>
        <w:rPr>
          <w:rFonts w:hint="eastAsia" w:ascii="Times New Roman" w:hAnsi="Times New Roman" w:eastAsia="黑体" w:cs="Times New Roman"/>
          <w:b/>
          <w:kern w:val="0"/>
          <w:sz w:val="24"/>
          <w:szCs w:val="24"/>
          <w:lang w:val="en-US" w:eastAsia="zh-CN"/>
        </w:rPr>
        <w:t>D、</w:t>
      </w:r>
      <w:r>
        <w:rPr>
          <w:rFonts w:hint="eastAsia" w:ascii="Times New Roman" w:hAnsi="Times New Roman" w:eastAsia="黑体" w:cs="Times New Roman"/>
          <w:b/>
          <w:kern w:val="0"/>
          <w:sz w:val="24"/>
          <w:szCs w:val="24"/>
        </w:rPr>
        <w:t>赎回条款可能导致债券提前兑付或转股期缩短而影响投资收益的风险；</w:t>
      </w:r>
      <w:r>
        <w:rPr>
          <w:rFonts w:hint="eastAsia" w:ascii="Times New Roman" w:hAnsi="Times New Roman" w:eastAsia="黑体" w:cs="Times New Roman"/>
          <w:b/>
          <w:kern w:val="0"/>
          <w:sz w:val="24"/>
          <w:szCs w:val="24"/>
          <w:lang w:val="en-US" w:eastAsia="zh-CN"/>
        </w:rPr>
        <w:t>E、</w:t>
      </w:r>
      <w:r>
        <w:rPr>
          <w:rFonts w:hint="eastAsia" w:ascii="Times New Roman" w:hAnsi="Times New Roman" w:eastAsia="黑体" w:cs="Times New Roman"/>
          <w:b/>
          <w:kern w:val="0"/>
          <w:sz w:val="24"/>
          <w:szCs w:val="24"/>
        </w:rPr>
        <w:t>存在因政策限制导致无法转股的风险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交换债券投资受到包括但不限于上述因素影响时，可能影响投资者收益，甚至使产品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遭受损失。</w:t>
      </w:r>
      <w:r>
        <w:rPr>
          <w:rFonts w:hint="eastAsia" w:ascii="Times New Roman" w:eastAsia="黑体" w:cs="Times New Roman"/>
          <w:b/>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p>
    <w:p>
      <w:pPr>
        <w:pStyle w:val="11"/>
        <w:snapToGrid w:val="0"/>
        <w:spacing w:line="276" w:lineRule="auto"/>
        <w:ind w:firstLine="482"/>
        <w:contextualSpacing/>
        <w:jc w:val="both"/>
        <w:rPr>
          <w:rFonts w:hint="eastAsia" w:ascii="Times New Roman" w:hAnsi="Times New Roman" w:eastAsia="黑体" w:cs="Times New Roman"/>
          <w:b/>
          <w:i w:val="0"/>
          <w:iCs w:val="0"/>
          <w:caps w:val="0"/>
          <w:color w:val="000000"/>
          <w:spacing w:val="0"/>
          <w:sz w:val="24"/>
          <w:szCs w:val="24"/>
          <w:shd w:val="clear" w:color="0A0000" w:fill="auto"/>
          <w:lang w:val="en-US"/>
        </w:rPr>
      </w:pP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rPr>
        <w:t>投资于资产支持证券的</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资产支持证券的投资收益取决于</w:t>
      </w:r>
      <w:r>
        <w:rPr>
          <w:rFonts w:hint="eastAsia" w:ascii="Times New Roman" w:hAnsi="Times New Roman" w:eastAsia="黑体" w:cs="Times New Roman"/>
          <w:b/>
          <w:kern w:val="0"/>
          <w:sz w:val="24"/>
          <w:szCs w:val="24"/>
          <w:lang w:val="en-US" w:eastAsia="zh-CN"/>
        </w:rPr>
        <w:t>项下</w:t>
      </w:r>
      <w:r>
        <w:rPr>
          <w:rFonts w:hint="eastAsia" w:ascii="Times New Roman" w:hAnsi="Times New Roman" w:eastAsia="黑体" w:cs="Times New Roman"/>
          <w:b/>
          <w:kern w:val="0"/>
          <w:sz w:val="24"/>
          <w:szCs w:val="24"/>
        </w:rPr>
        <w:t>基础资产情况，如该基础资产发生原始权益人</w:t>
      </w:r>
      <w:r>
        <w:rPr>
          <w:rFonts w:hint="eastAsia" w:ascii="Times New Roman" w:hAnsi="Times New Roman" w:eastAsia="黑体" w:cs="Times New Roman"/>
          <w:b/>
          <w:kern w:val="0"/>
          <w:sz w:val="24"/>
          <w:szCs w:val="24"/>
          <w:lang w:val="en-US" w:eastAsia="zh-CN"/>
        </w:rPr>
        <w:t>偿债能力变化、</w:t>
      </w:r>
      <w:r>
        <w:rPr>
          <w:rFonts w:hint="eastAsia" w:ascii="Times New Roman" w:hAnsi="Times New Roman" w:eastAsia="黑体" w:cs="Times New Roman"/>
          <w:b/>
          <w:kern w:val="0"/>
          <w:sz w:val="24"/>
          <w:szCs w:val="24"/>
        </w:rPr>
        <w:t>破产或基础资产项下现金流未能及时完整</w:t>
      </w:r>
      <w:r>
        <w:rPr>
          <w:rFonts w:hint="eastAsia" w:ascii="Times New Roman" w:hAnsi="Times New Roman" w:eastAsia="黑体" w:cs="Times New Roman"/>
          <w:b/>
          <w:kern w:val="0"/>
          <w:sz w:val="24"/>
          <w:szCs w:val="24"/>
          <w:lang w:val="en-US" w:eastAsia="zh-CN"/>
        </w:rPr>
        <w:t>获</w:t>
      </w:r>
      <w:r>
        <w:rPr>
          <w:rFonts w:hint="eastAsia" w:ascii="Times New Roman" w:hAnsi="Times New Roman" w:eastAsia="黑体" w:cs="Times New Roman"/>
          <w:b/>
          <w:kern w:val="0"/>
          <w:sz w:val="24"/>
          <w:szCs w:val="24"/>
        </w:rPr>
        <w:t>得等情况，资产支持证券的收益将受到影响</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资产支持证券的流动性较低，可能影响投资者收益，甚至使产品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1"/>
        <w:snapToGrid w:val="0"/>
        <w:spacing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3.投资于非标准化债权类资产的可能风险：（1）由于经济周期、行业竞争、管理能力、盈利模式、财务状况等变化可能发生资产经营不善，甚至破产清算、被兼并收购、无法偿还融资本金利息等状况，可能影响投资者收益，甚至使产品本金遭受损失；（2）由于融资方/担保方还款履约能力发生变化等原因，可能无法、逾期或提前偿还相关融资本金利息、或发生合同约定的其他债权延期或提前终止等情形，导致无法按计划分配投资本金、收益，可能影响投资者收益，甚至使产品本金遭受损失。</w:t>
      </w:r>
    </w:p>
    <w:p>
      <w:pPr>
        <w:pStyle w:val="11"/>
        <w:snapToGrid w:val="0"/>
        <w:spacing w:line="276" w:lineRule="auto"/>
        <w:ind w:firstLine="482"/>
        <w:contextualSpacing/>
        <w:rPr>
          <w:rFonts w:hint="eastAsia" w:ascii="Times New Roman" w:eastAsia="黑体" w:cs="Times New Roman"/>
          <w:b/>
          <w:lang w:val="en-US" w:eastAsia="zh-CN"/>
        </w:rPr>
      </w:pPr>
      <w:r>
        <w:rPr>
          <w:rFonts w:hint="eastAsia" w:ascii="Times New Roman" w:hAnsi="Times New Roman" w:eastAsia="黑体" w:cs="Times New Roman"/>
          <w:b/>
          <w:kern w:val="0"/>
          <w:sz w:val="24"/>
          <w:szCs w:val="24"/>
          <w:lang w:val="en-US" w:eastAsia="zh-CN" w:bidi="ar-SA"/>
        </w:rPr>
        <w:t>4.投资于存款类资产的可能风险：本产品拟投资的存款类资产在极端情况下可能面临被拒绝支取、因提前支取而被收取罚息等费用的风险，从而影响投资者收益，甚至使本产品本金遭受损失。</w:t>
      </w:r>
    </w:p>
    <w:p>
      <w:pPr>
        <w:pStyle w:val="11"/>
        <w:snapToGrid w:val="0"/>
        <w:spacing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rPr>
        <w:t>投资于结构性存款的</w:t>
      </w:r>
      <w:r>
        <w:rPr>
          <w:rFonts w:hint="eastAsia" w:asci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 xml:space="preserve"> 市场风险。结构性存款挂钩的境内外债券、股票、利率、汇率、指数等标的受相关国家或地区的金融市场和经济趋势的影响，收益存在不确定性。</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信用风险。结构性存款</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面临交易对手银行无力偿付或未履行该结构性存款相关义务（含支付义务）的风险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同时结构性存款挂钩的标的如果出现信用违约，结构性存款的本金与收益也会受到影响，在最不利的情况下可能损失全部本金。</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3</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利率风险。结构性存款如挂钩特定债券或债券指数，可能因相关利率变动而导致产品收益发生变化。</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汇率风险。结构性存款如挂钩境外证券资产，可能面临以非人民币计价的各类资产受汇率波动影响而引起人民币估值下的理财产品资产净值波动的风险。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衍生品投资风险。结构性存款所嵌入的金融衍生工具，可能存在</w:t>
      </w:r>
      <w:r>
        <w:rPr>
          <w:rFonts w:hint="eastAsia" w:ascii="Times New Roman" w:hAnsi="Times New Roman" w:eastAsia="黑体" w:cs="Times New Roman"/>
          <w:b/>
          <w:kern w:val="0"/>
          <w:sz w:val="24"/>
          <w:szCs w:val="24"/>
          <w:lang w:val="en-US" w:eastAsia="zh-CN"/>
        </w:rPr>
        <w:t>杠杆</w:t>
      </w:r>
      <w:r>
        <w:rPr>
          <w:rFonts w:hint="eastAsia" w:ascii="Times New Roman" w:hAnsi="Times New Roman" w:eastAsia="黑体" w:cs="Times New Roman"/>
          <w:b/>
          <w:kern w:val="0"/>
          <w:sz w:val="24"/>
          <w:szCs w:val="24"/>
        </w:rPr>
        <w:t>风险、操作风险、交易对手的信用风险、衍生品价格与其基础品种的相关度变化带来的风险等。</w:t>
      </w:r>
      <w:r>
        <w:rPr>
          <w:rFonts w:hint="eastAsia" w:ascii="Times New Roman" w:hAnsi="Times New Roman" w:eastAsia="黑体" w:cs="Times New Roman"/>
          <w:b/>
          <w:kern w:val="0"/>
          <w:sz w:val="24"/>
          <w:szCs w:val="24"/>
          <w:lang w:val="en-US" w:eastAsia="zh-CN"/>
        </w:rPr>
        <w:t>以上风险事项若发现，可能</w:t>
      </w:r>
      <w:r>
        <w:rPr>
          <w:rFonts w:hint="eastAsia" w:ascii="Times New Roman" w:hAnsi="Times New Roman" w:eastAsia="黑体" w:cs="Times New Roman"/>
          <w:b/>
          <w:kern w:val="0"/>
          <w:sz w:val="24"/>
          <w:szCs w:val="24"/>
        </w:rPr>
        <w:t>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1"/>
        <w:snapToGrid w:val="0"/>
        <w:spacing w:line="276" w:lineRule="auto"/>
        <w:ind w:firstLine="482"/>
        <w:contextualSpacing/>
        <w:rPr>
          <w:rFonts w:hint="eastAsia" w:ascii="Times New Roman" w:hAnsi="Times New Roman" w:eastAsia="黑体" w:cs="Times New Roman"/>
          <w:b/>
          <w:sz w:val="24"/>
          <w:szCs w:val="24"/>
          <w:lang w:val="en-US" w:eastAsia="zh-CN"/>
        </w:rPr>
      </w:pPr>
      <w:r>
        <w:rPr>
          <w:rFonts w:hint="eastAsia" w:ascii="Times New Roman" w:hAnsi="Times New Roman" w:eastAsia="黑体" w:cs="Times New Roman"/>
          <w:b/>
          <w:kern w:val="0"/>
          <w:sz w:val="24"/>
          <w:szCs w:val="24"/>
          <w:lang w:val="en-US" w:eastAsia="zh-CN" w:bidi="ar-SA"/>
        </w:rPr>
        <w:t>6.投资于股票类资产的可能风险：国家货币、财政、产业等政策变化对证券市场产生一定的影响，导致市场价格水平波动的风险；宏观经济运行周期性波动，对股票市场的收益水平产生影响的风险；上市公司的经营状况受多种因素影响，如市场、技术、竞争、管理、财务等都可能导致公司盈利发生变化，从而导致股票价格下跌，影响投资者收益，甚至使产品本金遭受损失；股票遭流通和转让限制导致的流动性风险；投资于不同板块、不同市场股票，如投资科创板、创业板、港股通股票等，可能面临因投资标的、市场制度、交易规则、监管法规等差异造成的风险等。</w:t>
      </w:r>
    </w:p>
    <w:p>
      <w:pPr>
        <w:pStyle w:val="11"/>
        <w:snapToGrid w:val="0"/>
        <w:spacing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 xml:space="preserve">7.投资于券商收益凭证的可能风险：券商收益凭证通常以证券公司的信用发行，在存续期间，证券公司可能发生解散、破产、无力清偿到期债务、资产被查封、冻结或强制执行等情形，存在无法偿付凭证本金和收益的信用风险；由于证券公司内部管理流程缺陷、人员操作失误、不合规、估值错误或者外部事件等原因而导致损失的操作风险；券商收益凭证本金和收益的偿付挂钩特定标的，包括但不限于股权、债权、信用、基金、利率、汇率、指数、期货和商品等，收益存在不确定性市场风险；根据不同的券商收益凭证结构设计，存在券商收益凭证提前终止导致产品再投资或提前终止风险。本理财产品投资于券商收益凭证，还可能面临流动性风险、政策法律风险、信息传递风险、不可抗力及意外事件风险等情形而导致无法实现投资收益甚至产品本金遭受损失的风险。 </w:t>
      </w:r>
    </w:p>
    <w:p>
      <w:pPr>
        <w:pStyle w:val="11"/>
        <w:snapToGrid w:val="0"/>
        <w:spacing w:line="276" w:lineRule="auto"/>
        <w:ind w:firstLine="482"/>
        <w:contextualSpacing/>
        <w:rPr>
          <w:rFonts w:hint="eastAsia" w:ascii="Times New Roman" w:hAnsi="Times New Roman" w:eastAsia="黑体" w:cs="Times New Roman"/>
          <w:b/>
          <w:kern w:val="0"/>
          <w:sz w:val="24"/>
          <w:szCs w:val="24"/>
          <w:lang w:val="en-US" w:eastAsia="zh-CN" w:bidi="ar-SA"/>
        </w:rPr>
      </w:pPr>
      <w:r>
        <w:rPr>
          <w:rFonts w:hint="eastAsia" w:ascii="Times New Roman" w:eastAsia="黑体" w:cs="Times New Roman"/>
          <w:b/>
          <w:lang w:val="en-US" w:eastAsia="zh-CN"/>
        </w:rPr>
        <w:t>8.</w:t>
      </w:r>
      <w:r>
        <w:rPr>
          <w:rFonts w:hint="eastAsia" w:ascii="Times New Roman" w:hAnsi="Times New Roman" w:eastAsia="黑体" w:cs="Times New Roman"/>
          <w:b/>
          <w:kern w:val="0"/>
          <w:sz w:val="24"/>
          <w:szCs w:val="24"/>
          <w:lang w:val="en-US" w:eastAsia="zh-CN" w:bidi="ar-SA"/>
        </w:rPr>
        <w:t>投资于商品及金融衍生品类资产的可能风险：基础产品价格波动造成衍生品价格波动，高杠杆和跨期交易可能加剧衍生品价格波动的市场风险；衍生品发行方或交易对手方违约或不履行合约的导致的信用风险；缺乏交易对手导致无法平仓/变现、流动资金不足或无法追加保证金导致被迫平仓造成亏损的风险；因内部程序、人员、系统操作不当或因外部事件导致损失的操作风险；部分衍生品操作相关法律法规的滞后，交易合约在法律范围内无效而无法履约或交易合约订立不当产生的法律风险。</w:t>
      </w:r>
    </w:p>
    <w:p>
      <w:pPr>
        <w:pStyle w:val="11"/>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kern w:val="0"/>
          <w:sz w:val="24"/>
          <w:szCs w:val="24"/>
          <w:lang w:val="en-US" w:eastAsia="zh-CN" w:bidi="ar-SA"/>
        </w:rPr>
        <w:t xml:space="preserve">    9</w:t>
      </w:r>
      <w:r>
        <w:rPr>
          <w:rFonts w:hint="eastAsia" w:ascii="Times New Roman" w:hAnsi="Times New Roman" w:eastAsia="黑体" w:cs="Times New Roman"/>
          <w:b/>
          <w:kern w:val="0"/>
          <w:sz w:val="24"/>
          <w:szCs w:val="24"/>
          <w:lang w:val="en-US" w:eastAsia="zh-CN" w:bidi="ar-SA"/>
        </w:rPr>
        <w:t>.投资于公募基金、信托计划、资产管理计划等资产管理产品的可能风险：由于管理人</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包括本理财产品、所投资的公募基金、信托计划、资产管理计划等资产管理产品的受托人、资产管理人、相关投资顾问</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b/>
          <w:bCs/>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w:t>
      </w:r>
      <w:r>
        <w:rPr>
          <w:rFonts w:hint="eastAsia" w:ascii="仿宋" w:hAnsi="仿宋" w:eastAsia="仿宋" w:cs="宋体"/>
          <w:b/>
          <w:bCs/>
          <w:kern w:val="0"/>
          <w:sz w:val="24"/>
        </w:rPr>
        <w:t>对于华夏理财增加费用名目、提高收费标准等对投资者利益产生实质不利影响的情形，投资者如不接受，可按</w:t>
      </w:r>
      <w:r>
        <w:rPr>
          <w:rFonts w:ascii="仿宋" w:hAnsi="仿宋" w:eastAsia="仿宋" w:cs="宋体"/>
          <w:b/>
          <w:bCs/>
          <w:kern w:val="0"/>
          <w:sz w:val="24"/>
        </w:rPr>
        <w:t>信息披露中确定的方式</w:t>
      </w:r>
      <w:r>
        <w:rPr>
          <w:rFonts w:hint="eastAsia" w:ascii="仿宋" w:hAnsi="仿宋" w:eastAsia="仿宋" w:cs="宋体"/>
          <w:b/>
          <w:bCs/>
          <w:kern w:val="0"/>
          <w:sz w:val="24"/>
        </w:rPr>
        <w:t>和</w:t>
      </w:r>
      <w:r>
        <w:rPr>
          <w:rFonts w:ascii="仿宋" w:hAnsi="仿宋" w:eastAsia="仿宋" w:cs="宋体"/>
          <w:b/>
          <w:bCs/>
          <w:kern w:val="0"/>
          <w:sz w:val="24"/>
        </w:rPr>
        <w:t>时限</w:t>
      </w:r>
      <w:r>
        <w:rPr>
          <w:rFonts w:hint="eastAsia" w:ascii="仿宋" w:hAnsi="仿宋" w:eastAsia="仿宋" w:cs="宋体"/>
          <w:b/>
          <w:bCs/>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ascii="仿宋" w:hAnsi="仿宋" w:eastAsia="仿宋" w:cs="宋体"/>
          <w:b/>
          <w:kern w:val="0"/>
          <w:sz w:val="24"/>
        </w:rPr>
        <w:t>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autoSpaceDE w:val="0"/>
        <w:autoSpaceDN w:val="0"/>
        <w:adjustRightInd w:val="0"/>
        <w:snapToGrid w:val="0"/>
        <w:spacing w:line="276" w:lineRule="auto"/>
        <w:ind w:firstLine="480" w:firstLineChars="200"/>
        <w:contextualSpacing/>
        <w:rPr>
          <w:b/>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hint="eastAsia" w:ascii="黑体" w:hAnsi="黑体" w:eastAsia="黑体" w:cs="黑体"/>
          <w:b/>
          <w:bCs/>
          <w:kern w:val="0"/>
          <w:sz w:val="24"/>
        </w:rPr>
      </w:pPr>
      <w:r>
        <w:rPr>
          <w:rFonts w:hint="eastAsia" w:ascii="黑体" w:hAnsi="黑体" w:eastAsia="黑体" w:cs="黑体"/>
          <w:b/>
          <w:bCs/>
          <w:kern w:val="0"/>
          <w:sz w:val="24"/>
        </w:rPr>
        <w:t>在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righ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rPr>
        <w:t xml:space="preserve">    </w:t>
      </w: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BA2CE7"/>
    <w:multiLevelType w:val="singleLevel"/>
    <w:tmpl w:val="64BA2CE7"/>
    <w:lvl w:ilvl="0" w:tentative="0">
      <w:start w:val="15"/>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255"/>
    <w:rsid w:val="00001C1B"/>
    <w:rsid w:val="000028AE"/>
    <w:rsid w:val="00013C4E"/>
    <w:rsid w:val="000161B5"/>
    <w:rsid w:val="00021827"/>
    <w:rsid w:val="00025F33"/>
    <w:rsid w:val="00033110"/>
    <w:rsid w:val="000431D6"/>
    <w:rsid w:val="00056226"/>
    <w:rsid w:val="00063AA0"/>
    <w:rsid w:val="00066824"/>
    <w:rsid w:val="00096678"/>
    <w:rsid w:val="000A088E"/>
    <w:rsid w:val="000B0F79"/>
    <w:rsid w:val="000C03A9"/>
    <w:rsid w:val="000D0355"/>
    <w:rsid w:val="000F06E2"/>
    <w:rsid w:val="000F0814"/>
    <w:rsid w:val="00103712"/>
    <w:rsid w:val="00123A40"/>
    <w:rsid w:val="00133FA8"/>
    <w:rsid w:val="0013677C"/>
    <w:rsid w:val="00165B63"/>
    <w:rsid w:val="0017498E"/>
    <w:rsid w:val="00183EA3"/>
    <w:rsid w:val="00186079"/>
    <w:rsid w:val="00190BB4"/>
    <w:rsid w:val="001D2415"/>
    <w:rsid w:val="001E1606"/>
    <w:rsid w:val="001E41AD"/>
    <w:rsid w:val="001E6023"/>
    <w:rsid w:val="001F7D2D"/>
    <w:rsid w:val="00215C06"/>
    <w:rsid w:val="002318DF"/>
    <w:rsid w:val="00244A8F"/>
    <w:rsid w:val="002553C2"/>
    <w:rsid w:val="00257913"/>
    <w:rsid w:val="00257999"/>
    <w:rsid w:val="00257E16"/>
    <w:rsid w:val="00262B55"/>
    <w:rsid w:val="00280398"/>
    <w:rsid w:val="002960B6"/>
    <w:rsid w:val="002A05D2"/>
    <w:rsid w:val="002B2BDD"/>
    <w:rsid w:val="002F6B80"/>
    <w:rsid w:val="00305047"/>
    <w:rsid w:val="00316AFC"/>
    <w:rsid w:val="00322620"/>
    <w:rsid w:val="003243A1"/>
    <w:rsid w:val="00333AEC"/>
    <w:rsid w:val="0033431D"/>
    <w:rsid w:val="00344E4C"/>
    <w:rsid w:val="003536CA"/>
    <w:rsid w:val="003750FE"/>
    <w:rsid w:val="00380E25"/>
    <w:rsid w:val="00382196"/>
    <w:rsid w:val="00383192"/>
    <w:rsid w:val="00386DF5"/>
    <w:rsid w:val="00387828"/>
    <w:rsid w:val="003C19A7"/>
    <w:rsid w:val="003C47F9"/>
    <w:rsid w:val="003C561D"/>
    <w:rsid w:val="003C737C"/>
    <w:rsid w:val="003D0255"/>
    <w:rsid w:val="003D1B1D"/>
    <w:rsid w:val="003D7791"/>
    <w:rsid w:val="003E19F9"/>
    <w:rsid w:val="003F0CFC"/>
    <w:rsid w:val="00400CDC"/>
    <w:rsid w:val="004128C5"/>
    <w:rsid w:val="00420E68"/>
    <w:rsid w:val="00443D10"/>
    <w:rsid w:val="00482583"/>
    <w:rsid w:val="0048600F"/>
    <w:rsid w:val="004A2CEA"/>
    <w:rsid w:val="004B3C7D"/>
    <w:rsid w:val="004C7E7D"/>
    <w:rsid w:val="004D72E5"/>
    <w:rsid w:val="004E7458"/>
    <w:rsid w:val="004F3054"/>
    <w:rsid w:val="00511A6C"/>
    <w:rsid w:val="00511F92"/>
    <w:rsid w:val="005228EC"/>
    <w:rsid w:val="00541B21"/>
    <w:rsid w:val="005521CA"/>
    <w:rsid w:val="005622E8"/>
    <w:rsid w:val="00587F99"/>
    <w:rsid w:val="005902F0"/>
    <w:rsid w:val="005A1AD3"/>
    <w:rsid w:val="005B0C42"/>
    <w:rsid w:val="005B7E09"/>
    <w:rsid w:val="005D1B39"/>
    <w:rsid w:val="005D5825"/>
    <w:rsid w:val="005E4F8D"/>
    <w:rsid w:val="006030F8"/>
    <w:rsid w:val="00603823"/>
    <w:rsid w:val="00623292"/>
    <w:rsid w:val="006309B4"/>
    <w:rsid w:val="0064430D"/>
    <w:rsid w:val="006609EB"/>
    <w:rsid w:val="00661DAE"/>
    <w:rsid w:val="00664F8D"/>
    <w:rsid w:val="00665902"/>
    <w:rsid w:val="00695DD6"/>
    <w:rsid w:val="00697279"/>
    <w:rsid w:val="006A3BD2"/>
    <w:rsid w:val="006B7A12"/>
    <w:rsid w:val="006D1929"/>
    <w:rsid w:val="006D5CC0"/>
    <w:rsid w:val="006D61F9"/>
    <w:rsid w:val="006E465C"/>
    <w:rsid w:val="006E5108"/>
    <w:rsid w:val="006F108E"/>
    <w:rsid w:val="006F7A5D"/>
    <w:rsid w:val="0070057F"/>
    <w:rsid w:val="00712D65"/>
    <w:rsid w:val="00714FA0"/>
    <w:rsid w:val="0073124D"/>
    <w:rsid w:val="00740606"/>
    <w:rsid w:val="0075453D"/>
    <w:rsid w:val="00755C63"/>
    <w:rsid w:val="00757C4D"/>
    <w:rsid w:val="007660D1"/>
    <w:rsid w:val="0077151B"/>
    <w:rsid w:val="0078428F"/>
    <w:rsid w:val="0079392E"/>
    <w:rsid w:val="00794BCC"/>
    <w:rsid w:val="007A782E"/>
    <w:rsid w:val="007B16C0"/>
    <w:rsid w:val="007D7E45"/>
    <w:rsid w:val="007E69F8"/>
    <w:rsid w:val="007F34D2"/>
    <w:rsid w:val="008111D2"/>
    <w:rsid w:val="00813D80"/>
    <w:rsid w:val="008218B0"/>
    <w:rsid w:val="00826EBE"/>
    <w:rsid w:val="0084396D"/>
    <w:rsid w:val="00852297"/>
    <w:rsid w:val="00853BBD"/>
    <w:rsid w:val="0087356D"/>
    <w:rsid w:val="00891BE8"/>
    <w:rsid w:val="008A758D"/>
    <w:rsid w:val="008C587B"/>
    <w:rsid w:val="008C7FC7"/>
    <w:rsid w:val="008D32C9"/>
    <w:rsid w:val="008D4672"/>
    <w:rsid w:val="008E0E7F"/>
    <w:rsid w:val="00904F66"/>
    <w:rsid w:val="0092398B"/>
    <w:rsid w:val="00926B88"/>
    <w:rsid w:val="00933895"/>
    <w:rsid w:val="00940AE1"/>
    <w:rsid w:val="009767AD"/>
    <w:rsid w:val="00991585"/>
    <w:rsid w:val="0099257B"/>
    <w:rsid w:val="009A1572"/>
    <w:rsid w:val="009B30CA"/>
    <w:rsid w:val="009B40CA"/>
    <w:rsid w:val="009B5749"/>
    <w:rsid w:val="009B654D"/>
    <w:rsid w:val="009C25C2"/>
    <w:rsid w:val="009E64E1"/>
    <w:rsid w:val="009F3291"/>
    <w:rsid w:val="00A10AA6"/>
    <w:rsid w:val="00A15763"/>
    <w:rsid w:val="00A23D14"/>
    <w:rsid w:val="00A40B5C"/>
    <w:rsid w:val="00A450DA"/>
    <w:rsid w:val="00A80484"/>
    <w:rsid w:val="00A8540C"/>
    <w:rsid w:val="00AA20BC"/>
    <w:rsid w:val="00AB6C5C"/>
    <w:rsid w:val="00AC051A"/>
    <w:rsid w:val="00AC0C84"/>
    <w:rsid w:val="00AC28C2"/>
    <w:rsid w:val="00AC56CD"/>
    <w:rsid w:val="00AD5773"/>
    <w:rsid w:val="00AE3F67"/>
    <w:rsid w:val="00AE55A6"/>
    <w:rsid w:val="00AF0D6A"/>
    <w:rsid w:val="00AF2148"/>
    <w:rsid w:val="00AF4114"/>
    <w:rsid w:val="00AF79D6"/>
    <w:rsid w:val="00B13FB3"/>
    <w:rsid w:val="00B2549A"/>
    <w:rsid w:val="00B26E45"/>
    <w:rsid w:val="00B2731B"/>
    <w:rsid w:val="00B302D6"/>
    <w:rsid w:val="00B33142"/>
    <w:rsid w:val="00B34C10"/>
    <w:rsid w:val="00B37587"/>
    <w:rsid w:val="00B64A10"/>
    <w:rsid w:val="00B835AA"/>
    <w:rsid w:val="00B86087"/>
    <w:rsid w:val="00B90CDB"/>
    <w:rsid w:val="00B960A6"/>
    <w:rsid w:val="00B97A5C"/>
    <w:rsid w:val="00BC2671"/>
    <w:rsid w:val="00BE486A"/>
    <w:rsid w:val="00BF2EF2"/>
    <w:rsid w:val="00C2501F"/>
    <w:rsid w:val="00C27850"/>
    <w:rsid w:val="00C32BF2"/>
    <w:rsid w:val="00C34C70"/>
    <w:rsid w:val="00C93E30"/>
    <w:rsid w:val="00C9651A"/>
    <w:rsid w:val="00CA72BA"/>
    <w:rsid w:val="00CB300C"/>
    <w:rsid w:val="00CC1C04"/>
    <w:rsid w:val="00CC6613"/>
    <w:rsid w:val="00CD1AC8"/>
    <w:rsid w:val="00CF7FD2"/>
    <w:rsid w:val="00D03E60"/>
    <w:rsid w:val="00D06EC1"/>
    <w:rsid w:val="00D07C3B"/>
    <w:rsid w:val="00D1371E"/>
    <w:rsid w:val="00D20E48"/>
    <w:rsid w:val="00D54E89"/>
    <w:rsid w:val="00D603CC"/>
    <w:rsid w:val="00D62515"/>
    <w:rsid w:val="00D62EAE"/>
    <w:rsid w:val="00D633D2"/>
    <w:rsid w:val="00D7194A"/>
    <w:rsid w:val="00D74E35"/>
    <w:rsid w:val="00D76D28"/>
    <w:rsid w:val="00D81EE7"/>
    <w:rsid w:val="00D842DC"/>
    <w:rsid w:val="00D92F2F"/>
    <w:rsid w:val="00D96806"/>
    <w:rsid w:val="00DA1051"/>
    <w:rsid w:val="00DB3201"/>
    <w:rsid w:val="00DB6A3F"/>
    <w:rsid w:val="00DC5F87"/>
    <w:rsid w:val="00DE7DB8"/>
    <w:rsid w:val="00DF01F0"/>
    <w:rsid w:val="00E01C5E"/>
    <w:rsid w:val="00E02F1C"/>
    <w:rsid w:val="00E064E3"/>
    <w:rsid w:val="00E32C0D"/>
    <w:rsid w:val="00E4718A"/>
    <w:rsid w:val="00E53D13"/>
    <w:rsid w:val="00E65F0B"/>
    <w:rsid w:val="00E8067C"/>
    <w:rsid w:val="00E91719"/>
    <w:rsid w:val="00E93A95"/>
    <w:rsid w:val="00EA4EFE"/>
    <w:rsid w:val="00EC1941"/>
    <w:rsid w:val="00ED51B9"/>
    <w:rsid w:val="00ED5CA8"/>
    <w:rsid w:val="00EE0EFC"/>
    <w:rsid w:val="00EE4B28"/>
    <w:rsid w:val="00F02D76"/>
    <w:rsid w:val="00F045C3"/>
    <w:rsid w:val="00F05127"/>
    <w:rsid w:val="00F512E9"/>
    <w:rsid w:val="00F54606"/>
    <w:rsid w:val="00F67A6A"/>
    <w:rsid w:val="00F67A9C"/>
    <w:rsid w:val="00F72DB1"/>
    <w:rsid w:val="00F77DC9"/>
    <w:rsid w:val="00F82368"/>
    <w:rsid w:val="00FB10EC"/>
    <w:rsid w:val="00FC0983"/>
    <w:rsid w:val="00FC21F8"/>
    <w:rsid w:val="00FC5EEF"/>
    <w:rsid w:val="00FF5911"/>
    <w:rsid w:val="0114199A"/>
    <w:rsid w:val="015E11C2"/>
    <w:rsid w:val="02417756"/>
    <w:rsid w:val="02A45449"/>
    <w:rsid w:val="02E40AD0"/>
    <w:rsid w:val="033A4D39"/>
    <w:rsid w:val="034644C7"/>
    <w:rsid w:val="03575C88"/>
    <w:rsid w:val="04196F12"/>
    <w:rsid w:val="04230FDF"/>
    <w:rsid w:val="04435A9E"/>
    <w:rsid w:val="04950991"/>
    <w:rsid w:val="04CB5CEC"/>
    <w:rsid w:val="04E84BFD"/>
    <w:rsid w:val="05086932"/>
    <w:rsid w:val="051F1A55"/>
    <w:rsid w:val="05351A10"/>
    <w:rsid w:val="05422B2F"/>
    <w:rsid w:val="054B7EFA"/>
    <w:rsid w:val="05831998"/>
    <w:rsid w:val="058F39F2"/>
    <w:rsid w:val="060A409E"/>
    <w:rsid w:val="0610015A"/>
    <w:rsid w:val="065B151C"/>
    <w:rsid w:val="065C11E1"/>
    <w:rsid w:val="066C6455"/>
    <w:rsid w:val="06930C07"/>
    <w:rsid w:val="072859C3"/>
    <w:rsid w:val="07853686"/>
    <w:rsid w:val="07B45D81"/>
    <w:rsid w:val="07C26F1E"/>
    <w:rsid w:val="07C52B3D"/>
    <w:rsid w:val="07D02A7E"/>
    <w:rsid w:val="07D6576F"/>
    <w:rsid w:val="07F1682B"/>
    <w:rsid w:val="08064FC2"/>
    <w:rsid w:val="080D6F41"/>
    <w:rsid w:val="08A87A0E"/>
    <w:rsid w:val="08D300AE"/>
    <w:rsid w:val="09277EEB"/>
    <w:rsid w:val="096506FA"/>
    <w:rsid w:val="0A01440A"/>
    <w:rsid w:val="0A513B0D"/>
    <w:rsid w:val="0A5478A3"/>
    <w:rsid w:val="0B233702"/>
    <w:rsid w:val="0D3600BA"/>
    <w:rsid w:val="0D6A3AA3"/>
    <w:rsid w:val="0D926F56"/>
    <w:rsid w:val="0DD32259"/>
    <w:rsid w:val="0E507CBA"/>
    <w:rsid w:val="0E8120FC"/>
    <w:rsid w:val="0EF43DB9"/>
    <w:rsid w:val="0F850895"/>
    <w:rsid w:val="102F133E"/>
    <w:rsid w:val="10637EEB"/>
    <w:rsid w:val="10987645"/>
    <w:rsid w:val="10ED247D"/>
    <w:rsid w:val="110764BF"/>
    <w:rsid w:val="110801C1"/>
    <w:rsid w:val="113A6DA1"/>
    <w:rsid w:val="113E1EBB"/>
    <w:rsid w:val="114758B1"/>
    <w:rsid w:val="11615F32"/>
    <w:rsid w:val="119A5652"/>
    <w:rsid w:val="11BA7B51"/>
    <w:rsid w:val="11D76A3C"/>
    <w:rsid w:val="120F1E2C"/>
    <w:rsid w:val="124D3D8B"/>
    <w:rsid w:val="12540566"/>
    <w:rsid w:val="1255481F"/>
    <w:rsid w:val="128B3205"/>
    <w:rsid w:val="12946645"/>
    <w:rsid w:val="12D3200B"/>
    <w:rsid w:val="13495D69"/>
    <w:rsid w:val="13B7767A"/>
    <w:rsid w:val="13B9670D"/>
    <w:rsid w:val="13DE4767"/>
    <w:rsid w:val="14484DCB"/>
    <w:rsid w:val="14623E81"/>
    <w:rsid w:val="14852776"/>
    <w:rsid w:val="15140BCE"/>
    <w:rsid w:val="1584793E"/>
    <w:rsid w:val="15874EAA"/>
    <w:rsid w:val="15C47445"/>
    <w:rsid w:val="15E41B70"/>
    <w:rsid w:val="16440A35"/>
    <w:rsid w:val="16577530"/>
    <w:rsid w:val="166A54EB"/>
    <w:rsid w:val="167255CF"/>
    <w:rsid w:val="16840173"/>
    <w:rsid w:val="16C41A8B"/>
    <w:rsid w:val="16FB6F37"/>
    <w:rsid w:val="170D52AD"/>
    <w:rsid w:val="1798792C"/>
    <w:rsid w:val="17D31FDC"/>
    <w:rsid w:val="17D76C2B"/>
    <w:rsid w:val="17F62314"/>
    <w:rsid w:val="17F8769D"/>
    <w:rsid w:val="18041AB4"/>
    <w:rsid w:val="189A37F0"/>
    <w:rsid w:val="18AE604C"/>
    <w:rsid w:val="18EC144C"/>
    <w:rsid w:val="190F268E"/>
    <w:rsid w:val="19287585"/>
    <w:rsid w:val="19366F80"/>
    <w:rsid w:val="19610BFF"/>
    <w:rsid w:val="19953307"/>
    <w:rsid w:val="19A07D04"/>
    <w:rsid w:val="1A041D63"/>
    <w:rsid w:val="1A6F44D1"/>
    <w:rsid w:val="1B2C6F2C"/>
    <w:rsid w:val="1B594250"/>
    <w:rsid w:val="1B5D5F33"/>
    <w:rsid w:val="1BA134BF"/>
    <w:rsid w:val="1BA24967"/>
    <w:rsid w:val="1BAF6A57"/>
    <w:rsid w:val="1BCE5D96"/>
    <w:rsid w:val="1BDE2098"/>
    <w:rsid w:val="1C465E86"/>
    <w:rsid w:val="1C611CE0"/>
    <w:rsid w:val="1C674106"/>
    <w:rsid w:val="1C726314"/>
    <w:rsid w:val="1CE252F3"/>
    <w:rsid w:val="1D104FDC"/>
    <w:rsid w:val="1D117096"/>
    <w:rsid w:val="1DE516B8"/>
    <w:rsid w:val="1E3E3887"/>
    <w:rsid w:val="1E433C85"/>
    <w:rsid w:val="1ED877DF"/>
    <w:rsid w:val="1F0B3DFE"/>
    <w:rsid w:val="1F1F4F92"/>
    <w:rsid w:val="1F5522A7"/>
    <w:rsid w:val="1F7B1BD0"/>
    <w:rsid w:val="1FD45CE1"/>
    <w:rsid w:val="202C791E"/>
    <w:rsid w:val="20B60880"/>
    <w:rsid w:val="210A3482"/>
    <w:rsid w:val="21433609"/>
    <w:rsid w:val="214D162F"/>
    <w:rsid w:val="22171129"/>
    <w:rsid w:val="222D0D62"/>
    <w:rsid w:val="22BF48EE"/>
    <w:rsid w:val="2350568B"/>
    <w:rsid w:val="237F35E5"/>
    <w:rsid w:val="23A50D24"/>
    <w:rsid w:val="23BB3E13"/>
    <w:rsid w:val="23E44373"/>
    <w:rsid w:val="242806AA"/>
    <w:rsid w:val="242B407E"/>
    <w:rsid w:val="24392A65"/>
    <w:rsid w:val="2467066D"/>
    <w:rsid w:val="24E91956"/>
    <w:rsid w:val="252E26F1"/>
    <w:rsid w:val="254F75C4"/>
    <w:rsid w:val="258B6748"/>
    <w:rsid w:val="25C3267A"/>
    <w:rsid w:val="25D568B4"/>
    <w:rsid w:val="25EF3384"/>
    <w:rsid w:val="25F33B9E"/>
    <w:rsid w:val="2607201C"/>
    <w:rsid w:val="260C731E"/>
    <w:rsid w:val="26103F21"/>
    <w:rsid w:val="26444E75"/>
    <w:rsid w:val="270B308D"/>
    <w:rsid w:val="27EA63D1"/>
    <w:rsid w:val="287A5D0E"/>
    <w:rsid w:val="28B05EE9"/>
    <w:rsid w:val="28D30187"/>
    <w:rsid w:val="28E571A8"/>
    <w:rsid w:val="292A2102"/>
    <w:rsid w:val="294C4E21"/>
    <w:rsid w:val="296D4B02"/>
    <w:rsid w:val="2A074BE3"/>
    <w:rsid w:val="2A103412"/>
    <w:rsid w:val="2A1E1418"/>
    <w:rsid w:val="2A770C99"/>
    <w:rsid w:val="2A9A7D70"/>
    <w:rsid w:val="2AF54482"/>
    <w:rsid w:val="2B4D5324"/>
    <w:rsid w:val="2BBB2833"/>
    <w:rsid w:val="2BC42334"/>
    <w:rsid w:val="2C1011CD"/>
    <w:rsid w:val="2C40390A"/>
    <w:rsid w:val="2C4C703B"/>
    <w:rsid w:val="2D0852EE"/>
    <w:rsid w:val="2D0F1A4A"/>
    <w:rsid w:val="2D241337"/>
    <w:rsid w:val="2D5A682E"/>
    <w:rsid w:val="2D753D30"/>
    <w:rsid w:val="2DC02129"/>
    <w:rsid w:val="2E010168"/>
    <w:rsid w:val="2E6A7D66"/>
    <w:rsid w:val="2EA972CC"/>
    <w:rsid w:val="2EC31B75"/>
    <w:rsid w:val="2F534E7C"/>
    <w:rsid w:val="2FE72027"/>
    <w:rsid w:val="306A1371"/>
    <w:rsid w:val="30EC3F54"/>
    <w:rsid w:val="30EE4C54"/>
    <w:rsid w:val="3127549C"/>
    <w:rsid w:val="31533557"/>
    <w:rsid w:val="31755362"/>
    <w:rsid w:val="31B41A9A"/>
    <w:rsid w:val="31C74937"/>
    <w:rsid w:val="31F02E84"/>
    <w:rsid w:val="32062205"/>
    <w:rsid w:val="322068C9"/>
    <w:rsid w:val="326170B4"/>
    <w:rsid w:val="328F3B54"/>
    <w:rsid w:val="329A11A0"/>
    <w:rsid w:val="32EB1F9F"/>
    <w:rsid w:val="32FF7EB7"/>
    <w:rsid w:val="332F648F"/>
    <w:rsid w:val="33830490"/>
    <w:rsid w:val="340F1379"/>
    <w:rsid w:val="345E593B"/>
    <w:rsid w:val="34605A84"/>
    <w:rsid w:val="346C230B"/>
    <w:rsid w:val="35034F52"/>
    <w:rsid w:val="352C602C"/>
    <w:rsid w:val="35871903"/>
    <w:rsid w:val="35B16527"/>
    <w:rsid w:val="369644C6"/>
    <w:rsid w:val="36B76A85"/>
    <w:rsid w:val="36B82ADE"/>
    <w:rsid w:val="37674BD6"/>
    <w:rsid w:val="376879F0"/>
    <w:rsid w:val="37A459DC"/>
    <w:rsid w:val="37C77667"/>
    <w:rsid w:val="37EC4B4C"/>
    <w:rsid w:val="3877346F"/>
    <w:rsid w:val="387B665C"/>
    <w:rsid w:val="39690814"/>
    <w:rsid w:val="39B76C90"/>
    <w:rsid w:val="39C37A55"/>
    <w:rsid w:val="39C53B44"/>
    <w:rsid w:val="39E540AC"/>
    <w:rsid w:val="39EF39C3"/>
    <w:rsid w:val="3A23092B"/>
    <w:rsid w:val="3A2F0D37"/>
    <w:rsid w:val="3A35598B"/>
    <w:rsid w:val="3A595F4B"/>
    <w:rsid w:val="3B0D6CB1"/>
    <w:rsid w:val="3B384B95"/>
    <w:rsid w:val="3B4C73CF"/>
    <w:rsid w:val="3BBC1466"/>
    <w:rsid w:val="3BC55932"/>
    <w:rsid w:val="3BF30886"/>
    <w:rsid w:val="3C1A6E77"/>
    <w:rsid w:val="3C4353DD"/>
    <w:rsid w:val="3C7826C2"/>
    <w:rsid w:val="3C8F2051"/>
    <w:rsid w:val="3CAB2BA8"/>
    <w:rsid w:val="3CD87A38"/>
    <w:rsid w:val="3D073617"/>
    <w:rsid w:val="3D83215E"/>
    <w:rsid w:val="3DFD4383"/>
    <w:rsid w:val="3DFF3A1A"/>
    <w:rsid w:val="3EA946F7"/>
    <w:rsid w:val="3ED615CF"/>
    <w:rsid w:val="3EEC674A"/>
    <w:rsid w:val="3F3A6280"/>
    <w:rsid w:val="3F8907F6"/>
    <w:rsid w:val="3F8B7D7F"/>
    <w:rsid w:val="3F98584C"/>
    <w:rsid w:val="3FCE204E"/>
    <w:rsid w:val="3FDA33E1"/>
    <w:rsid w:val="3FDD61C2"/>
    <w:rsid w:val="3FF20B0E"/>
    <w:rsid w:val="40670EF7"/>
    <w:rsid w:val="40974D22"/>
    <w:rsid w:val="40AB1A12"/>
    <w:rsid w:val="40F5644E"/>
    <w:rsid w:val="41012626"/>
    <w:rsid w:val="4152366F"/>
    <w:rsid w:val="417575F2"/>
    <w:rsid w:val="418D1F94"/>
    <w:rsid w:val="419868AD"/>
    <w:rsid w:val="41BD7655"/>
    <w:rsid w:val="41CC7DB7"/>
    <w:rsid w:val="42535AE1"/>
    <w:rsid w:val="42D57432"/>
    <w:rsid w:val="42F60353"/>
    <w:rsid w:val="43420406"/>
    <w:rsid w:val="438556A7"/>
    <w:rsid w:val="43A6228A"/>
    <w:rsid w:val="4524487F"/>
    <w:rsid w:val="455123EC"/>
    <w:rsid w:val="457E4E77"/>
    <w:rsid w:val="45CC078F"/>
    <w:rsid w:val="45CC5A0F"/>
    <w:rsid w:val="45DC18AB"/>
    <w:rsid w:val="46352706"/>
    <w:rsid w:val="466B6F06"/>
    <w:rsid w:val="46860155"/>
    <w:rsid w:val="476049FD"/>
    <w:rsid w:val="47802A85"/>
    <w:rsid w:val="480921AD"/>
    <w:rsid w:val="487C60FD"/>
    <w:rsid w:val="489E098C"/>
    <w:rsid w:val="48B61CC6"/>
    <w:rsid w:val="48D214CF"/>
    <w:rsid w:val="48F11FB7"/>
    <w:rsid w:val="492A5B50"/>
    <w:rsid w:val="49321AAF"/>
    <w:rsid w:val="493A681C"/>
    <w:rsid w:val="493C2E02"/>
    <w:rsid w:val="494D579F"/>
    <w:rsid w:val="496230D6"/>
    <w:rsid w:val="498C1FB1"/>
    <w:rsid w:val="4A255416"/>
    <w:rsid w:val="4A937164"/>
    <w:rsid w:val="4A9750EA"/>
    <w:rsid w:val="4AA40703"/>
    <w:rsid w:val="4B1D70C8"/>
    <w:rsid w:val="4B647634"/>
    <w:rsid w:val="4B690413"/>
    <w:rsid w:val="4BAA5230"/>
    <w:rsid w:val="4BB86F47"/>
    <w:rsid w:val="4BF60566"/>
    <w:rsid w:val="4C263A21"/>
    <w:rsid w:val="4C973694"/>
    <w:rsid w:val="4CB0081D"/>
    <w:rsid w:val="4CCE54E6"/>
    <w:rsid w:val="4CF41EE6"/>
    <w:rsid w:val="4D0B403A"/>
    <w:rsid w:val="4DE843F0"/>
    <w:rsid w:val="4E65731E"/>
    <w:rsid w:val="4EDD4EDE"/>
    <w:rsid w:val="4EE45C33"/>
    <w:rsid w:val="4F0D20A6"/>
    <w:rsid w:val="500C5A60"/>
    <w:rsid w:val="50461117"/>
    <w:rsid w:val="509A5F14"/>
    <w:rsid w:val="514005B6"/>
    <w:rsid w:val="51954E8A"/>
    <w:rsid w:val="519B5496"/>
    <w:rsid w:val="51D20DCB"/>
    <w:rsid w:val="524B3F1B"/>
    <w:rsid w:val="524E1636"/>
    <w:rsid w:val="52667895"/>
    <w:rsid w:val="52B20439"/>
    <w:rsid w:val="52F0152E"/>
    <w:rsid w:val="53735224"/>
    <w:rsid w:val="537D24F6"/>
    <w:rsid w:val="5395034E"/>
    <w:rsid w:val="543C05E0"/>
    <w:rsid w:val="547F3EAC"/>
    <w:rsid w:val="54B9651A"/>
    <w:rsid w:val="54F9389F"/>
    <w:rsid w:val="55222910"/>
    <w:rsid w:val="55416D75"/>
    <w:rsid w:val="555B396A"/>
    <w:rsid w:val="55643FAD"/>
    <w:rsid w:val="559032FC"/>
    <w:rsid w:val="55C46330"/>
    <w:rsid w:val="55EF2193"/>
    <w:rsid w:val="560165A7"/>
    <w:rsid w:val="560B3FD6"/>
    <w:rsid w:val="563121A3"/>
    <w:rsid w:val="563A5292"/>
    <w:rsid w:val="5646747A"/>
    <w:rsid w:val="567B0F8C"/>
    <w:rsid w:val="56D476A1"/>
    <w:rsid w:val="56F03CB1"/>
    <w:rsid w:val="574328BF"/>
    <w:rsid w:val="57EE58DD"/>
    <w:rsid w:val="584667E1"/>
    <w:rsid w:val="5884596F"/>
    <w:rsid w:val="59503C51"/>
    <w:rsid w:val="596036F9"/>
    <w:rsid w:val="598336AE"/>
    <w:rsid w:val="599B3F0F"/>
    <w:rsid w:val="59A2047A"/>
    <w:rsid w:val="59D35026"/>
    <w:rsid w:val="5A41650D"/>
    <w:rsid w:val="5A784BD0"/>
    <w:rsid w:val="5A7852B1"/>
    <w:rsid w:val="5AA97C90"/>
    <w:rsid w:val="5AE4319D"/>
    <w:rsid w:val="5B45342C"/>
    <w:rsid w:val="5B465BE3"/>
    <w:rsid w:val="5B494542"/>
    <w:rsid w:val="5C0042BF"/>
    <w:rsid w:val="5C7E5C8C"/>
    <w:rsid w:val="5CE90207"/>
    <w:rsid w:val="5D8D61EF"/>
    <w:rsid w:val="5E247FC8"/>
    <w:rsid w:val="5E3B759B"/>
    <w:rsid w:val="5E501568"/>
    <w:rsid w:val="5E50611E"/>
    <w:rsid w:val="5E872F8F"/>
    <w:rsid w:val="5EB138AE"/>
    <w:rsid w:val="5EB53035"/>
    <w:rsid w:val="5ECD3218"/>
    <w:rsid w:val="5ED23CC7"/>
    <w:rsid w:val="5EE6353D"/>
    <w:rsid w:val="5F0310B7"/>
    <w:rsid w:val="5F0C287E"/>
    <w:rsid w:val="5F5952B0"/>
    <w:rsid w:val="602E28A2"/>
    <w:rsid w:val="60C0423D"/>
    <w:rsid w:val="60E7450D"/>
    <w:rsid w:val="61383861"/>
    <w:rsid w:val="6166406C"/>
    <w:rsid w:val="618F3AF2"/>
    <w:rsid w:val="61BB6950"/>
    <w:rsid w:val="61DA68DC"/>
    <w:rsid w:val="622708C6"/>
    <w:rsid w:val="62460A47"/>
    <w:rsid w:val="63554C8E"/>
    <w:rsid w:val="63890B77"/>
    <w:rsid w:val="639D1EC4"/>
    <w:rsid w:val="63A13700"/>
    <w:rsid w:val="63DA03E2"/>
    <w:rsid w:val="643861FD"/>
    <w:rsid w:val="64541B77"/>
    <w:rsid w:val="64667487"/>
    <w:rsid w:val="646C214C"/>
    <w:rsid w:val="64E9282A"/>
    <w:rsid w:val="654650B5"/>
    <w:rsid w:val="65C63D9B"/>
    <w:rsid w:val="65F44762"/>
    <w:rsid w:val="66103AAA"/>
    <w:rsid w:val="667640C4"/>
    <w:rsid w:val="6697375D"/>
    <w:rsid w:val="66B2727E"/>
    <w:rsid w:val="66DC24A5"/>
    <w:rsid w:val="66DF3B52"/>
    <w:rsid w:val="67217323"/>
    <w:rsid w:val="672963E0"/>
    <w:rsid w:val="673D385C"/>
    <w:rsid w:val="675A4556"/>
    <w:rsid w:val="675C47D1"/>
    <w:rsid w:val="675E5725"/>
    <w:rsid w:val="679271B5"/>
    <w:rsid w:val="67AE1BA6"/>
    <w:rsid w:val="68191A65"/>
    <w:rsid w:val="68F60924"/>
    <w:rsid w:val="69572330"/>
    <w:rsid w:val="698C4C9E"/>
    <w:rsid w:val="69E719A0"/>
    <w:rsid w:val="6A166B97"/>
    <w:rsid w:val="6A5B0FA5"/>
    <w:rsid w:val="6A754FA8"/>
    <w:rsid w:val="6A897CE1"/>
    <w:rsid w:val="6A8D7853"/>
    <w:rsid w:val="6A983C35"/>
    <w:rsid w:val="6B020F0E"/>
    <w:rsid w:val="6B286759"/>
    <w:rsid w:val="6B4C2F45"/>
    <w:rsid w:val="6B887A7A"/>
    <w:rsid w:val="6B950017"/>
    <w:rsid w:val="6B966680"/>
    <w:rsid w:val="6C161AD0"/>
    <w:rsid w:val="6D157AE9"/>
    <w:rsid w:val="6D2E7D50"/>
    <w:rsid w:val="6D497D05"/>
    <w:rsid w:val="6D5B5957"/>
    <w:rsid w:val="6DB009C6"/>
    <w:rsid w:val="6DC10226"/>
    <w:rsid w:val="6DD90E21"/>
    <w:rsid w:val="6DE0162F"/>
    <w:rsid w:val="6DEC530C"/>
    <w:rsid w:val="6DFA3383"/>
    <w:rsid w:val="6E1A49C5"/>
    <w:rsid w:val="6E254EA7"/>
    <w:rsid w:val="6EBB30B7"/>
    <w:rsid w:val="6F786BDA"/>
    <w:rsid w:val="7018621E"/>
    <w:rsid w:val="709573C6"/>
    <w:rsid w:val="709E2354"/>
    <w:rsid w:val="70CC6C65"/>
    <w:rsid w:val="70E70772"/>
    <w:rsid w:val="71575648"/>
    <w:rsid w:val="71900429"/>
    <w:rsid w:val="719027A5"/>
    <w:rsid w:val="71C9496E"/>
    <w:rsid w:val="71EE76F7"/>
    <w:rsid w:val="722D2E1D"/>
    <w:rsid w:val="724D102D"/>
    <w:rsid w:val="725F0CAE"/>
    <w:rsid w:val="729670D4"/>
    <w:rsid w:val="72981180"/>
    <w:rsid w:val="729C09F9"/>
    <w:rsid w:val="72D46275"/>
    <w:rsid w:val="73155C46"/>
    <w:rsid w:val="7366194C"/>
    <w:rsid w:val="737612F8"/>
    <w:rsid w:val="74062834"/>
    <w:rsid w:val="740D552E"/>
    <w:rsid w:val="74136087"/>
    <w:rsid w:val="74641A6F"/>
    <w:rsid w:val="74A805D6"/>
    <w:rsid w:val="74A870B6"/>
    <w:rsid w:val="74FA0674"/>
    <w:rsid w:val="754F1383"/>
    <w:rsid w:val="75CC1D06"/>
    <w:rsid w:val="75DC198B"/>
    <w:rsid w:val="763F7244"/>
    <w:rsid w:val="764A2B58"/>
    <w:rsid w:val="76661B90"/>
    <w:rsid w:val="767F0302"/>
    <w:rsid w:val="76AC4DD6"/>
    <w:rsid w:val="76CD53F1"/>
    <w:rsid w:val="77731DCC"/>
    <w:rsid w:val="77F43C8B"/>
    <w:rsid w:val="78705669"/>
    <w:rsid w:val="789E35BC"/>
    <w:rsid w:val="78A33979"/>
    <w:rsid w:val="78FB1E09"/>
    <w:rsid w:val="795F6596"/>
    <w:rsid w:val="79BB4445"/>
    <w:rsid w:val="79CC1086"/>
    <w:rsid w:val="79EF28EF"/>
    <w:rsid w:val="7A0E66B3"/>
    <w:rsid w:val="7A300713"/>
    <w:rsid w:val="7A3B7268"/>
    <w:rsid w:val="7AB968E7"/>
    <w:rsid w:val="7AC65BFC"/>
    <w:rsid w:val="7B0735D8"/>
    <w:rsid w:val="7B0F7EA2"/>
    <w:rsid w:val="7B2F3DDD"/>
    <w:rsid w:val="7B4B41CD"/>
    <w:rsid w:val="7B5A24C6"/>
    <w:rsid w:val="7CDB4C9F"/>
    <w:rsid w:val="7D016D57"/>
    <w:rsid w:val="7D2B624D"/>
    <w:rsid w:val="7DB2592C"/>
    <w:rsid w:val="7EA630E7"/>
    <w:rsid w:val="7EB61058"/>
    <w:rsid w:val="7ECA37E8"/>
    <w:rsid w:val="7ED004CF"/>
    <w:rsid w:val="7F44372A"/>
    <w:rsid w:val="7F691199"/>
    <w:rsid w:val="7F9C17F8"/>
    <w:rsid w:val="7FA90BF5"/>
    <w:rsid w:val="7FAB2019"/>
    <w:rsid w:val="7FEC571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9">
    <w:name w:val="Default Paragraph Font"/>
    <w:unhideWhenUsed/>
    <w:qFormat/>
    <w:uiPriority w:val="1"/>
  </w:style>
  <w:style w:type="table" w:default="1" w:styleId="8">
    <w:name w:val="Normal Table"/>
    <w:unhideWhenUsed/>
    <w:qFormat/>
    <w:uiPriority w:val="99"/>
    <w:tblPr>
      <w:tblCellMar>
        <w:top w:w="0" w:type="dxa"/>
        <w:left w:w="108" w:type="dxa"/>
        <w:bottom w:w="0" w:type="dxa"/>
        <w:right w:w="108" w:type="dxa"/>
      </w:tblCellMar>
    </w:tblPr>
  </w:style>
  <w:style w:type="paragraph" w:styleId="2">
    <w:name w:val="annotation text"/>
    <w:basedOn w:val="1"/>
    <w:link w:val="13"/>
    <w:qFormat/>
    <w:uiPriority w:val="0"/>
    <w:pPr>
      <w:jc w:val="left"/>
    </w:pPr>
  </w:style>
  <w:style w:type="paragraph" w:styleId="3">
    <w:name w:val="Body Text Indent"/>
    <w:basedOn w:val="1"/>
    <w:unhideWhenUsed/>
    <w:qFormat/>
    <w:uiPriority w:val="0"/>
    <w:pPr>
      <w:ind w:firstLine="630"/>
    </w:pPr>
    <w:rPr>
      <w:kern w:val="0"/>
      <w:sz w:val="24"/>
    </w:rPr>
  </w:style>
  <w:style w:type="paragraph" w:styleId="4">
    <w:name w:val="Balloon Text"/>
    <w:basedOn w:val="1"/>
    <w:semiHidden/>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20"/>
    </w:rPr>
  </w:style>
  <w:style w:type="paragraph" w:styleId="7">
    <w:name w:val="annotation subject"/>
    <w:basedOn w:val="2"/>
    <w:next w:val="2"/>
    <w:link w:val="14"/>
    <w:qFormat/>
    <w:uiPriority w:val="0"/>
    <w:rPr>
      <w:b/>
      <w:bCs/>
    </w:rPr>
  </w:style>
  <w:style w:type="character" w:styleId="10">
    <w:name w:val="annotation reference"/>
    <w:qFormat/>
    <w:uiPriority w:val="0"/>
    <w:rPr>
      <w:sz w:val="21"/>
      <w:szCs w:val="21"/>
    </w:rPr>
  </w:style>
  <w:style w:type="paragraph" w:customStyle="1" w:styleId="11">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2">
    <w:name w:val="修订1"/>
    <w:unhideWhenUsed/>
    <w:qFormat/>
    <w:uiPriority w:val="99"/>
    <w:rPr>
      <w:rFonts w:ascii="Times New Roman" w:hAnsi="Times New Roman" w:eastAsia="宋体" w:cs="Times New Roman"/>
      <w:kern w:val="2"/>
      <w:sz w:val="21"/>
      <w:szCs w:val="24"/>
      <w:lang w:val="en-US" w:eastAsia="zh-CN" w:bidi="ar-SA"/>
    </w:rPr>
  </w:style>
  <w:style w:type="character" w:customStyle="1" w:styleId="13">
    <w:name w:val="批注文字 Char"/>
    <w:link w:val="2"/>
    <w:qFormat/>
    <w:uiPriority w:val="0"/>
    <w:rPr>
      <w:kern w:val="2"/>
      <w:sz w:val="21"/>
      <w:szCs w:val="24"/>
    </w:rPr>
  </w:style>
  <w:style w:type="character" w:customStyle="1" w:styleId="14">
    <w:name w:val="批注主题 Char"/>
    <w:link w:val="7"/>
    <w:qFormat/>
    <w:uiPriority w:val="0"/>
    <w:rPr>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18</Pages>
  <Words>18012</Words>
  <Characters>18468</Characters>
  <Lines>119</Lines>
  <Paragraphs>33</Paragraphs>
  <TotalTime>9</TotalTime>
  <ScaleCrop>false</ScaleCrop>
  <LinksUpToDate>false</LinksUpToDate>
  <CharactersWithSpaces>0</CharactersWithSpaces>
  <Application>WPS Office_11.8.2.12089_F1E327BC-269C-435d-A152-05C5408002CA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2023-04-17T05:41:00Z</dcterms:created>
  <dc:creator>ylh</dc:creator>
  <cp:keywords>23Y4</cp:keywords>
  <cp:lastModifiedBy>苏晨晓</cp:lastModifiedBy>
  <cp:lastPrinted>2021-07-21T07:06:00Z</cp:lastPrinted>
  <dcterms:modified xsi:type="dcterms:W3CDTF">2025-05-15T09:03:01Z</dcterms:modified>
  <dc:title>华夏理财固定收益增强型精选封闭式</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ICV">
    <vt:lpwstr>B2FAF3FF20534A5AB21DAD7C6448A325</vt:lpwstr>
  </property>
</Properties>
</file>