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30</w:t>
      </w:r>
      <w:r>
        <w:rPr>
          <w:rFonts w:hint="eastAsia" w:eastAsia="黑体"/>
          <w:bCs/>
          <w:kern w:val="2"/>
          <w:sz w:val="36"/>
          <w:szCs w:val="36"/>
        </w:rPr>
        <w:t>天理财产品</w:t>
      </w:r>
      <w:r>
        <w:rPr>
          <w:rFonts w:hint="eastAsia" w:eastAsia="黑体"/>
          <w:bCs/>
          <w:kern w:val="2"/>
          <w:sz w:val="36"/>
          <w:szCs w:val="36"/>
          <w:lang w:val="en-US" w:eastAsia="zh-CN"/>
        </w:rPr>
        <w:t>L</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一、理财非存款，产品有风险，投资须谨慎。</w:t>
            </w:r>
          </w:p>
          <w:p>
            <w:pPr>
              <w:adjustRightInd w:val="0"/>
              <w:snapToGrid w:val="0"/>
              <w:spacing w:line="400" w:lineRule="exact"/>
              <w:ind w:left="343" w:right="189" w:rightChars="90"/>
              <w:rPr>
                <w:rFonts w:hint="eastAsia" w:ascii="黑体" w:hAnsi="黑体" w:eastAsia="黑体" w:cs="黑体"/>
                <w:b/>
                <w:bCs w:val="0"/>
                <w:sz w:val="28"/>
                <w:szCs w:val="28"/>
                <w:highlight w:val="none"/>
                <w:u w:val="single"/>
              </w:rPr>
            </w:pPr>
            <w:r>
              <w:rPr>
                <w:rFonts w:hint="eastAsia" w:ascii="黑体" w:hAnsi="黑体" w:eastAsia="黑体" w:cs="黑体"/>
                <w:b/>
                <w:bCs w:val="0"/>
                <w:sz w:val="28"/>
                <w:szCs w:val="28"/>
                <w:highlight w:val="none"/>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如有</w:t>
            </w:r>
            <w:r>
              <w:rPr>
                <w:rFonts w:hint="eastAsia" w:ascii="黑体" w:hAnsi="黑体" w:eastAsia="黑体" w:cs="黑体"/>
                <w:b/>
                <w:bCs w:val="0"/>
                <w:sz w:val="28"/>
                <w:szCs w:val="28"/>
                <w:highlight w:val="none"/>
                <w:u w:val="single"/>
                <w:lang w:eastAsia="zh-CN"/>
              </w:rPr>
              <w:t>）</w:t>
            </w:r>
            <w:r>
              <w:rPr>
                <w:rFonts w:hint="eastAsia" w:ascii="黑体" w:hAnsi="黑体" w:eastAsia="黑体" w:cs="黑体"/>
                <w:b/>
                <w:bCs w:val="0"/>
                <w:sz w:val="28"/>
                <w:szCs w:val="28"/>
                <w:highlight w:val="none"/>
                <w:u w:val="single"/>
              </w:rPr>
              <w:t>不是预期收益率，不代表产品的未来表现和实际收益，不构成管理人对产品收益的承诺，投资者所能获得的最终收益以管理人根据本理财产品的投资运作情况实际支付给投资者的收益为准。</w:t>
            </w: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cs="黑体"/>
                <w:b/>
                <w:bCs w:val="0"/>
                <w:sz w:val="28"/>
                <w:szCs w:val="28"/>
                <w:highlight w:val="none"/>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30</w:t>
            </w:r>
            <w:r>
              <w:rPr>
                <w:rFonts w:hint="eastAsia" w:ascii="仿宋" w:hAnsi="仿宋" w:eastAsia="仿宋"/>
                <w:b/>
                <w:bCs/>
                <w:szCs w:val="21"/>
              </w:rPr>
              <w:t>天理财产品</w:t>
            </w:r>
            <w:r>
              <w:rPr>
                <w:rFonts w:hint="eastAsia" w:ascii="仿宋" w:hAnsi="仿宋" w:eastAsia="仿宋"/>
                <w:b/>
                <w:bCs/>
                <w:szCs w:val="21"/>
                <w:lang w:val="en-US" w:eastAsia="zh-CN"/>
              </w:rPr>
              <w:t>L</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份额简称：“华夏理财固收纯债最短持有30天</w:t>
            </w:r>
            <w:r>
              <w:rPr>
                <w:rFonts w:hint="eastAsia" w:ascii="仿宋" w:hAnsi="仿宋" w:eastAsia="仿宋"/>
                <w:b/>
                <w:bCs/>
                <w:szCs w:val="21"/>
                <w:lang w:val="en-US" w:eastAsia="zh-CN"/>
              </w:rPr>
              <w:t>L</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份额简称：“华夏理财固收纯债最短持有30天</w:t>
            </w:r>
            <w:r>
              <w:rPr>
                <w:rFonts w:hint="eastAsia" w:ascii="仿宋" w:hAnsi="仿宋" w:eastAsia="仿宋"/>
                <w:b/>
                <w:bCs/>
                <w:szCs w:val="21"/>
                <w:lang w:val="en-US" w:eastAsia="zh-CN"/>
              </w:rPr>
              <w:t>L</w:t>
            </w:r>
            <w:r>
              <w:rPr>
                <w:rFonts w:hint="eastAsia" w:ascii="仿宋" w:hAnsi="仿宋" w:eastAsia="仿宋"/>
                <w:b/>
                <w:bCs/>
                <w:szCs w:val="21"/>
              </w:rPr>
              <w:t>款</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H</w:t>
            </w:r>
            <w:r>
              <w:rPr>
                <w:rFonts w:hint="eastAsia" w:ascii="仿宋" w:hAnsi="仿宋" w:eastAsia="仿宋"/>
                <w:b/>
                <w:bCs/>
                <w:szCs w:val="21"/>
              </w:rPr>
              <w:t>份额简称：“华夏理财固收纯债最短持有30天</w:t>
            </w:r>
            <w:r>
              <w:rPr>
                <w:rFonts w:hint="eastAsia" w:ascii="仿宋" w:hAnsi="仿宋" w:eastAsia="仿宋"/>
                <w:b/>
                <w:bCs/>
                <w:szCs w:val="21"/>
                <w:lang w:val="en-US" w:eastAsia="zh-CN"/>
              </w:rPr>
              <w:t>L</w:t>
            </w:r>
            <w:r>
              <w:rPr>
                <w:rFonts w:hint="eastAsia" w:ascii="仿宋" w:hAnsi="仿宋" w:eastAsia="仿宋"/>
                <w:b/>
                <w:bCs/>
                <w:szCs w:val="21"/>
              </w:rPr>
              <w:t>款</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T</w:t>
            </w:r>
            <w:r>
              <w:rPr>
                <w:rFonts w:hint="eastAsia" w:ascii="仿宋" w:hAnsi="仿宋" w:eastAsia="仿宋"/>
                <w:b/>
                <w:bCs/>
                <w:szCs w:val="21"/>
              </w:rPr>
              <w:t>份额简称：“固收纯债最短持有30天</w:t>
            </w:r>
            <w:r>
              <w:rPr>
                <w:rFonts w:hint="eastAsia" w:ascii="仿宋" w:hAnsi="仿宋" w:eastAsia="仿宋"/>
                <w:b/>
                <w:bCs/>
                <w:szCs w:val="21"/>
                <w:lang w:val="en-US" w:eastAsia="zh-CN"/>
              </w:rPr>
              <w:t>L</w:t>
            </w:r>
            <w:r>
              <w:rPr>
                <w:rFonts w:hint="eastAsia" w:ascii="仿宋" w:hAnsi="仿宋" w:eastAsia="仿宋"/>
                <w:b/>
                <w:bCs/>
                <w:szCs w:val="21"/>
              </w:rPr>
              <w:t>款</w:t>
            </w:r>
            <w:r>
              <w:rPr>
                <w:rFonts w:hint="eastAsia" w:ascii="仿宋" w:hAnsi="仿宋" w:eastAsia="仿宋"/>
                <w:b/>
                <w:bCs/>
                <w:szCs w:val="21"/>
                <w:lang w:val="en-US" w:eastAsia="zh-CN"/>
              </w:rPr>
              <w:t>T（特邀专享）</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25115011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份额：25115011</w:t>
            </w:r>
            <w:r>
              <w:rPr>
                <w:rFonts w:hint="eastAsia" w:ascii="仿宋" w:hAnsi="仿宋" w:eastAsia="仿宋"/>
                <w:szCs w:val="21"/>
                <w:highlight w:val="none"/>
                <w:lang w:val="en-US" w:eastAsia="zh-CN"/>
              </w:rPr>
              <w:t>A</w:t>
            </w:r>
          </w:p>
          <w:p>
            <w:pPr>
              <w:keepNext/>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B</w:t>
            </w:r>
            <w:r>
              <w:rPr>
                <w:rFonts w:hint="eastAsia" w:ascii="仿宋" w:hAnsi="仿宋" w:eastAsia="仿宋"/>
                <w:bCs/>
                <w:szCs w:val="21"/>
                <w:highlight w:val="none"/>
              </w:rPr>
              <w:t>份额：25115011</w:t>
            </w:r>
            <w:r>
              <w:rPr>
                <w:rFonts w:hint="eastAsia" w:ascii="仿宋" w:hAnsi="仿宋" w:eastAsia="仿宋"/>
                <w:bCs/>
                <w:szCs w:val="21"/>
                <w:highlight w:val="none"/>
                <w:lang w:val="en-US" w:eastAsia="zh-CN"/>
              </w:rPr>
              <w:t>B</w:t>
            </w:r>
          </w:p>
          <w:p>
            <w:pPr>
              <w:keepNext/>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H</w:t>
            </w:r>
            <w:r>
              <w:rPr>
                <w:rFonts w:hint="eastAsia" w:ascii="仿宋" w:hAnsi="仿宋" w:eastAsia="仿宋"/>
                <w:bCs/>
                <w:szCs w:val="21"/>
                <w:highlight w:val="none"/>
              </w:rPr>
              <w:t>份额：25115011</w:t>
            </w:r>
            <w:r>
              <w:rPr>
                <w:rFonts w:hint="eastAsia" w:ascii="仿宋" w:hAnsi="仿宋" w:eastAsia="仿宋"/>
                <w:bCs/>
                <w:szCs w:val="21"/>
                <w:highlight w:val="none"/>
                <w:lang w:val="en-US" w:eastAsia="zh-CN"/>
              </w:rPr>
              <w:t>H</w:t>
            </w:r>
          </w:p>
          <w:p>
            <w:pPr>
              <w:keepNext/>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val="en-US" w:eastAsia="zh-CN"/>
              </w:rPr>
              <w:t>T</w:t>
            </w:r>
            <w:r>
              <w:rPr>
                <w:rFonts w:hint="eastAsia" w:ascii="仿宋" w:hAnsi="仿宋" w:eastAsia="仿宋"/>
                <w:bCs/>
                <w:szCs w:val="21"/>
                <w:highlight w:val="none"/>
              </w:rPr>
              <w:t>份额：25115011</w:t>
            </w:r>
            <w:r>
              <w:rPr>
                <w:rFonts w:hint="eastAsia" w:ascii="仿宋" w:hAnsi="仿宋" w:eastAsia="仿宋"/>
                <w:bCs/>
                <w:szCs w:val="21"/>
                <w:highlight w:val="none"/>
                <w:lang w:val="en-US" w:eastAsia="zh-CN"/>
              </w:rPr>
              <w:t>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Z7003925000143</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lang w:val="en-US"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szCs w:val="21"/>
                <w:u w:val="single"/>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ascii="仿宋" w:hAnsi="仿宋" w:eastAsia="仿宋"/>
                <w:bCs/>
                <w:szCs w:val="21"/>
                <w:highlight w:val="none"/>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1.80%-2.80%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1.65%-2.65%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1.55%-2.55%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T</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1.80%-2.80%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w:t>
            </w:r>
            <w:r>
              <w:rPr>
                <w:rFonts w:hint="eastAsia" w:ascii="仿宋" w:hAnsi="仿宋" w:eastAsia="仿宋"/>
                <w:b/>
                <w:bCs/>
                <w:szCs w:val="21"/>
                <w:highlight w:val="none"/>
              </w:rPr>
              <w:t>不构成对产品收益的承诺，</w:t>
            </w:r>
            <w:r>
              <w:rPr>
                <w:rFonts w:hint="eastAsia" w:ascii="仿宋" w:hAnsi="仿宋" w:eastAsia="仿宋"/>
                <w:b/>
                <w:bCs/>
                <w:szCs w:val="21"/>
              </w:rPr>
              <w:t>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szCs w:val="21"/>
                <w:highlight w:val="none"/>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highlight w:val="none"/>
                <w:lang w:eastAsia="zh-CN"/>
              </w:rPr>
            </w:pPr>
            <w:r>
              <w:rPr>
                <w:rFonts w:hint="eastAsia" w:ascii="仿宋" w:hAnsi="仿宋" w:eastAsia="仿宋"/>
                <w:bCs/>
                <w:szCs w:val="21"/>
                <w:highlight w:val="none"/>
              </w:rPr>
              <w:t>工作日指上海证券交易所和深圳证券交易所的交易日，且同时为银行对外办理一般对公业务的工作日</w:t>
            </w:r>
            <w:r>
              <w:rPr>
                <w:rFonts w:hint="eastAsia" w:ascii="仿宋" w:hAnsi="仿宋" w:eastAsia="仿宋"/>
                <w:bCs/>
                <w:szCs w:val="21"/>
                <w:highlight w:val="none"/>
                <w:lang w:eastAsia="zh-CN"/>
              </w:rPr>
              <w:t>。</w:t>
            </w:r>
          </w:p>
          <w:p>
            <w:pPr>
              <w:adjustRightInd w:val="0"/>
              <w:snapToGrid w:val="0"/>
              <w:spacing w:line="240" w:lineRule="atLeast"/>
              <w:ind w:right="0" w:firstLine="420" w:firstLineChars="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highlight w:val="none"/>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30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30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w:t>
            </w:r>
            <w:r>
              <w:rPr>
                <w:rFonts w:hint="eastAsia" w:ascii="仿宋" w:hAnsi="仿宋" w:eastAsia="仿宋"/>
                <w:bCs/>
                <w:szCs w:val="21"/>
              </w:rPr>
              <w:t>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B</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H</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T</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color w:val="000000"/>
          <w:kern w:val="0"/>
          <w:sz w:val="24"/>
          <w:highlight w:val="none"/>
        </w:rPr>
        <w:t>3</w:t>
      </w:r>
      <w:r>
        <w:rPr>
          <w:rFonts w:hint="eastAsia" w:ascii="仿宋" w:hAnsi="仿宋" w:eastAsia="仿宋" w:cs="宋体"/>
          <w:color w:val="000000"/>
          <w:kern w:val="0"/>
          <w:sz w:val="24"/>
          <w:highlight w:val="none"/>
          <w:lang w:val="en-US" w:eastAsia="zh-CN"/>
        </w:rPr>
        <w:t>.</w:t>
      </w:r>
      <w:r>
        <w:rPr>
          <w:rFonts w:hint="eastAsia" w:ascii="仿宋" w:hAnsi="仿宋" w:eastAsia="仿宋" w:cs="宋体"/>
          <w:color w:val="000000"/>
          <w:kern w:val="0"/>
          <w:sz w:val="24"/>
          <w:highlight w:val="none"/>
        </w:rPr>
        <w:t>本理财产品申购和赎回采用“未知价”原则，即本产品申购申请和赎回申请提交时，适用的产品份额净值都是未知的。适用的产品份额净值</w:t>
      </w:r>
      <w:r>
        <w:rPr>
          <w:rFonts w:hint="eastAsia" w:ascii="仿宋" w:hAnsi="仿宋" w:eastAsia="仿宋" w:cs="宋体"/>
          <w:color w:val="000000"/>
          <w:kern w:val="0"/>
          <w:sz w:val="24"/>
          <w:highlight w:val="none"/>
          <w:lang w:eastAsia="zh-CN"/>
        </w:rPr>
        <w:t>，</w:t>
      </w:r>
      <w:r>
        <w:rPr>
          <w:rFonts w:hint="eastAsia" w:ascii="仿宋" w:hAnsi="仿宋" w:eastAsia="仿宋" w:cs="宋体"/>
          <w:color w:val="000000"/>
          <w:kern w:val="0"/>
          <w:sz w:val="24"/>
          <w:highlight w:val="none"/>
          <w:lang w:val="en-US" w:eastAsia="zh-CN"/>
        </w:rPr>
        <w:t>详见“份额净值公告日”“九、信息披露”</w:t>
      </w:r>
      <w:r>
        <w:rPr>
          <w:rFonts w:hint="eastAsia" w:ascii="仿宋" w:hAnsi="仿宋" w:eastAsia="仿宋" w:cs="宋体"/>
          <w:color w:val="000000"/>
          <w:kern w:val="0"/>
          <w:sz w:val="24"/>
          <w:highlight w:val="none"/>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bCs/>
          <w:color w:val="000000"/>
          <w:sz w:val="24"/>
          <w:lang w:val="en-US" w:eastAsia="zh-CN"/>
        </w:rPr>
        <w:t>.</w:t>
      </w:r>
      <w:r>
        <w:rPr>
          <w:rFonts w:hint="eastAsia" w:ascii="仿宋" w:hAnsi="仿宋" w:eastAsia="仿宋"/>
          <w:bCs/>
          <w:color w:val="000000"/>
          <w:sz w:val="24"/>
        </w:rPr>
        <w:t>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w:t>
      </w:r>
      <w:r>
        <w:rPr>
          <w:rFonts w:hint="eastAsia" w:ascii="仿宋" w:hAnsi="仿宋" w:eastAsia="仿宋" w:cs="宋体"/>
          <w:color w:val="000000"/>
          <w:kern w:val="0"/>
          <w:sz w:val="24"/>
          <w:lang w:val="en-US" w:eastAsia="zh-CN"/>
        </w:rPr>
        <w:t>.</w:t>
      </w:r>
      <w:r>
        <w:rPr>
          <w:rFonts w:hint="eastAsia" w:ascii="仿宋" w:hAnsi="仿宋" w:eastAsia="仿宋" w:cs="宋体"/>
          <w:color w:val="000000"/>
          <w:kern w:val="0"/>
          <w:sz w:val="24"/>
        </w:rPr>
        <w:t>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w:t>
      </w:r>
      <w:r>
        <w:rPr>
          <w:rFonts w:hint="eastAsia" w:eastAsia="黑体"/>
          <w:b/>
          <w:color w:val="000000"/>
          <w:sz w:val="24"/>
          <w:highlight w:val="none"/>
        </w:rPr>
        <w:t>不等于预期收益，</w:t>
      </w:r>
      <w:r>
        <w:rPr>
          <w:rFonts w:hint="eastAsia" w:eastAsia="黑体"/>
          <w:b/>
          <w:color w:val="000000"/>
          <w:sz w:val="24"/>
        </w:rPr>
        <w:t>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before="156" w:beforeLines="50" w:after="156" w:afterLines="50" w:line="400" w:lineRule="exact"/>
        <w:ind w:firstLine="480" w:firstLineChars="200"/>
        <w:jc w:val="both"/>
        <w:outlineLvl w:val="0"/>
        <w:rPr>
          <w:rFonts w:ascii="Times New Roman" w:eastAsia="黑体" w:cs="Times New Roman"/>
          <w:b/>
          <w:color w:val="auto"/>
        </w:rPr>
      </w:pPr>
      <w:r>
        <w:rPr>
          <w:rFonts w:hint="eastAsia" w:ascii="仿宋" w:hAnsi="仿宋" w:eastAsia="仿宋" w:cs="仿宋"/>
          <w:color w:val="000000"/>
          <w:sz w:val="24"/>
          <w:szCs w:val="24"/>
          <w:lang w:val="en-US" w:eastAsia="zh-CN" w:bidi="ar-SA"/>
        </w:rPr>
        <w:t>管理人和托管人将采取必要、适当合理的措施确保产品资产估值的准确性、及时性。</w:t>
      </w:r>
      <w:r>
        <w:rPr>
          <w:rFonts w:hint="eastAsia" w:ascii="仿宋" w:hAnsi="仿宋" w:eastAsia="仿宋" w:cs="仿宋"/>
          <w:color w:val="000000"/>
          <w:sz w:val="24"/>
          <w:szCs w:val="24"/>
          <w:highlight w:val="none"/>
          <w:lang w:val="en-US" w:eastAsia="zh-CN" w:bidi="ar-SA"/>
        </w:rPr>
        <w:t>当估值出现错误时，</w:t>
      </w:r>
      <w:r>
        <w:rPr>
          <w:rFonts w:hint="eastAsia" w:ascii="仿宋" w:hAnsi="仿宋" w:eastAsia="仿宋" w:cs="仿宋"/>
          <w:color w:val="000000"/>
          <w:sz w:val="24"/>
          <w:szCs w:val="24"/>
          <w:lang w:val="en-US" w:eastAsia="zh-CN" w:bidi="ar-SA"/>
        </w:rPr>
        <w:t>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w:t>
      </w:r>
      <w:r>
        <w:rPr>
          <w:rFonts w:hint="eastAsia" w:ascii="仿宋" w:hAnsi="仿宋" w:eastAsia="仿宋" w:cs="仿宋"/>
          <w:color w:val="000000"/>
          <w:sz w:val="24"/>
          <w:szCs w:val="24"/>
          <w:highlight w:val="none"/>
          <w:lang w:val="en-US" w:eastAsia="zh-CN" w:bidi="ar-SA"/>
        </w:rPr>
        <w:t>管理人和托管人可以在法律法规允许的范围内免除赔偿责任。</w:t>
      </w:r>
      <w:r>
        <w:rPr>
          <w:rFonts w:hint="eastAsia" w:ascii="仿宋" w:hAnsi="仿宋" w:eastAsia="仿宋" w:cs="仿宋"/>
          <w:color w:val="000000"/>
          <w:sz w:val="24"/>
          <w:szCs w:val="24"/>
          <w:lang w:val="en-US" w:eastAsia="zh-CN" w:bidi="ar-SA"/>
        </w:rPr>
        <w:t>但管理人和托管人应当积极采取必要的措施消除由此造成的影响。</w:t>
      </w:r>
      <w:r>
        <w:rPr>
          <w:rFonts w:hint="eastAsia" w:ascii="仿宋" w:hAnsi="仿宋" w:eastAsia="仿宋" w:cs="仿宋"/>
          <w:b/>
          <w:color w:val="000000"/>
          <w:sz w:val="24"/>
          <w:szCs w:val="24"/>
          <w:lang w:val="en-US" w:eastAsia="zh-CN" w:bidi="ar-SA"/>
        </w:rPr>
        <w:t>当估值出现错误时，因估值错误而获得不当得利的投资者负有及时返还不当得利的义务。</w:t>
      </w: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5F6C54"/>
    <w:rsid w:val="026A609C"/>
    <w:rsid w:val="03357777"/>
    <w:rsid w:val="03DB06FE"/>
    <w:rsid w:val="046E56D3"/>
    <w:rsid w:val="04735FAC"/>
    <w:rsid w:val="049D2AC6"/>
    <w:rsid w:val="04B16B62"/>
    <w:rsid w:val="05215177"/>
    <w:rsid w:val="06106106"/>
    <w:rsid w:val="06490B74"/>
    <w:rsid w:val="06996718"/>
    <w:rsid w:val="06E52844"/>
    <w:rsid w:val="07026ACD"/>
    <w:rsid w:val="07594BE3"/>
    <w:rsid w:val="08961A5A"/>
    <w:rsid w:val="08A96CC2"/>
    <w:rsid w:val="08D03FC7"/>
    <w:rsid w:val="09883C32"/>
    <w:rsid w:val="0A0F44CD"/>
    <w:rsid w:val="0A262D36"/>
    <w:rsid w:val="0AA97A8C"/>
    <w:rsid w:val="0B047D48"/>
    <w:rsid w:val="0B9C5D9B"/>
    <w:rsid w:val="0BA27F6B"/>
    <w:rsid w:val="0C510FA4"/>
    <w:rsid w:val="0C9E5955"/>
    <w:rsid w:val="0CA44810"/>
    <w:rsid w:val="0D4C0E51"/>
    <w:rsid w:val="0D511F69"/>
    <w:rsid w:val="0D5A24E8"/>
    <w:rsid w:val="0D7660B3"/>
    <w:rsid w:val="0D7B0DD1"/>
    <w:rsid w:val="0DC52C23"/>
    <w:rsid w:val="0DF70178"/>
    <w:rsid w:val="0DFC4600"/>
    <w:rsid w:val="0E3C3C0F"/>
    <w:rsid w:val="0E966946"/>
    <w:rsid w:val="0EE542A1"/>
    <w:rsid w:val="0F0E3C1D"/>
    <w:rsid w:val="0F2862EC"/>
    <w:rsid w:val="0F5C7A3F"/>
    <w:rsid w:val="0F806FD5"/>
    <w:rsid w:val="0FE53808"/>
    <w:rsid w:val="105D61FB"/>
    <w:rsid w:val="10AF5991"/>
    <w:rsid w:val="117C0D4E"/>
    <w:rsid w:val="11915461"/>
    <w:rsid w:val="11BB3DB9"/>
    <w:rsid w:val="11D21B30"/>
    <w:rsid w:val="123B658C"/>
    <w:rsid w:val="12822D5D"/>
    <w:rsid w:val="12AD4D73"/>
    <w:rsid w:val="12CD4972"/>
    <w:rsid w:val="12F94420"/>
    <w:rsid w:val="12FA2A1E"/>
    <w:rsid w:val="12FB08EA"/>
    <w:rsid w:val="131342D8"/>
    <w:rsid w:val="13A41388"/>
    <w:rsid w:val="13B35082"/>
    <w:rsid w:val="142741A0"/>
    <w:rsid w:val="14904AC9"/>
    <w:rsid w:val="14FD2EFF"/>
    <w:rsid w:val="152A1DB0"/>
    <w:rsid w:val="15591F94"/>
    <w:rsid w:val="155D4436"/>
    <w:rsid w:val="16244EE0"/>
    <w:rsid w:val="1637208E"/>
    <w:rsid w:val="16457F02"/>
    <w:rsid w:val="1675525F"/>
    <w:rsid w:val="169510B8"/>
    <w:rsid w:val="16B5042D"/>
    <w:rsid w:val="16DD4AF1"/>
    <w:rsid w:val="16F92E7F"/>
    <w:rsid w:val="17485042"/>
    <w:rsid w:val="174C5C47"/>
    <w:rsid w:val="178D27B4"/>
    <w:rsid w:val="17D96B2F"/>
    <w:rsid w:val="182014A2"/>
    <w:rsid w:val="18294E04"/>
    <w:rsid w:val="1892050E"/>
    <w:rsid w:val="18D80C51"/>
    <w:rsid w:val="18EE0BF6"/>
    <w:rsid w:val="18FF0F1B"/>
    <w:rsid w:val="198557BA"/>
    <w:rsid w:val="19B51D3A"/>
    <w:rsid w:val="19CE04CC"/>
    <w:rsid w:val="1A707A6D"/>
    <w:rsid w:val="1A7D6D25"/>
    <w:rsid w:val="1A816486"/>
    <w:rsid w:val="1A893942"/>
    <w:rsid w:val="1A907FA2"/>
    <w:rsid w:val="1AD533CC"/>
    <w:rsid w:val="1B1979B8"/>
    <w:rsid w:val="1B5F5984"/>
    <w:rsid w:val="1BA64FD1"/>
    <w:rsid w:val="1BBC5A18"/>
    <w:rsid w:val="1BE97487"/>
    <w:rsid w:val="1BF324E3"/>
    <w:rsid w:val="1C6357AF"/>
    <w:rsid w:val="1CAC5E2B"/>
    <w:rsid w:val="1CDE6CA8"/>
    <w:rsid w:val="1CDF5587"/>
    <w:rsid w:val="1CF10D78"/>
    <w:rsid w:val="1D023468"/>
    <w:rsid w:val="1D0736D5"/>
    <w:rsid w:val="1D5D728B"/>
    <w:rsid w:val="1D795BF8"/>
    <w:rsid w:val="1DA25A16"/>
    <w:rsid w:val="1E356AFA"/>
    <w:rsid w:val="1E724912"/>
    <w:rsid w:val="1E8F70B8"/>
    <w:rsid w:val="1E936936"/>
    <w:rsid w:val="1EF92678"/>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6A62AE"/>
    <w:rsid w:val="24A91031"/>
    <w:rsid w:val="2540580E"/>
    <w:rsid w:val="254A0B53"/>
    <w:rsid w:val="25665B19"/>
    <w:rsid w:val="25A847D7"/>
    <w:rsid w:val="25E72FA7"/>
    <w:rsid w:val="25F136D0"/>
    <w:rsid w:val="265C3192"/>
    <w:rsid w:val="273147E4"/>
    <w:rsid w:val="27487015"/>
    <w:rsid w:val="27860676"/>
    <w:rsid w:val="27A50231"/>
    <w:rsid w:val="27C23CBB"/>
    <w:rsid w:val="27F10C26"/>
    <w:rsid w:val="28164551"/>
    <w:rsid w:val="28347384"/>
    <w:rsid w:val="287A4275"/>
    <w:rsid w:val="29711978"/>
    <w:rsid w:val="298634AE"/>
    <w:rsid w:val="2A264DE3"/>
    <w:rsid w:val="2A567387"/>
    <w:rsid w:val="2AC21136"/>
    <w:rsid w:val="2AED21E9"/>
    <w:rsid w:val="2B3649F4"/>
    <w:rsid w:val="2B4675FA"/>
    <w:rsid w:val="2B754BBC"/>
    <w:rsid w:val="2BB602C5"/>
    <w:rsid w:val="2BD85FC4"/>
    <w:rsid w:val="2BF50AB4"/>
    <w:rsid w:val="2C1C5AFD"/>
    <w:rsid w:val="2CDB7E63"/>
    <w:rsid w:val="2CFD4D5E"/>
    <w:rsid w:val="2D434FF8"/>
    <w:rsid w:val="2D5839A1"/>
    <w:rsid w:val="2DA05DCE"/>
    <w:rsid w:val="2DE41D0A"/>
    <w:rsid w:val="2E5A643D"/>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C179AB"/>
    <w:rsid w:val="33D9561C"/>
    <w:rsid w:val="33F3040F"/>
    <w:rsid w:val="34854AB1"/>
    <w:rsid w:val="34A63F82"/>
    <w:rsid w:val="34BF4198"/>
    <w:rsid w:val="350A7012"/>
    <w:rsid w:val="360161F0"/>
    <w:rsid w:val="36050641"/>
    <w:rsid w:val="361F6B5B"/>
    <w:rsid w:val="36365F0F"/>
    <w:rsid w:val="365C6B3D"/>
    <w:rsid w:val="372651A6"/>
    <w:rsid w:val="379A4E61"/>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E5458B6"/>
    <w:rsid w:val="3F9503E1"/>
    <w:rsid w:val="3F996600"/>
    <w:rsid w:val="3F9F2502"/>
    <w:rsid w:val="3FAF3A61"/>
    <w:rsid w:val="401A73E5"/>
    <w:rsid w:val="40217FC5"/>
    <w:rsid w:val="40270632"/>
    <w:rsid w:val="406E4841"/>
    <w:rsid w:val="40897331"/>
    <w:rsid w:val="41084885"/>
    <w:rsid w:val="413B574D"/>
    <w:rsid w:val="41464524"/>
    <w:rsid w:val="41637739"/>
    <w:rsid w:val="41A75327"/>
    <w:rsid w:val="41B86DE1"/>
    <w:rsid w:val="42511776"/>
    <w:rsid w:val="425C3FD4"/>
    <w:rsid w:val="42726493"/>
    <w:rsid w:val="42B0740D"/>
    <w:rsid w:val="43707326"/>
    <w:rsid w:val="445A007F"/>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AFC5F30"/>
    <w:rsid w:val="4B041272"/>
    <w:rsid w:val="4B9A6CD9"/>
    <w:rsid w:val="4C4E6541"/>
    <w:rsid w:val="4CB96201"/>
    <w:rsid w:val="4CC42E4B"/>
    <w:rsid w:val="4CD55DF0"/>
    <w:rsid w:val="4DA41B7F"/>
    <w:rsid w:val="4DED30E6"/>
    <w:rsid w:val="4E006899"/>
    <w:rsid w:val="4E4604CC"/>
    <w:rsid w:val="4E6B607B"/>
    <w:rsid w:val="4E7E67D5"/>
    <w:rsid w:val="4E834167"/>
    <w:rsid w:val="4EE704C2"/>
    <w:rsid w:val="4F2A08E3"/>
    <w:rsid w:val="500E145A"/>
    <w:rsid w:val="500E49CD"/>
    <w:rsid w:val="500F1CD5"/>
    <w:rsid w:val="50660C8E"/>
    <w:rsid w:val="50F30A3E"/>
    <w:rsid w:val="511D25A1"/>
    <w:rsid w:val="5143646D"/>
    <w:rsid w:val="51695710"/>
    <w:rsid w:val="51A36407"/>
    <w:rsid w:val="51D60B75"/>
    <w:rsid w:val="51D91B25"/>
    <w:rsid w:val="5202225E"/>
    <w:rsid w:val="521557F3"/>
    <w:rsid w:val="52C77658"/>
    <w:rsid w:val="52DB0D77"/>
    <w:rsid w:val="52DD2582"/>
    <w:rsid w:val="52F7312C"/>
    <w:rsid w:val="531371D9"/>
    <w:rsid w:val="5338034D"/>
    <w:rsid w:val="534D6B8D"/>
    <w:rsid w:val="53BF0718"/>
    <w:rsid w:val="53CB4BF0"/>
    <w:rsid w:val="54235091"/>
    <w:rsid w:val="557C383A"/>
    <w:rsid w:val="55D16771"/>
    <w:rsid w:val="56444969"/>
    <w:rsid w:val="56516960"/>
    <w:rsid w:val="57176092"/>
    <w:rsid w:val="57262273"/>
    <w:rsid w:val="575C7B62"/>
    <w:rsid w:val="57DD0263"/>
    <w:rsid w:val="58083A83"/>
    <w:rsid w:val="581B10FA"/>
    <w:rsid w:val="582156EE"/>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652264"/>
    <w:rsid w:val="5D68588E"/>
    <w:rsid w:val="5D790E7F"/>
    <w:rsid w:val="5DC24B3C"/>
    <w:rsid w:val="5DC63A4E"/>
    <w:rsid w:val="5DED53D1"/>
    <w:rsid w:val="5DF9040C"/>
    <w:rsid w:val="5DFA1B40"/>
    <w:rsid w:val="5E1B7959"/>
    <w:rsid w:val="5E870BD3"/>
    <w:rsid w:val="5E9034C7"/>
    <w:rsid w:val="5EAD142E"/>
    <w:rsid w:val="5EC928D2"/>
    <w:rsid w:val="5EF76013"/>
    <w:rsid w:val="5EFE5A8B"/>
    <w:rsid w:val="5F3F3BFD"/>
    <w:rsid w:val="5F7071A8"/>
    <w:rsid w:val="5FC6181B"/>
    <w:rsid w:val="60066955"/>
    <w:rsid w:val="601211DC"/>
    <w:rsid w:val="60292197"/>
    <w:rsid w:val="610C5CC5"/>
    <w:rsid w:val="612829F8"/>
    <w:rsid w:val="614A2248"/>
    <w:rsid w:val="619A0DA9"/>
    <w:rsid w:val="61C43619"/>
    <w:rsid w:val="61D5318F"/>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370C8B"/>
    <w:rsid w:val="68370CCC"/>
    <w:rsid w:val="684D7DEF"/>
    <w:rsid w:val="68585ADF"/>
    <w:rsid w:val="685A6AFA"/>
    <w:rsid w:val="687212D9"/>
    <w:rsid w:val="68A77809"/>
    <w:rsid w:val="68C94029"/>
    <w:rsid w:val="695217DC"/>
    <w:rsid w:val="69923628"/>
    <w:rsid w:val="69C37032"/>
    <w:rsid w:val="6A2C55E6"/>
    <w:rsid w:val="6AB14817"/>
    <w:rsid w:val="6AFC54E5"/>
    <w:rsid w:val="6B2F26F6"/>
    <w:rsid w:val="6B895F90"/>
    <w:rsid w:val="6BD916EE"/>
    <w:rsid w:val="6CCA1A7F"/>
    <w:rsid w:val="6DD3641A"/>
    <w:rsid w:val="6E035291"/>
    <w:rsid w:val="6E1206A4"/>
    <w:rsid w:val="6E5A3D7E"/>
    <w:rsid w:val="6E9A7E4D"/>
    <w:rsid w:val="6F961B22"/>
    <w:rsid w:val="6FDB28A3"/>
    <w:rsid w:val="703933A1"/>
    <w:rsid w:val="70AA0758"/>
    <w:rsid w:val="70B61502"/>
    <w:rsid w:val="70CE17C7"/>
    <w:rsid w:val="70F5166C"/>
    <w:rsid w:val="71981EC0"/>
    <w:rsid w:val="71CB3438"/>
    <w:rsid w:val="71EF5ACB"/>
    <w:rsid w:val="72145BFB"/>
    <w:rsid w:val="722B706A"/>
    <w:rsid w:val="723369CC"/>
    <w:rsid w:val="723B233B"/>
    <w:rsid w:val="724F5D5C"/>
    <w:rsid w:val="72595DB6"/>
    <w:rsid w:val="728E0A16"/>
    <w:rsid w:val="729371FE"/>
    <w:rsid w:val="72C43ABF"/>
    <w:rsid w:val="72E929DE"/>
    <w:rsid w:val="72EF2B1D"/>
    <w:rsid w:val="7339492E"/>
    <w:rsid w:val="738D015F"/>
    <w:rsid w:val="73990B03"/>
    <w:rsid w:val="740D5779"/>
    <w:rsid w:val="745751F5"/>
    <w:rsid w:val="74892FD1"/>
    <w:rsid w:val="74BF749C"/>
    <w:rsid w:val="74FB18F9"/>
    <w:rsid w:val="7556075B"/>
    <w:rsid w:val="75616560"/>
    <w:rsid w:val="75974B0E"/>
    <w:rsid w:val="759E1CB6"/>
    <w:rsid w:val="75E066F3"/>
    <w:rsid w:val="75E158E8"/>
    <w:rsid w:val="75F80517"/>
    <w:rsid w:val="762D67F3"/>
    <w:rsid w:val="76416127"/>
    <w:rsid w:val="76905714"/>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721356"/>
    <w:rsid w:val="79B75ECC"/>
    <w:rsid w:val="79E45FD6"/>
    <w:rsid w:val="7A434AE5"/>
    <w:rsid w:val="7A4E6090"/>
    <w:rsid w:val="7A52270E"/>
    <w:rsid w:val="7AD0105B"/>
    <w:rsid w:val="7AF92581"/>
    <w:rsid w:val="7B044A15"/>
    <w:rsid w:val="7B170E00"/>
    <w:rsid w:val="7B3057E8"/>
    <w:rsid w:val="7B471A04"/>
    <w:rsid w:val="7B655D19"/>
    <w:rsid w:val="7B783650"/>
    <w:rsid w:val="7B8B6C3F"/>
    <w:rsid w:val="7C4B18EE"/>
    <w:rsid w:val="7C721F5F"/>
    <w:rsid w:val="7C7D36C4"/>
    <w:rsid w:val="7D197A3B"/>
    <w:rsid w:val="7D1F7EDB"/>
    <w:rsid w:val="7D3707EB"/>
    <w:rsid w:val="7DAC4B36"/>
    <w:rsid w:val="7E431677"/>
    <w:rsid w:val="7E535AE5"/>
    <w:rsid w:val="7E5572E2"/>
    <w:rsid w:val="7E9A3A0C"/>
    <w:rsid w:val="7EA65F0F"/>
    <w:rsid w:val="7EB92BD0"/>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3016</Words>
  <Characters>17195</Characters>
  <Lines>143</Lines>
  <Paragraphs>40</Paragraphs>
  <TotalTime>19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张玲榕</cp:lastModifiedBy>
  <dcterms:modified xsi:type="dcterms:W3CDTF">2025-06-09T11:44:37Z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7802CA3082AC4FE598AA46B92F9EFF5E</vt:lpwstr>
  </property>
</Properties>
</file>