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华夏理财悦颐两年期理财产品</w:t>
      </w:r>
      <w:r>
        <w:rPr>
          <w:rFonts w:hint="eastAsia" w:eastAsia="黑体"/>
          <w:bCs/>
          <w:sz w:val="36"/>
          <w:szCs w:val="36"/>
          <w:lang w:val="en-US" w:eastAsia="zh-CN"/>
        </w:rPr>
        <w:t>59号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华夏理财悦颐两年期理财产品</w:t>
            </w:r>
            <w:r>
              <w:rPr>
                <w:rFonts w:hint="eastAsia" w:ascii="仿宋" w:hAnsi="仿宋" w:eastAsia="仿宋"/>
                <w:b/>
                <w:bCs/>
                <w:szCs w:val="21"/>
                <w:lang w:val="en-US" w:eastAsia="zh-CN"/>
              </w:rPr>
              <w:t>59号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华夏理财悦颐两年期59号753天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华夏理财悦颐两年期59号753天</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25121659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25121659</w:t>
            </w:r>
            <w:r>
              <w:rPr>
                <w:rFonts w:hint="eastAsia" w:ascii="仿宋" w:hAnsi="仿宋" w:eastAsia="仿宋"/>
                <w:bCs/>
                <w:szCs w:val="21"/>
              </w:rPr>
              <w:t>A</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B份额代码：25121659B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Z7003925000731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2.75%-3.00%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w:t>
            </w:r>
            <w:r>
              <w:rPr>
                <w:rFonts w:hint="eastAsia" w:ascii="仿宋" w:hAnsi="仿宋" w:eastAsia="仿宋" w:cs="Cambria"/>
                <w:bCs/>
                <w:szCs w:val="21"/>
                <w:lang w:eastAsia="zh-CN"/>
              </w:rPr>
              <w:t>份额：业绩比较基准为</w:t>
            </w:r>
            <w:r>
              <w:rPr>
                <w:rFonts w:hint="eastAsia" w:ascii="仿宋" w:hAnsi="仿宋" w:eastAsia="仿宋" w:cs="Cambria"/>
                <w:bCs/>
                <w:szCs w:val="21"/>
                <w:lang w:val="en-US" w:eastAsia="zh-CN"/>
              </w:rPr>
              <w:t>2.85%-3.10%</w:t>
            </w:r>
            <w:r>
              <w:rPr>
                <w:rFonts w:hint="eastAsia" w:ascii="仿宋" w:hAnsi="仿宋" w:eastAsia="仿宋" w:cs="Cambria"/>
                <w:bCs/>
                <w:szCs w:val="21"/>
                <w:lang w:eastAsia="zh-CN"/>
              </w:rPr>
              <w:t>（年化）</w:t>
            </w:r>
            <w:r>
              <w:rPr>
                <w:rFonts w:hint="eastAsia" w:ascii="仿宋" w:hAnsi="仿宋" w:eastAsia="仿宋" w:cs="Cambria"/>
                <w:bCs/>
                <w:szCs w:val="21"/>
              </w:rPr>
              <w:t>。</w:t>
            </w:r>
            <w:bookmarkStart w:id="1" w:name="OLE_LINK1"/>
            <w:r>
              <w:rPr>
                <w:rFonts w:hint="eastAsia" w:ascii="仿宋" w:hAnsi="仿宋" w:eastAsia="仿宋" w:cs="Cambria"/>
                <w:bCs/>
                <w:szCs w:val="21"/>
                <w:lang w:val="en-US" w:eastAsia="zh-CN"/>
              </w:rPr>
              <w:t>产品全部投资于固定收益类资产，</w:t>
            </w:r>
            <w:r>
              <w:rPr>
                <w:rFonts w:hint="eastAsia" w:ascii="仿宋" w:hAnsi="仿宋" w:eastAsia="仿宋" w:cs="Cambria"/>
                <w:bCs/>
                <w:i w:val="0"/>
                <w:iCs w:val="0"/>
                <w:szCs w:val="21"/>
                <w:highlight w:val="none"/>
              </w:rPr>
              <w:t>以</w:t>
            </w:r>
            <w:r>
              <w:rPr>
                <w:rFonts w:hint="eastAsia" w:ascii="仿宋" w:hAnsi="仿宋" w:eastAsia="仿宋" w:cs="Cambria"/>
                <w:bCs/>
                <w:i w:val="0"/>
                <w:iCs w:val="0"/>
                <w:szCs w:val="21"/>
                <w:highlight w:val="none"/>
                <w:lang w:val="en-US" w:eastAsia="zh-CN"/>
              </w:rPr>
              <w:t>产品</w:t>
            </w:r>
            <w:r>
              <w:rPr>
                <w:rFonts w:hint="eastAsia" w:ascii="仿宋" w:hAnsi="仿宋" w:eastAsia="仿宋" w:cs="Cambria"/>
                <w:bCs/>
                <w:i w:val="0"/>
                <w:iCs w:val="0"/>
                <w:szCs w:val="21"/>
                <w:highlight w:val="none"/>
              </w:rPr>
              <w:t>投资</w:t>
            </w:r>
            <w:r>
              <w:rPr>
                <w:rFonts w:hint="eastAsia" w:ascii="仿宋" w:hAnsi="仿宋" w:eastAsia="仿宋" w:cs="Cambria"/>
                <w:bCs/>
                <w:i w:val="0"/>
                <w:iCs w:val="0"/>
                <w:szCs w:val="21"/>
                <w:highlight w:val="none"/>
                <w:lang w:val="en-US" w:eastAsia="zh-CN"/>
              </w:rPr>
              <w:t>于</w:t>
            </w:r>
            <w:r>
              <w:rPr>
                <w:rFonts w:hint="eastAsia" w:ascii="仿宋" w:hAnsi="仿宋" w:eastAsia="仿宋" w:cs="Cambria"/>
                <w:bCs/>
                <w:i w:val="0"/>
                <w:iCs w:val="0"/>
                <w:szCs w:val="21"/>
                <w:highlight w:val="none"/>
              </w:rPr>
              <w:t>债券类资产仓位55%-100%，非标债权类资产仓位0</w:t>
            </w:r>
            <w:r>
              <w:rPr>
                <w:rFonts w:hint="eastAsia" w:ascii="仿宋" w:hAnsi="仿宋" w:eastAsia="仿宋" w:cs="Cambria"/>
                <w:bCs/>
                <w:i w:val="0"/>
                <w:iCs w:val="0"/>
                <w:szCs w:val="21"/>
                <w:highlight w:val="none"/>
                <w:lang w:val="en-US" w:eastAsia="zh-CN"/>
              </w:rPr>
              <w:t>%</w:t>
            </w:r>
            <w:r>
              <w:rPr>
                <w:rFonts w:hint="eastAsia" w:ascii="仿宋" w:hAnsi="仿宋" w:eastAsia="仿宋" w:cs="Cambria"/>
                <w:bCs/>
                <w:i w:val="0"/>
                <w:iCs w:val="0"/>
                <w:szCs w:val="21"/>
                <w:highlight w:val="none"/>
              </w:rPr>
              <w:t>-45%，组合杠杆率100%-140%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bookmarkEnd w:id="1"/>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2" w:name="OLE_LINK3" w:colFirst="1" w:colLast="1"/>
            <w:bookmarkStart w:id="3" w:name="_Hlk290294163"/>
            <w:bookmarkStart w:id="4"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753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27</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份额：认购起点金额1元，以1元的整数倍递增。</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20</w:t>
            </w:r>
            <w:r>
              <w:rPr>
                <w:rFonts w:hint="eastAsia" w:ascii="仿宋" w:hAnsi="仿宋" w:eastAsia="仿宋"/>
                <w:b/>
                <w:bCs w:val="0"/>
                <w:szCs w:val="21"/>
              </w:rPr>
              <w:t>%/年，以</w:t>
            </w:r>
            <w:r>
              <w:rPr>
                <w:rFonts w:hint="eastAsia" w:ascii="仿宋" w:hAnsi="仿宋" w:eastAsia="仿宋"/>
                <w:b/>
                <w:bCs w:val="0"/>
                <w:szCs w:val="21"/>
                <w:lang w:val="en-US" w:eastAsia="zh-CN"/>
              </w:rPr>
              <w:t>产品成立日份额为基数</w:t>
            </w:r>
            <w:r>
              <w:rPr>
                <w:rFonts w:hint="eastAsia" w:ascii="仿宋" w:hAnsi="仿宋" w:eastAsia="仿宋"/>
                <w:b/>
                <w:bCs w:val="0"/>
                <w:szCs w:val="21"/>
              </w:rPr>
              <w:t>，</w:t>
            </w:r>
            <w:r>
              <w:rPr>
                <w:rFonts w:hint="eastAsia" w:ascii="仿宋" w:hAnsi="仿宋" w:eastAsia="仿宋"/>
                <w:b/>
                <w:bCs w:val="0"/>
                <w:szCs w:val="21"/>
                <w:lang w:val="en-US" w:eastAsia="zh-CN"/>
              </w:rPr>
              <w:t>于产品成立一个月内对销售手续费的80%一次性收取，</w:t>
            </w:r>
            <w:r>
              <w:rPr>
                <w:rFonts w:hint="eastAsia" w:ascii="仿宋" w:hAnsi="仿宋" w:eastAsia="仿宋"/>
                <w:b/>
                <w:bCs w:val="0"/>
                <w:szCs w:val="21"/>
              </w:rPr>
              <w:t>每日</w:t>
            </w:r>
            <w:r>
              <w:rPr>
                <w:rFonts w:hint="eastAsia" w:ascii="仿宋" w:hAnsi="仿宋" w:eastAsia="仿宋"/>
                <w:b/>
                <w:bCs w:val="0"/>
                <w:szCs w:val="21"/>
                <w:lang w:val="en-US" w:eastAsia="zh-CN"/>
              </w:rPr>
              <w:t>摊销</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szCs w:val="21"/>
                <w:lang w:val="en-US" w:eastAsia="zh-CN"/>
              </w:rPr>
              <w:t>D</w:t>
            </w:r>
            <w:r>
              <w:rPr>
                <w:rFonts w:hint="eastAsia" w:ascii="仿宋" w:hAnsi="仿宋" w:eastAsia="仿宋"/>
                <w:b/>
                <w:szCs w:val="21"/>
              </w:rPr>
              <w:t>×【各份额销售手续费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80%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w:t>
            </w:r>
            <w:r>
              <w:rPr>
                <w:rFonts w:hint="eastAsia" w:ascii="仿宋" w:hAnsi="仿宋" w:eastAsia="仿宋"/>
                <w:b/>
                <w:bCs w:val="0"/>
                <w:szCs w:val="21"/>
                <w:lang w:val="en-US" w:eastAsia="zh-CN"/>
              </w:rPr>
              <w:t>一次性收取的</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lang w:eastAsia="zh-CN"/>
              </w:rPr>
              <w:t>；</w:t>
            </w:r>
            <w:r>
              <w:rPr>
                <w:rFonts w:hint="eastAsia" w:ascii="仿宋" w:hAnsi="仿宋" w:eastAsia="仿宋"/>
                <w:b/>
                <w:szCs w:val="21"/>
                <w:lang w:val="en-US" w:eastAsia="zh-CN"/>
              </w:rPr>
              <w:t>D</w:t>
            </w:r>
            <w:r>
              <w:rPr>
                <w:rFonts w:hint="eastAsia" w:ascii="仿宋" w:hAnsi="仿宋" w:eastAsia="仿宋"/>
                <w:b/>
                <w:szCs w:val="21"/>
                <w:lang w:eastAsia="zh-CN"/>
              </w:rPr>
              <w:t>为</w:t>
            </w:r>
            <w:r>
              <w:rPr>
                <w:rFonts w:hint="eastAsia" w:ascii="仿宋" w:hAnsi="仿宋" w:eastAsia="仿宋"/>
                <w:b/>
                <w:szCs w:val="21"/>
                <w:lang w:val="en-US" w:eastAsia="zh-CN"/>
              </w:rPr>
              <w:t>天数，D=</w:t>
            </w:r>
            <w:r>
              <w:rPr>
                <w:rFonts w:hint="eastAsia" w:ascii="仿宋" w:hAnsi="仿宋" w:eastAsia="仿宋"/>
                <w:b/>
                <w:szCs w:val="21"/>
                <w:lang w:eastAsia="zh-CN"/>
              </w:rPr>
              <w:t>产品到期日-产品成立日</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bCs w:val="0"/>
                <w:szCs w:val="21"/>
                <w:lang w:val="en-US" w:eastAsia="zh-CN"/>
              </w:rPr>
            </w:pPr>
            <w:r>
              <w:rPr>
                <w:rFonts w:hint="eastAsia" w:ascii="仿宋" w:hAnsi="仿宋" w:eastAsia="仿宋"/>
                <w:b/>
                <w:szCs w:val="21"/>
                <w:lang w:val="en-US" w:eastAsia="zh-CN"/>
              </w:rPr>
              <w:t>剩余的</w:t>
            </w:r>
            <w:r>
              <w:rPr>
                <w:rFonts w:hint="eastAsia" w:ascii="仿宋" w:hAnsi="仿宋" w:eastAsia="仿宋"/>
                <w:b/>
                <w:bCs w:val="0"/>
                <w:szCs w:val="21"/>
                <w:lang w:val="en-US" w:eastAsia="zh-CN"/>
              </w:rPr>
              <w:t>销售手续费，</w:t>
            </w:r>
            <w:r>
              <w:rPr>
                <w:rFonts w:hint="eastAsia" w:ascii="仿宋" w:hAnsi="仿宋" w:eastAsia="仿宋"/>
                <w:b/>
                <w:bCs w:val="0"/>
                <w:szCs w:val="21"/>
              </w:rPr>
              <w:t>以</w:t>
            </w:r>
            <w:r>
              <w:rPr>
                <w:rFonts w:hint="eastAsia" w:ascii="仿宋" w:hAnsi="仿宋" w:eastAsia="仿宋"/>
                <w:b/>
                <w:bCs w:val="0"/>
                <w:szCs w:val="21"/>
                <w:lang w:val="en-US" w:eastAsia="zh-CN"/>
              </w:rPr>
              <w:t>产品成立日份额为基数，每日计提。</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default" w:ascii="仿宋" w:hAnsi="仿宋" w:eastAsia="仿宋"/>
                <w:b/>
                <w:bCs w:val="0"/>
                <w:szCs w:val="21"/>
                <w:lang w:val="en-US" w:eastAsia="zh-CN"/>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w:t>
            </w:r>
            <w:r>
              <w:rPr>
                <w:rFonts w:hint="eastAsia" w:ascii="仿宋" w:hAnsi="仿宋" w:eastAsia="仿宋"/>
                <w:b/>
                <w:szCs w:val="21"/>
                <w:lang w:val="en-US" w:eastAsia="zh-CN"/>
              </w:rPr>
              <w:t>20%</w:t>
            </w:r>
            <w:r>
              <w:rPr>
                <w:rFonts w:hint="eastAsia" w:ascii="仿宋" w:hAnsi="仿宋" w:eastAsia="仿宋"/>
                <w:b/>
                <w:szCs w:val="21"/>
              </w:rPr>
              <w:t>/</w:t>
            </w:r>
            <w:r>
              <w:rPr>
                <w:rFonts w:hint="eastAsia" w:ascii="仿宋" w:hAnsi="仿宋" w:eastAsia="仿宋"/>
                <w:b/>
                <w:szCs w:val="21"/>
                <w:lang w:val="en-US" w:eastAsia="zh-CN"/>
              </w:rPr>
              <w:t>365</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lang w:eastAsia="zh-CN"/>
              </w:rPr>
              <w:t>，</w:t>
            </w:r>
            <w:r>
              <w:rPr>
                <w:rFonts w:hint="eastAsia" w:ascii="仿宋" w:hAnsi="仿宋" w:eastAsia="仿宋"/>
                <w:b/>
                <w:szCs w:val="21"/>
                <w:lang w:val="en-US" w:eastAsia="zh-CN"/>
              </w:rPr>
              <w:t>即产品成立日份额</w:t>
            </w:r>
            <w:r>
              <w:rPr>
                <w:rFonts w:hint="eastAsia" w:ascii="仿宋" w:hAnsi="仿宋" w:eastAsia="仿宋"/>
                <w:b/>
                <w:szCs w:val="21"/>
              </w:rPr>
              <w:t>。</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A份额超额计提基准为</w:t>
            </w:r>
            <w:r>
              <w:rPr>
                <w:rFonts w:hint="eastAsia" w:ascii="仿宋" w:hAnsi="仿宋" w:eastAsia="仿宋"/>
                <w:b/>
                <w:bCs w:val="0"/>
                <w:szCs w:val="21"/>
                <w:lang w:val="en-US" w:eastAsia="zh-CN"/>
              </w:rPr>
              <w:t>2.875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份额超额计提基准为</w:t>
            </w:r>
            <w:r>
              <w:rPr>
                <w:rFonts w:hint="eastAsia" w:ascii="仿宋" w:hAnsi="仿宋" w:eastAsia="仿宋"/>
                <w:b/>
                <w:bCs w:val="0"/>
                <w:szCs w:val="21"/>
                <w:lang w:val="en-US" w:eastAsia="zh-CN"/>
              </w:rPr>
              <w:t>2.975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1．产品存续期内，在每季度末，如同时符合以下条件，管理人有权视投资运作情况决定本理财产品进行分红：</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（1）理财产品自成立日起，投资运作已满</w:t>
            </w:r>
            <w:r>
              <w:rPr>
                <w:rFonts w:hint="eastAsia" w:ascii="仿宋" w:hAnsi="仿宋" w:eastAsia="仿宋" w:cs="Cambria"/>
                <w:b/>
                <w:bCs w:val="0"/>
                <w:kern w:val="2"/>
                <w:szCs w:val="21"/>
                <w:lang w:val="en-US" w:eastAsia="zh-CN"/>
              </w:rPr>
              <w:t>半年</w:t>
            </w:r>
            <w:r>
              <w:rPr>
                <w:rFonts w:hint="eastAsia" w:ascii="仿宋" w:hAnsi="仿宋" w:eastAsia="仿宋" w:cs="Cambria"/>
                <w:b/>
                <w:bCs w:val="0"/>
                <w:kern w:val="2"/>
                <w:szCs w:val="21"/>
              </w:rPr>
              <w:t>；</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（2）理财产品单位净值高于1.0000且存在可分配利润。</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rPr>
              <w:t>2．如理财产品设不同份额，则各份额类别单位净值及可供分配利润可能有所不同，管理人就不同份额类别分别制定分红方案。</w:t>
            </w:r>
          </w:p>
          <w:p>
            <w:pPr>
              <w:adjustRightInd w:val="0"/>
              <w:snapToGrid w:val="0"/>
              <w:spacing w:line="240" w:lineRule="atLeast"/>
              <w:ind w:firstLine="422" w:firstLineChars="200"/>
              <w:jc w:val="left"/>
              <w:rPr>
                <w:rFonts w:hint="eastAsia" w:ascii="仿宋" w:hAnsi="仿宋" w:eastAsia="仿宋" w:cs="Cambria"/>
                <w:b/>
                <w:bCs w:val="0"/>
                <w:kern w:val="2"/>
                <w:szCs w:val="21"/>
              </w:rPr>
            </w:pPr>
            <w:r>
              <w:rPr>
                <w:rFonts w:hint="eastAsia" w:ascii="仿宋" w:hAnsi="仿宋" w:eastAsia="仿宋" w:cs="Cambria"/>
                <w:b/>
                <w:bCs w:val="0"/>
                <w:kern w:val="2"/>
                <w:szCs w:val="21"/>
                <w:lang w:val="en-US" w:eastAsia="zh-CN"/>
              </w:rPr>
              <w:t xml:space="preserve">3. </w:t>
            </w:r>
            <w:r>
              <w:rPr>
                <w:rFonts w:hint="eastAsia" w:ascii="仿宋" w:hAnsi="仿宋" w:eastAsia="仿宋" w:cs="Cambria"/>
                <w:b/>
                <w:bCs w:val="0"/>
                <w:kern w:val="2"/>
                <w:szCs w:val="21"/>
              </w:rPr>
              <w:t>本产品采用现金分红模式。</w:t>
            </w:r>
          </w:p>
          <w:p>
            <w:pPr>
              <w:adjustRightInd w:val="0"/>
              <w:snapToGrid w:val="0"/>
              <w:spacing w:line="240" w:lineRule="atLeast"/>
              <w:ind w:firstLine="422" w:firstLineChars="200"/>
              <w:jc w:val="left"/>
            </w:pPr>
            <w:r>
              <w:rPr>
                <w:rFonts w:hint="eastAsia" w:ascii="仿宋" w:hAnsi="仿宋" w:eastAsia="仿宋" w:cs="Cambria"/>
                <w:b/>
                <w:bCs w:val="0"/>
                <w:kern w:val="2"/>
                <w:szCs w:val="21"/>
                <w:lang w:val="en-US" w:eastAsia="zh-CN"/>
              </w:rPr>
              <w:t>4</w:t>
            </w:r>
            <w:r>
              <w:rPr>
                <w:rFonts w:hint="eastAsia" w:ascii="仿宋" w:hAnsi="仿宋" w:eastAsia="仿宋" w:cs="Cambria"/>
                <w:b/>
                <w:bCs w:val="0"/>
                <w:kern w:val="2"/>
                <w:szCs w:val="21"/>
              </w:rPr>
              <w:t>．如管理人决定进行分红，将于分红权益登记日前 3 个工作日通过本产品说明书约定的信息披露渠道发布分红方案。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0868"/>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855951"/>
    <w:rsid w:val="029E5A11"/>
    <w:rsid w:val="02E40AD0"/>
    <w:rsid w:val="02F3137F"/>
    <w:rsid w:val="032C31F1"/>
    <w:rsid w:val="033A4D39"/>
    <w:rsid w:val="034644C7"/>
    <w:rsid w:val="03BA2E8C"/>
    <w:rsid w:val="03D64FFD"/>
    <w:rsid w:val="03F262A7"/>
    <w:rsid w:val="03F30AF7"/>
    <w:rsid w:val="04196F12"/>
    <w:rsid w:val="041E6550"/>
    <w:rsid w:val="04435A9E"/>
    <w:rsid w:val="04950991"/>
    <w:rsid w:val="04FA47D6"/>
    <w:rsid w:val="054B7EFA"/>
    <w:rsid w:val="054E6434"/>
    <w:rsid w:val="05831998"/>
    <w:rsid w:val="060A409E"/>
    <w:rsid w:val="0610015A"/>
    <w:rsid w:val="0617338E"/>
    <w:rsid w:val="06194EC6"/>
    <w:rsid w:val="06331B3C"/>
    <w:rsid w:val="06605FED"/>
    <w:rsid w:val="066C6455"/>
    <w:rsid w:val="06930C07"/>
    <w:rsid w:val="06CE1059"/>
    <w:rsid w:val="06D85DD9"/>
    <w:rsid w:val="06E616D6"/>
    <w:rsid w:val="07001921"/>
    <w:rsid w:val="072859C3"/>
    <w:rsid w:val="07692EB6"/>
    <w:rsid w:val="077F4438"/>
    <w:rsid w:val="07853686"/>
    <w:rsid w:val="079A3378"/>
    <w:rsid w:val="07B45D81"/>
    <w:rsid w:val="07C26F1E"/>
    <w:rsid w:val="07C3354C"/>
    <w:rsid w:val="07C52B3D"/>
    <w:rsid w:val="07D6576F"/>
    <w:rsid w:val="07F1682B"/>
    <w:rsid w:val="08064FC2"/>
    <w:rsid w:val="080D6F41"/>
    <w:rsid w:val="08A87A0E"/>
    <w:rsid w:val="08D300AE"/>
    <w:rsid w:val="091A109A"/>
    <w:rsid w:val="09277EEB"/>
    <w:rsid w:val="096506FA"/>
    <w:rsid w:val="096B558A"/>
    <w:rsid w:val="0997730F"/>
    <w:rsid w:val="09B80512"/>
    <w:rsid w:val="0A01440A"/>
    <w:rsid w:val="0A262D36"/>
    <w:rsid w:val="0A513B0D"/>
    <w:rsid w:val="0A5478A3"/>
    <w:rsid w:val="0A7B7656"/>
    <w:rsid w:val="0A965655"/>
    <w:rsid w:val="0A983E05"/>
    <w:rsid w:val="0AB822A5"/>
    <w:rsid w:val="0ADC05EB"/>
    <w:rsid w:val="0B2F5153"/>
    <w:rsid w:val="0B3A7B24"/>
    <w:rsid w:val="0CCF6CA3"/>
    <w:rsid w:val="0D3600BA"/>
    <w:rsid w:val="0D6C5F44"/>
    <w:rsid w:val="0DD32259"/>
    <w:rsid w:val="0DDC12B1"/>
    <w:rsid w:val="0E3E46D4"/>
    <w:rsid w:val="0E73282A"/>
    <w:rsid w:val="0EF43DB9"/>
    <w:rsid w:val="0F376B87"/>
    <w:rsid w:val="0F660C47"/>
    <w:rsid w:val="0F850895"/>
    <w:rsid w:val="0FAD1DC8"/>
    <w:rsid w:val="0FE501C4"/>
    <w:rsid w:val="0FE85CDD"/>
    <w:rsid w:val="102F133E"/>
    <w:rsid w:val="10510955"/>
    <w:rsid w:val="10611C59"/>
    <w:rsid w:val="10987645"/>
    <w:rsid w:val="10B272CB"/>
    <w:rsid w:val="10ED247D"/>
    <w:rsid w:val="10F036D9"/>
    <w:rsid w:val="10FE470B"/>
    <w:rsid w:val="110764BF"/>
    <w:rsid w:val="113A6DA1"/>
    <w:rsid w:val="113D243D"/>
    <w:rsid w:val="114758B1"/>
    <w:rsid w:val="11921C3C"/>
    <w:rsid w:val="119A5652"/>
    <w:rsid w:val="11BA7B51"/>
    <w:rsid w:val="120F1E2C"/>
    <w:rsid w:val="122C6D3E"/>
    <w:rsid w:val="12540566"/>
    <w:rsid w:val="12864AAC"/>
    <w:rsid w:val="12946645"/>
    <w:rsid w:val="12D3200B"/>
    <w:rsid w:val="13495D69"/>
    <w:rsid w:val="13AB6DD5"/>
    <w:rsid w:val="13B7767A"/>
    <w:rsid w:val="13B9670D"/>
    <w:rsid w:val="13DE4767"/>
    <w:rsid w:val="14436D9F"/>
    <w:rsid w:val="14484DCB"/>
    <w:rsid w:val="14852776"/>
    <w:rsid w:val="14E67827"/>
    <w:rsid w:val="15140BCE"/>
    <w:rsid w:val="1584793E"/>
    <w:rsid w:val="15874EAA"/>
    <w:rsid w:val="15887E30"/>
    <w:rsid w:val="15C47445"/>
    <w:rsid w:val="15CF2445"/>
    <w:rsid w:val="15DF45C9"/>
    <w:rsid w:val="15E41B70"/>
    <w:rsid w:val="16440A35"/>
    <w:rsid w:val="16577530"/>
    <w:rsid w:val="167255CF"/>
    <w:rsid w:val="16840173"/>
    <w:rsid w:val="16DC7878"/>
    <w:rsid w:val="16FB6F37"/>
    <w:rsid w:val="173575D5"/>
    <w:rsid w:val="175A3C83"/>
    <w:rsid w:val="17825A05"/>
    <w:rsid w:val="17A26163"/>
    <w:rsid w:val="17D31FDC"/>
    <w:rsid w:val="17D76C2B"/>
    <w:rsid w:val="17DE6808"/>
    <w:rsid w:val="17F8769D"/>
    <w:rsid w:val="18041AB4"/>
    <w:rsid w:val="1812072F"/>
    <w:rsid w:val="182B2F3F"/>
    <w:rsid w:val="184001A1"/>
    <w:rsid w:val="18FE2618"/>
    <w:rsid w:val="190F268E"/>
    <w:rsid w:val="19287585"/>
    <w:rsid w:val="19610BFF"/>
    <w:rsid w:val="19953307"/>
    <w:rsid w:val="19A07D04"/>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765C7B"/>
    <w:rsid w:val="1C7B3DCE"/>
    <w:rsid w:val="1C8B0511"/>
    <w:rsid w:val="1CD85DC1"/>
    <w:rsid w:val="1CDB3C40"/>
    <w:rsid w:val="1CE252F3"/>
    <w:rsid w:val="1D0662A6"/>
    <w:rsid w:val="1D104FDC"/>
    <w:rsid w:val="1D117096"/>
    <w:rsid w:val="1D1B764B"/>
    <w:rsid w:val="1DE516B8"/>
    <w:rsid w:val="1E047274"/>
    <w:rsid w:val="1E2F7887"/>
    <w:rsid w:val="1E433C85"/>
    <w:rsid w:val="1EAB2B1F"/>
    <w:rsid w:val="1ED877DF"/>
    <w:rsid w:val="1EF416F8"/>
    <w:rsid w:val="1F0B3DFE"/>
    <w:rsid w:val="1F5522A7"/>
    <w:rsid w:val="1FD45CE1"/>
    <w:rsid w:val="1FF41399"/>
    <w:rsid w:val="200A5D8F"/>
    <w:rsid w:val="208244E5"/>
    <w:rsid w:val="20F111F7"/>
    <w:rsid w:val="21433609"/>
    <w:rsid w:val="214D162F"/>
    <w:rsid w:val="21DE0D16"/>
    <w:rsid w:val="22171129"/>
    <w:rsid w:val="221815EA"/>
    <w:rsid w:val="22245E0F"/>
    <w:rsid w:val="222D0D62"/>
    <w:rsid w:val="22551E62"/>
    <w:rsid w:val="227D729C"/>
    <w:rsid w:val="2350568B"/>
    <w:rsid w:val="237F35E5"/>
    <w:rsid w:val="23A50D24"/>
    <w:rsid w:val="23AA47BE"/>
    <w:rsid w:val="23E44373"/>
    <w:rsid w:val="23F947F3"/>
    <w:rsid w:val="242806AA"/>
    <w:rsid w:val="24392A65"/>
    <w:rsid w:val="2467066D"/>
    <w:rsid w:val="24E91956"/>
    <w:rsid w:val="252E26F1"/>
    <w:rsid w:val="255C100E"/>
    <w:rsid w:val="259A1AD2"/>
    <w:rsid w:val="25C3267A"/>
    <w:rsid w:val="25D568B4"/>
    <w:rsid w:val="25EF5F74"/>
    <w:rsid w:val="25F33B9E"/>
    <w:rsid w:val="25FB4C66"/>
    <w:rsid w:val="260C731E"/>
    <w:rsid w:val="260E5AEA"/>
    <w:rsid w:val="26103D90"/>
    <w:rsid w:val="26103F21"/>
    <w:rsid w:val="272C04B1"/>
    <w:rsid w:val="27914154"/>
    <w:rsid w:val="27C604DA"/>
    <w:rsid w:val="27CD5767"/>
    <w:rsid w:val="27DC6AC2"/>
    <w:rsid w:val="27EA63D1"/>
    <w:rsid w:val="284756E8"/>
    <w:rsid w:val="28682C0C"/>
    <w:rsid w:val="287A5D0E"/>
    <w:rsid w:val="28B05EE9"/>
    <w:rsid w:val="28D30187"/>
    <w:rsid w:val="28D53151"/>
    <w:rsid w:val="28E571A8"/>
    <w:rsid w:val="291D49E2"/>
    <w:rsid w:val="29216629"/>
    <w:rsid w:val="294C4E21"/>
    <w:rsid w:val="294D05D3"/>
    <w:rsid w:val="296D4B02"/>
    <w:rsid w:val="29D46607"/>
    <w:rsid w:val="2A103412"/>
    <w:rsid w:val="2A1E1418"/>
    <w:rsid w:val="2A770C99"/>
    <w:rsid w:val="2A7A5040"/>
    <w:rsid w:val="2AF67748"/>
    <w:rsid w:val="2BBB2833"/>
    <w:rsid w:val="2BC42334"/>
    <w:rsid w:val="2BE1588C"/>
    <w:rsid w:val="2C1011CD"/>
    <w:rsid w:val="2C374208"/>
    <w:rsid w:val="2C40390A"/>
    <w:rsid w:val="2C4C703B"/>
    <w:rsid w:val="2C5064CD"/>
    <w:rsid w:val="2CE37AF2"/>
    <w:rsid w:val="2D241337"/>
    <w:rsid w:val="2D753D30"/>
    <w:rsid w:val="2DB6436A"/>
    <w:rsid w:val="2DC02129"/>
    <w:rsid w:val="2DD51336"/>
    <w:rsid w:val="2E010168"/>
    <w:rsid w:val="2E016F46"/>
    <w:rsid w:val="2E1F3787"/>
    <w:rsid w:val="2E6A7D66"/>
    <w:rsid w:val="2EA605F1"/>
    <w:rsid w:val="2EA972CC"/>
    <w:rsid w:val="2EC31B75"/>
    <w:rsid w:val="2FE72027"/>
    <w:rsid w:val="306A1371"/>
    <w:rsid w:val="30BD6A03"/>
    <w:rsid w:val="3127549C"/>
    <w:rsid w:val="31533557"/>
    <w:rsid w:val="31B41A9A"/>
    <w:rsid w:val="31B4499F"/>
    <w:rsid w:val="31C74937"/>
    <w:rsid w:val="31F02E84"/>
    <w:rsid w:val="32062205"/>
    <w:rsid w:val="322068C9"/>
    <w:rsid w:val="326170B4"/>
    <w:rsid w:val="32635675"/>
    <w:rsid w:val="328F3B54"/>
    <w:rsid w:val="329A11A0"/>
    <w:rsid w:val="32E33E0A"/>
    <w:rsid w:val="32FF7EB7"/>
    <w:rsid w:val="33424079"/>
    <w:rsid w:val="337E4EBF"/>
    <w:rsid w:val="33A6484B"/>
    <w:rsid w:val="34126396"/>
    <w:rsid w:val="345352E6"/>
    <w:rsid w:val="345C3282"/>
    <w:rsid w:val="345E593B"/>
    <w:rsid w:val="34605A84"/>
    <w:rsid w:val="346C230B"/>
    <w:rsid w:val="34CD00CE"/>
    <w:rsid w:val="35034F52"/>
    <w:rsid w:val="352C602C"/>
    <w:rsid w:val="35353A80"/>
    <w:rsid w:val="35B16527"/>
    <w:rsid w:val="35B51481"/>
    <w:rsid w:val="35D91AC7"/>
    <w:rsid w:val="35D930CE"/>
    <w:rsid w:val="36B76A85"/>
    <w:rsid w:val="36B82ADE"/>
    <w:rsid w:val="36D84DBF"/>
    <w:rsid w:val="370C54DE"/>
    <w:rsid w:val="3744068A"/>
    <w:rsid w:val="376879F0"/>
    <w:rsid w:val="378F057D"/>
    <w:rsid w:val="37EC4B4C"/>
    <w:rsid w:val="38465DA6"/>
    <w:rsid w:val="3858774F"/>
    <w:rsid w:val="387B665C"/>
    <w:rsid w:val="38FA1D7C"/>
    <w:rsid w:val="39690814"/>
    <w:rsid w:val="39AE279C"/>
    <w:rsid w:val="39B76C90"/>
    <w:rsid w:val="39C37A55"/>
    <w:rsid w:val="39C53B44"/>
    <w:rsid w:val="39EF39C3"/>
    <w:rsid w:val="3A021304"/>
    <w:rsid w:val="3A23092B"/>
    <w:rsid w:val="3A35598B"/>
    <w:rsid w:val="3A595F4B"/>
    <w:rsid w:val="3A813FE5"/>
    <w:rsid w:val="3A9D0C11"/>
    <w:rsid w:val="3AF646DC"/>
    <w:rsid w:val="3B012D7B"/>
    <w:rsid w:val="3B3F505E"/>
    <w:rsid w:val="3B4C73CF"/>
    <w:rsid w:val="3BC55932"/>
    <w:rsid w:val="3BFA0F67"/>
    <w:rsid w:val="3C2D51C9"/>
    <w:rsid w:val="3C5B61F5"/>
    <w:rsid w:val="3C7826C2"/>
    <w:rsid w:val="3C8F2051"/>
    <w:rsid w:val="3C920B4D"/>
    <w:rsid w:val="3CA07403"/>
    <w:rsid w:val="3CD87A38"/>
    <w:rsid w:val="3CD93C22"/>
    <w:rsid w:val="3D763612"/>
    <w:rsid w:val="3D83215E"/>
    <w:rsid w:val="3D883B84"/>
    <w:rsid w:val="3DF76443"/>
    <w:rsid w:val="3DFF3A1A"/>
    <w:rsid w:val="3E5B1D19"/>
    <w:rsid w:val="3E806D63"/>
    <w:rsid w:val="3EA946F7"/>
    <w:rsid w:val="3ED615CF"/>
    <w:rsid w:val="3EEC674A"/>
    <w:rsid w:val="3EFA325D"/>
    <w:rsid w:val="3F8907F6"/>
    <w:rsid w:val="3F8B7D7F"/>
    <w:rsid w:val="3FDA33E1"/>
    <w:rsid w:val="3FF20B0E"/>
    <w:rsid w:val="402A08D4"/>
    <w:rsid w:val="4057548B"/>
    <w:rsid w:val="40670EF7"/>
    <w:rsid w:val="40682937"/>
    <w:rsid w:val="40974D22"/>
    <w:rsid w:val="40AB1A12"/>
    <w:rsid w:val="41012626"/>
    <w:rsid w:val="413130AD"/>
    <w:rsid w:val="415249F8"/>
    <w:rsid w:val="417575F2"/>
    <w:rsid w:val="41BD7655"/>
    <w:rsid w:val="41CC7DB7"/>
    <w:rsid w:val="41E27C26"/>
    <w:rsid w:val="42771BBE"/>
    <w:rsid w:val="42C36006"/>
    <w:rsid w:val="42CD30A6"/>
    <w:rsid w:val="42D242A1"/>
    <w:rsid w:val="42D544BD"/>
    <w:rsid w:val="42F60353"/>
    <w:rsid w:val="438556A7"/>
    <w:rsid w:val="43A6228A"/>
    <w:rsid w:val="440A6FE5"/>
    <w:rsid w:val="44623744"/>
    <w:rsid w:val="446369C0"/>
    <w:rsid w:val="449B7167"/>
    <w:rsid w:val="44CC2C77"/>
    <w:rsid w:val="4524487F"/>
    <w:rsid w:val="45CC078F"/>
    <w:rsid w:val="466B6F06"/>
    <w:rsid w:val="46860155"/>
    <w:rsid w:val="471713E5"/>
    <w:rsid w:val="473C7E58"/>
    <w:rsid w:val="47492FC6"/>
    <w:rsid w:val="476049FD"/>
    <w:rsid w:val="47802A85"/>
    <w:rsid w:val="48487C68"/>
    <w:rsid w:val="487C60FD"/>
    <w:rsid w:val="489E098C"/>
    <w:rsid w:val="48B61CC6"/>
    <w:rsid w:val="48E45B65"/>
    <w:rsid w:val="48E87129"/>
    <w:rsid w:val="49196553"/>
    <w:rsid w:val="492A5B50"/>
    <w:rsid w:val="49321AAF"/>
    <w:rsid w:val="493A681C"/>
    <w:rsid w:val="493C2E02"/>
    <w:rsid w:val="494C0FE7"/>
    <w:rsid w:val="494D579F"/>
    <w:rsid w:val="4965762F"/>
    <w:rsid w:val="498C1FB1"/>
    <w:rsid w:val="49C378A5"/>
    <w:rsid w:val="49E3000F"/>
    <w:rsid w:val="4A255416"/>
    <w:rsid w:val="4A295537"/>
    <w:rsid w:val="4A937164"/>
    <w:rsid w:val="4A9750EA"/>
    <w:rsid w:val="4AA40703"/>
    <w:rsid w:val="4AB52EDF"/>
    <w:rsid w:val="4AD20D01"/>
    <w:rsid w:val="4B1D70C8"/>
    <w:rsid w:val="4B690413"/>
    <w:rsid w:val="4BA92E03"/>
    <w:rsid w:val="4BB7519A"/>
    <w:rsid w:val="4BB86F47"/>
    <w:rsid w:val="4BF60566"/>
    <w:rsid w:val="4C263A21"/>
    <w:rsid w:val="4C7E5CE7"/>
    <w:rsid w:val="4C802F77"/>
    <w:rsid w:val="4C973694"/>
    <w:rsid w:val="4CCE54E6"/>
    <w:rsid w:val="4D5D4C67"/>
    <w:rsid w:val="4D9A2B3C"/>
    <w:rsid w:val="4DE91C98"/>
    <w:rsid w:val="4E4D03ED"/>
    <w:rsid w:val="4EDD4EDE"/>
    <w:rsid w:val="4EE45C33"/>
    <w:rsid w:val="4EED4C04"/>
    <w:rsid w:val="4EF77F29"/>
    <w:rsid w:val="4F0C6D18"/>
    <w:rsid w:val="4F323CFA"/>
    <w:rsid w:val="4FB777D7"/>
    <w:rsid w:val="4FC908A2"/>
    <w:rsid w:val="50081263"/>
    <w:rsid w:val="500C5A60"/>
    <w:rsid w:val="50461117"/>
    <w:rsid w:val="509A5F14"/>
    <w:rsid w:val="50A50E08"/>
    <w:rsid w:val="51844BB9"/>
    <w:rsid w:val="51954E8A"/>
    <w:rsid w:val="519A4D61"/>
    <w:rsid w:val="519B5496"/>
    <w:rsid w:val="51C81042"/>
    <w:rsid w:val="523D68E9"/>
    <w:rsid w:val="5252299E"/>
    <w:rsid w:val="52667895"/>
    <w:rsid w:val="527A4C70"/>
    <w:rsid w:val="52B20439"/>
    <w:rsid w:val="52B95D52"/>
    <w:rsid w:val="52FA7D56"/>
    <w:rsid w:val="53080EFD"/>
    <w:rsid w:val="532334B2"/>
    <w:rsid w:val="5341023D"/>
    <w:rsid w:val="53611E83"/>
    <w:rsid w:val="53735224"/>
    <w:rsid w:val="5374362C"/>
    <w:rsid w:val="537D24F6"/>
    <w:rsid w:val="53A260CE"/>
    <w:rsid w:val="54194509"/>
    <w:rsid w:val="542B039A"/>
    <w:rsid w:val="542C519E"/>
    <w:rsid w:val="543C05E0"/>
    <w:rsid w:val="54B9651A"/>
    <w:rsid w:val="54DB4F40"/>
    <w:rsid w:val="54F9389F"/>
    <w:rsid w:val="55222910"/>
    <w:rsid w:val="55643FAD"/>
    <w:rsid w:val="559032FC"/>
    <w:rsid w:val="55A34E57"/>
    <w:rsid w:val="55E2120D"/>
    <w:rsid w:val="55E27377"/>
    <w:rsid w:val="55EF2193"/>
    <w:rsid w:val="560165A7"/>
    <w:rsid w:val="560B3FD6"/>
    <w:rsid w:val="560C27CE"/>
    <w:rsid w:val="56195379"/>
    <w:rsid w:val="563121A3"/>
    <w:rsid w:val="563A5292"/>
    <w:rsid w:val="5646747A"/>
    <w:rsid w:val="565C1C2A"/>
    <w:rsid w:val="567B0F8C"/>
    <w:rsid w:val="56D476A1"/>
    <w:rsid w:val="56F63EE3"/>
    <w:rsid w:val="574328BF"/>
    <w:rsid w:val="577510E8"/>
    <w:rsid w:val="57A648E5"/>
    <w:rsid w:val="580F77FF"/>
    <w:rsid w:val="584667E1"/>
    <w:rsid w:val="5884596F"/>
    <w:rsid w:val="58B31E4C"/>
    <w:rsid w:val="58E1781D"/>
    <w:rsid w:val="590E442C"/>
    <w:rsid w:val="597162CE"/>
    <w:rsid w:val="598336AE"/>
    <w:rsid w:val="599B3F0F"/>
    <w:rsid w:val="59A2047A"/>
    <w:rsid w:val="5A41650D"/>
    <w:rsid w:val="5A7852B1"/>
    <w:rsid w:val="5A9A631A"/>
    <w:rsid w:val="5AA97C90"/>
    <w:rsid w:val="5AE4319D"/>
    <w:rsid w:val="5B1F505B"/>
    <w:rsid w:val="5B2B6EDA"/>
    <w:rsid w:val="5B85004B"/>
    <w:rsid w:val="5BD0382F"/>
    <w:rsid w:val="5C7E5C8C"/>
    <w:rsid w:val="5CE90207"/>
    <w:rsid w:val="5CEA4265"/>
    <w:rsid w:val="5D2B5865"/>
    <w:rsid w:val="5D4517F1"/>
    <w:rsid w:val="5D6F28E4"/>
    <w:rsid w:val="5DA40743"/>
    <w:rsid w:val="5DAA0B36"/>
    <w:rsid w:val="5DAF7E80"/>
    <w:rsid w:val="5DE4329A"/>
    <w:rsid w:val="5E3B759B"/>
    <w:rsid w:val="5E501568"/>
    <w:rsid w:val="5E50611E"/>
    <w:rsid w:val="5EB138AE"/>
    <w:rsid w:val="5EB53035"/>
    <w:rsid w:val="5ED23CC7"/>
    <w:rsid w:val="5EE6353D"/>
    <w:rsid w:val="5F0310B7"/>
    <w:rsid w:val="5F0C287E"/>
    <w:rsid w:val="5F125F0A"/>
    <w:rsid w:val="5F1655AE"/>
    <w:rsid w:val="5F5952B0"/>
    <w:rsid w:val="5FE12DAA"/>
    <w:rsid w:val="60020601"/>
    <w:rsid w:val="602E28A2"/>
    <w:rsid w:val="60C0423D"/>
    <w:rsid w:val="60E7450D"/>
    <w:rsid w:val="61283254"/>
    <w:rsid w:val="613528A2"/>
    <w:rsid w:val="61644155"/>
    <w:rsid w:val="6166406C"/>
    <w:rsid w:val="618F3AF2"/>
    <w:rsid w:val="61DA68DC"/>
    <w:rsid w:val="61E142B8"/>
    <w:rsid w:val="61FC1FED"/>
    <w:rsid w:val="622708C6"/>
    <w:rsid w:val="62460A47"/>
    <w:rsid w:val="62707F98"/>
    <w:rsid w:val="628A67D6"/>
    <w:rsid w:val="62FC7684"/>
    <w:rsid w:val="63000057"/>
    <w:rsid w:val="63003F81"/>
    <w:rsid w:val="63554C8E"/>
    <w:rsid w:val="63791642"/>
    <w:rsid w:val="63890B77"/>
    <w:rsid w:val="63970830"/>
    <w:rsid w:val="639D1EC4"/>
    <w:rsid w:val="63A13700"/>
    <w:rsid w:val="63D100AF"/>
    <w:rsid w:val="63DA03E2"/>
    <w:rsid w:val="64541B77"/>
    <w:rsid w:val="64551379"/>
    <w:rsid w:val="64667487"/>
    <w:rsid w:val="647664A0"/>
    <w:rsid w:val="64E9282A"/>
    <w:rsid w:val="653B039A"/>
    <w:rsid w:val="65C63D9B"/>
    <w:rsid w:val="65E27827"/>
    <w:rsid w:val="66103AAA"/>
    <w:rsid w:val="66733ED8"/>
    <w:rsid w:val="667640C4"/>
    <w:rsid w:val="66DC24A5"/>
    <w:rsid w:val="66DF3B52"/>
    <w:rsid w:val="672963E0"/>
    <w:rsid w:val="67346A25"/>
    <w:rsid w:val="67363836"/>
    <w:rsid w:val="67520003"/>
    <w:rsid w:val="675A4556"/>
    <w:rsid w:val="675C47D1"/>
    <w:rsid w:val="675E5725"/>
    <w:rsid w:val="679271B5"/>
    <w:rsid w:val="67936D67"/>
    <w:rsid w:val="67A01A11"/>
    <w:rsid w:val="67AE1BA6"/>
    <w:rsid w:val="67B255B2"/>
    <w:rsid w:val="67CC0BD6"/>
    <w:rsid w:val="68191A65"/>
    <w:rsid w:val="681D37A3"/>
    <w:rsid w:val="68C91857"/>
    <w:rsid w:val="68F60924"/>
    <w:rsid w:val="69572330"/>
    <w:rsid w:val="698C4C9E"/>
    <w:rsid w:val="69E719A0"/>
    <w:rsid w:val="6A5B0FA5"/>
    <w:rsid w:val="6A983C35"/>
    <w:rsid w:val="6AAC3F8C"/>
    <w:rsid w:val="6B4C2F45"/>
    <w:rsid w:val="6B547AE4"/>
    <w:rsid w:val="6B966680"/>
    <w:rsid w:val="6BBF0919"/>
    <w:rsid w:val="6C00646D"/>
    <w:rsid w:val="6C026743"/>
    <w:rsid w:val="6C161AD0"/>
    <w:rsid w:val="6CCC33B2"/>
    <w:rsid w:val="6D157AE9"/>
    <w:rsid w:val="6D261839"/>
    <w:rsid w:val="6D2C2EC2"/>
    <w:rsid w:val="6D2E7D50"/>
    <w:rsid w:val="6D6B10A9"/>
    <w:rsid w:val="6D9938C6"/>
    <w:rsid w:val="6DA85675"/>
    <w:rsid w:val="6DD90E21"/>
    <w:rsid w:val="6DE0162F"/>
    <w:rsid w:val="6DEE026A"/>
    <w:rsid w:val="6DFA0630"/>
    <w:rsid w:val="6DFA3383"/>
    <w:rsid w:val="6E062488"/>
    <w:rsid w:val="6E1A49C5"/>
    <w:rsid w:val="6E254EA7"/>
    <w:rsid w:val="6E4B2AEB"/>
    <w:rsid w:val="6EBA3C47"/>
    <w:rsid w:val="6EBB30B7"/>
    <w:rsid w:val="6F037FAB"/>
    <w:rsid w:val="6F191C5C"/>
    <w:rsid w:val="6F44586C"/>
    <w:rsid w:val="6F786BDA"/>
    <w:rsid w:val="6FD6294A"/>
    <w:rsid w:val="70113542"/>
    <w:rsid w:val="70851CBD"/>
    <w:rsid w:val="709573C6"/>
    <w:rsid w:val="709E2354"/>
    <w:rsid w:val="70E70772"/>
    <w:rsid w:val="70FF18AA"/>
    <w:rsid w:val="71660EED"/>
    <w:rsid w:val="717D4A37"/>
    <w:rsid w:val="71900429"/>
    <w:rsid w:val="719027A5"/>
    <w:rsid w:val="71C9496E"/>
    <w:rsid w:val="71EE76F7"/>
    <w:rsid w:val="725F0CAE"/>
    <w:rsid w:val="72981180"/>
    <w:rsid w:val="729C09F9"/>
    <w:rsid w:val="72B21BE0"/>
    <w:rsid w:val="73001A15"/>
    <w:rsid w:val="73155C46"/>
    <w:rsid w:val="733F6067"/>
    <w:rsid w:val="73567E96"/>
    <w:rsid w:val="7366194C"/>
    <w:rsid w:val="73F31065"/>
    <w:rsid w:val="74062834"/>
    <w:rsid w:val="740D552E"/>
    <w:rsid w:val="74136087"/>
    <w:rsid w:val="743B625A"/>
    <w:rsid w:val="7443680B"/>
    <w:rsid w:val="74544031"/>
    <w:rsid w:val="745500EB"/>
    <w:rsid w:val="74726249"/>
    <w:rsid w:val="7480197C"/>
    <w:rsid w:val="74A805D6"/>
    <w:rsid w:val="74A870B6"/>
    <w:rsid w:val="74DD5894"/>
    <w:rsid w:val="74EC6D1E"/>
    <w:rsid w:val="74FA0674"/>
    <w:rsid w:val="75385547"/>
    <w:rsid w:val="754C1EA4"/>
    <w:rsid w:val="754F1383"/>
    <w:rsid w:val="75B75F4A"/>
    <w:rsid w:val="75DC198B"/>
    <w:rsid w:val="75E25A77"/>
    <w:rsid w:val="762A07F6"/>
    <w:rsid w:val="76496A51"/>
    <w:rsid w:val="764A2B58"/>
    <w:rsid w:val="76661B90"/>
    <w:rsid w:val="766D3D59"/>
    <w:rsid w:val="7687004A"/>
    <w:rsid w:val="76E465AA"/>
    <w:rsid w:val="77307E87"/>
    <w:rsid w:val="77731DCC"/>
    <w:rsid w:val="77B301A9"/>
    <w:rsid w:val="77BE7190"/>
    <w:rsid w:val="77D83AB0"/>
    <w:rsid w:val="77ED043F"/>
    <w:rsid w:val="77F43C8B"/>
    <w:rsid w:val="77FA47E4"/>
    <w:rsid w:val="7872569B"/>
    <w:rsid w:val="78F759E0"/>
    <w:rsid w:val="78FB1E09"/>
    <w:rsid w:val="79802062"/>
    <w:rsid w:val="79BB4445"/>
    <w:rsid w:val="79CB33E9"/>
    <w:rsid w:val="79CC1086"/>
    <w:rsid w:val="79EF28EF"/>
    <w:rsid w:val="7A0E66B3"/>
    <w:rsid w:val="7A300713"/>
    <w:rsid w:val="7A3B7268"/>
    <w:rsid w:val="7AB968E7"/>
    <w:rsid w:val="7AC65BFC"/>
    <w:rsid w:val="7AF921D7"/>
    <w:rsid w:val="7B0735D8"/>
    <w:rsid w:val="7B0F7EA2"/>
    <w:rsid w:val="7B1012D5"/>
    <w:rsid w:val="7B2F3DDD"/>
    <w:rsid w:val="7B4B41CD"/>
    <w:rsid w:val="7B5A24C6"/>
    <w:rsid w:val="7B6F7E14"/>
    <w:rsid w:val="7B8E71E8"/>
    <w:rsid w:val="7C012101"/>
    <w:rsid w:val="7C651F72"/>
    <w:rsid w:val="7C6F2735"/>
    <w:rsid w:val="7CDB4C9F"/>
    <w:rsid w:val="7D016D57"/>
    <w:rsid w:val="7D19059F"/>
    <w:rsid w:val="7D2B624D"/>
    <w:rsid w:val="7DC33AA0"/>
    <w:rsid w:val="7EA630E7"/>
    <w:rsid w:val="7EB61058"/>
    <w:rsid w:val="7EC8776A"/>
    <w:rsid w:val="7ED004CF"/>
    <w:rsid w:val="7ED06C31"/>
    <w:rsid w:val="7ED53BE9"/>
    <w:rsid w:val="7F691199"/>
    <w:rsid w:val="7F6D3DE1"/>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17063</Words>
  <Characters>17558</Characters>
  <Lines>112</Lines>
  <Paragraphs>31</Paragraphs>
  <TotalTime>82</TotalTime>
  <ScaleCrop>false</ScaleCrop>
  <LinksUpToDate>false</LinksUpToDate>
  <CharactersWithSpaces>17717</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2025-08-26T06:10:01Z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D08947F9925B4F26B8040C041FFFF6D3</vt:lpwstr>
  </property>
</Properties>
</file>