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58"/>
        <w:widowControl/>
        <w:snapToGrid w:val="0"/>
        <w:spacing w:line="360" w:lineRule="auto"/>
        <w:ind w:left="0" w:leftChars="0" w:firstLine="0" w:firstLineChars="0"/>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兴银理财【添利】理财产品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理财产品管理人：兴银理财有限责任公司</w:t>
      </w:r>
    </w:p>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r>
        <w:rPr>
          <w:rStyle w:val="27"/>
          <w:rFonts w:hint="eastAsia" w:ascii="宋体" w:hAnsi="宋体"/>
          <w:sz w:val="28"/>
          <w:szCs w:val="28"/>
        </w:rPr>
        <w:t>【202</w:t>
      </w:r>
      <w:r>
        <w:rPr>
          <w:rStyle w:val="27"/>
          <w:rFonts w:ascii="宋体" w:hAnsi="宋体"/>
          <w:sz w:val="28"/>
          <w:szCs w:val="28"/>
        </w:rPr>
        <w:t>4</w:t>
      </w:r>
      <w:r>
        <w:rPr>
          <w:rStyle w:val="27"/>
          <w:rFonts w:hint="eastAsia" w:ascii="宋体" w:hAnsi="宋体"/>
          <w:sz w:val="28"/>
          <w:szCs w:val="28"/>
        </w:rPr>
        <w:t>】年【</w:t>
      </w:r>
      <w:r>
        <w:rPr>
          <w:rStyle w:val="27"/>
          <w:rFonts w:ascii="宋体" w:hAnsi="宋体"/>
          <w:sz w:val="28"/>
          <w:szCs w:val="28"/>
        </w:rPr>
        <w:t>4</w:t>
      </w:r>
      <w:r>
        <w:rPr>
          <w:rStyle w:val="27"/>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【兴银理财添利天天利16号净值型理财产品】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兴银添利天天利16号L】</w:t>
            </w:r>
            <w:r>
              <w:rPr>
                <w:rFonts w:ascii="宋体" w:hAnsi="宋体"/>
                <w:bCs/>
                <w:sz w:val="18"/>
                <w:szCs w:val="18"/>
              </w:rPr>
              <w:t>（适用【L】类份额）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Z7002023000400</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【9TTL0160】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hAnsi="宋体"/>
                <w:sz w:val="18"/>
                <w:szCs w:val="18"/>
              </w:rPr>
            </w:pPr>
            <w:r>
              <w:rPr>
                <w:rFonts w:hint="eastAsia" w:hAnsi="宋体"/>
                <w:b/>
                <w:sz w:val="18"/>
                <w:szCs w:val="18"/>
              </w:rPr>
              <w:t>★销售代码</w:t>
            </w:r>
          </w:p>
        </w:tc>
        <w:tc>
          <w:tcPr>
            <w:tcW w:w="6389" w:type="dxa"/>
            <w:gridSpan w:val="3"/>
            <w:shd w:val="solid" w:color="FFFFFF" w:fill="FFFFFF"/>
          </w:tcPr>
          <w:p>
            <w:pPr>
              <w:spacing w:line="360" w:lineRule="auto"/>
              <w:jc w:val="left"/>
              <w:rPr>
                <w:rFonts w:ascii="宋体" w:hAnsi="宋体"/>
                <w:bCs/>
                <w:color w:val="000000" w:themeColor="text1"/>
                <w:sz w:val="18"/>
                <w:szCs w:val="18"/>
              </w:rPr>
            </w:pPr>
            <w:r>
              <w:rPr>
                <w:rFonts w:hint="eastAsia" w:ascii="宋体" w:hAnsi="宋体"/>
                <w:bCs/>
                <w:sz w:val="18"/>
                <w:szCs w:val="18"/>
              </w:rPr>
              <w:t>【</w:t>
            </w:r>
            <w:r>
              <w:rPr>
                <w:rFonts w:asciiTheme="minorEastAsia" w:hAnsiTheme="minorEastAsia"/>
                <w:sz w:val="18"/>
                <w:szCs w:val="18"/>
              </w:rPr>
              <w:t>9TTL016L】</w:t>
            </w:r>
            <w:r>
              <w:rPr>
                <w:rFonts w:ascii="宋体" w:hAnsi="宋体"/>
                <w:bCs/>
                <w:sz w:val="18"/>
                <w:szCs w:val="18"/>
              </w:rPr>
              <w:t>（适用【L】类份额）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rPr>
              <w:rFonts w:asciiTheme="minorHAnsi" w:hAnsiTheme="minorHAnsi" w:eastAsiaTheme="minorEastAsia" w:cstheme="minorBidi"/>
              <w:szCs w:val="22"/>
            </w:rPr>
          </w:pPr>
          <w:r>
            <w:fldChar w:fldCharType="begin"/>
          </w:r>
          <w:r>
            <w:instrText xml:space="preserve"> HYPERLINK \l "_Toc79653758" </w:instrText>
          </w:r>
          <w:r>
            <w:fldChar w:fldCharType="separate"/>
          </w:r>
          <w:r>
            <w:rPr>
              <w:rStyle w:val="29"/>
              <w:rFonts w:hint="eastAsia"/>
            </w:rPr>
            <w:t>第一条</w:t>
          </w:r>
          <w:r>
            <w:rPr>
              <w:rStyle w:val="29"/>
            </w:rPr>
            <w:t xml:space="preserve">  </w:t>
          </w:r>
          <w:r>
            <w:rPr>
              <w:rStyle w:val="29"/>
              <w:rFonts w:hint="eastAsia"/>
            </w:rPr>
            <w:t>前言</w:t>
          </w:r>
          <w:r>
            <w:tab/>
          </w:r>
          <w:r>
            <w:rPr>
              <w:rFonts w:hint="eastAsia"/>
              <w:lang w:val="en-US" w:eastAsia="zh-CN"/>
            </w:rPr>
            <w:t>1</w:t>
          </w:r>
          <w:r>
            <w:fldChar w:fldCharType="end"/>
          </w:r>
        </w:p>
        <w:p>
          <w:pPr>
            <w:pStyle w:val="16"/>
            <w:rPr>
              <w:rFonts w:asciiTheme="minorHAnsi" w:hAnsiTheme="minorHAnsi" w:eastAsiaTheme="minorEastAsia" w:cstheme="minorBidi"/>
              <w:szCs w:val="22"/>
            </w:rPr>
          </w:pPr>
          <w:r>
            <w:fldChar w:fldCharType="begin"/>
          </w:r>
          <w:r>
            <w:instrText xml:space="preserve"> HYPERLINK \l "_Toc79653759" </w:instrText>
          </w:r>
          <w:r>
            <w:fldChar w:fldCharType="separate"/>
          </w:r>
          <w:r>
            <w:rPr>
              <w:rStyle w:val="29"/>
              <w:rFonts w:hint="eastAsia"/>
            </w:rPr>
            <w:t>第二条</w:t>
          </w:r>
          <w:r>
            <w:rPr>
              <w:rStyle w:val="29"/>
            </w:rPr>
            <w:t xml:space="preserve">  </w:t>
          </w:r>
          <w:r>
            <w:rPr>
              <w:rStyle w:val="29"/>
              <w:rFonts w:hint="eastAsia"/>
            </w:rPr>
            <w:t>双方权利义务</w:t>
          </w:r>
          <w:r>
            <w:tab/>
          </w:r>
          <w:r>
            <w:rPr>
              <w:rFonts w:hint="eastAsia"/>
              <w:lang w:val="en-US" w:eastAsia="zh-CN"/>
            </w:rPr>
            <w:t>2</w:t>
          </w:r>
          <w:r>
            <w:fldChar w:fldCharType="end"/>
          </w:r>
        </w:p>
        <w:p>
          <w:pPr>
            <w:pStyle w:val="16"/>
            <w:rPr>
              <w:rFonts w:asciiTheme="minorHAnsi" w:hAnsiTheme="minorHAnsi" w:eastAsiaTheme="minorEastAsia" w:cstheme="minorBidi"/>
              <w:szCs w:val="22"/>
            </w:rPr>
          </w:pPr>
          <w:r>
            <w:fldChar w:fldCharType="begin"/>
          </w:r>
          <w:r>
            <w:instrText xml:space="preserve"> HYPERLINK \l "_Toc79653760" </w:instrText>
          </w:r>
          <w:r>
            <w:fldChar w:fldCharType="separate"/>
          </w:r>
          <w:r>
            <w:rPr>
              <w:rStyle w:val="29"/>
              <w:rFonts w:hint="eastAsia"/>
            </w:rPr>
            <w:t>第三条</w:t>
          </w:r>
          <w:r>
            <w:rPr>
              <w:rStyle w:val="29"/>
            </w:rPr>
            <w:t xml:space="preserve">  </w:t>
          </w:r>
          <w:r>
            <w:rPr>
              <w:rStyle w:val="29"/>
              <w:rFonts w:hint="eastAsia"/>
            </w:rPr>
            <w:t>不可抗力</w:t>
          </w:r>
          <w:r>
            <w:tab/>
          </w:r>
          <w:r>
            <w:rPr>
              <w:rFonts w:hint="eastAsia"/>
              <w:lang w:val="en-US" w:eastAsia="zh-CN"/>
            </w:rPr>
            <w:t>5</w:t>
          </w:r>
          <w:r>
            <w:fldChar w:fldCharType="end"/>
          </w:r>
        </w:p>
        <w:p>
          <w:pPr>
            <w:pStyle w:val="16"/>
            <w:rPr>
              <w:rFonts w:asciiTheme="minorHAnsi" w:hAnsiTheme="minorHAnsi" w:eastAsiaTheme="minorEastAsia" w:cstheme="minorBidi"/>
              <w:szCs w:val="22"/>
            </w:rPr>
          </w:pPr>
          <w:r>
            <w:fldChar w:fldCharType="begin"/>
          </w:r>
          <w:r>
            <w:instrText xml:space="preserve"> HYPERLINK \l "_Toc79653761" </w:instrText>
          </w:r>
          <w:r>
            <w:fldChar w:fldCharType="separate"/>
          </w:r>
          <w:r>
            <w:rPr>
              <w:rStyle w:val="29"/>
              <w:rFonts w:hint="eastAsia"/>
            </w:rPr>
            <w:t>第四条</w:t>
          </w:r>
          <w:r>
            <w:rPr>
              <w:rStyle w:val="29"/>
            </w:rPr>
            <w:t xml:space="preserve">  </w:t>
          </w:r>
          <w:r>
            <w:rPr>
              <w:rStyle w:val="29"/>
              <w:rFonts w:hint="eastAsia"/>
            </w:rPr>
            <w:t>违约责任</w:t>
          </w:r>
          <w:r>
            <w:tab/>
          </w:r>
          <w:r>
            <w:rPr>
              <w:rFonts w:hint="eastAsia"/>
              <w:lang w:val="en-US" w:eastAsia="zh-CN"/>
            </w:rPr>
            <w:t>6</w:t>
          </w:r>
          <w:r>
            <w:fldChar w:fldCharType="end"/>
          </w:r>
        </w:p>
        <w:p>
          <w:pPr>
            <w:pStyle w:val="16"/>
            <w:rPr>
              <w:rFonts w:asciiTheme="minorHAnsi" w:hAnsiTheme="minorHAnsi" w:eastAsiaTheme="minorEastAsia" w:cstheme="minorBidi"/>
              <w:szCs w:val="22"/>
            </w:rPr>
          </w:pPr>
          <w:r>
            <w:fldChar w:fldCharType="begin"/>
          </w:r>
          <w:r>
            <w:instrText xml:space="preserve"> HYPERLINK \l "_Toc79653762" </w:instrText>
          </w:r>
          <w:r>
            <w:fldChar w:fldCharType="separate"/>
          </w:r>
          <w:r>
            <w:rPr>
              <w:rStyle w:val="29"/>
              <w:rFonts w:hint="eastAsia"/>
            </w:rPr>
            <w:t>第五条</w:t>
          </w:r>
          <w:r>
            <w:rPr>
              <w:rStyle w:val="29"/>
            </w:rPr>
            <w:t xml:space="preserve">  </w:t>
          </w:r>
          <w:r>
            <w:rPr>
              <w:rStyle w:val="29"/>
              <w:rFonts w:hint="eastAsia"/>
            </w:rPr>
            <w:t>法律适用和争议解决</w:t>
          </w:r>
          <w:r>
            <w:tab/>
          </w:r>
          <w:r>
            <w:rPr>
              <w:rFonts w:hint="eastAsia"/>
              <w:lang w:val="en-US" w:eastAsia="zh-CN"/>
            </w:rPr>
            <w:t>7</w:t>
          </w:r>
          <w:r>
            <w:fldChar w:fldCharType="end"/>
          </w:r>
        </w:p>
        <w:p>
          <w:pPr>
            <w:pStyle w:val="16"/>
            <w:rPr>
              <w:rFonts w:hint="eastAsia" w:eastAsia="宋体" w:asciiTheme="minorHAnsi" w:hAnsiTheme="minorHAnsi" w:cstheme="minorBidi"/>
              <w:szCs w:val="22"/>
              <w:lang w:val="en-US" w:eastAsia="zh-CN"/>
            </w:rPr>
          </w:pPr>
          <w:r>
            <w:fldChar w:fldCharType="begin"/>
          </w:r>
          <w:r>
            <w:instrText xml:space="preserve"> HYPERLINK \l "_Toc79653763" </w:instrText>
          </w:r>
          <w:r>
            <w:fldChar w:fldCharType="separate"/>
          </w:r>
          <w:r>
            <w:rPr>
              <w:rStyle w:val="29"/>
              <w:rFonts w:hint="eastAsia"/>
            </w:rPr>
            <w:t>第六条</w:t>
          </w:r>
          <w:r>
            <w:rPr>
              <w:rStyle w:val="29"/>
            </w:rPr>
            <w:t xml:space="preserve">  </w:t>
          </w:r>
          <w:r>
            <w:rPr>
              <w:rStyle w:val="29"/>
              <w:rFonts w:hint="eastAsia"/>
            </w:rPr>
            <w:t>协议的签署和效力</w:t>
          </w:r>
          <w:r>
            <w:tab/>
          </w:r>
          <w:r>
            <w:rPr>
              <w:rFonts w:hint="eastAsia"/>
              <w:lang w:val="en-US" w:eastAsia="zh-CN"/>
            </w:rPr>
            <w:t>8</w:t>
          </w:r>
          <w:r>
            <w:fldChar w:fldCharType="end"/>
          </w:r>
        </w:p>
        <w:p>
          <w:pPr>
            <w:pStyle w:val="16"/>
            <w:rPr>
              <w:rFonts w:asciiTheme="minorHAnsi" w:hAnsiTheme="minorHAnsi" w:eastAsiaTheme="minorEastAsia" w:cstheme="minorBidi"/>
              <w:szCs w:val="22"/>
            </w:rPr>
          </w:pPr>
          <w:r>
            <w:fldChar w:fldCharType="begin"/>
          </w:r>
          <w:r>
            <w:instrText xml:space="preserve"> HYPERLINK \l "_Toc79653764" </w:instrText>
          </w:r>
          <w:r>
            <w:fldChar w:fldCharType="separate"/>
          </w:r>
          <w:r>
            <w:rPr>
              <w:rStyle w:val="29"/>
              <w:rFonts w:hint="eastAsia"/>
            </w:rPr>
            <w:t>第七条</w:t>
          </w:r>
          <w:r>
            <w:rPr>
              <w:rStyle w:val="29"/>
            </w:rPr>
            <w:t xml:space="preserve">  </w:t>
          </w:r>
          <w:r>
            <w:rPr>
              <w:rStyle w:val="29"/>
              <w:rFonts w:hint="eastAsia"/>
            </w:rPr>
            <w:t>消费者权益保护</w:t>
          </w:r>
          <w:r>
            <w:tab/>
          </w:r>
          <w:r>
            <w:rPr>
              <w:rFonts w:hint="eastAsia"/>
              <w:lang w:val="en-US" w:eastAsia="zh-CN"/>
            </w:rPr>
            <w:t>9</w:t>
          </w:r>
          <w:r>
            <w:fldChar w:fldCharType="end"/>
          </w:r>
        </w:p>
        <w:p>
          <w:pPr>
            <w:spacing w:line="360" w:lineRule="auto"/>
          </w:pP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bookmarkStart w:id="0" w:name="_GoBack"/>
      <w:bookmarkEnd w:id="0"/>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hint="eastAsia"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p>
      <w:pPr>
        <w:pStyle w:val="2"/>
        <w:spacing w:before="0" w:after="0"/>
        <w:jc w:val="center"/>
        <w:rPr>
          <w:rFonts w:ascii="Times New Roman"/>
          <w:color w:val="auto"/>
          <w:sz w:val="30"/>
        </w:rPr>
      </w:pPr>
      <w:r>
        <w:rPr>
          <w:rFonts w:hint="eastAsia" w:ascii="Times New Roman"/>
          <w:color w:val="auto"/>
          <w:sz w:val="30"/>
        </w:rPr>
        <w:t>第一条</w:t>
      </w:r>
      <w:r>
        <w:rPr>
          <w:rFonts w:ascii="Times New Roman"/>
          <w:color w:val="auto"/>
          <w:sz w:val="30"/>
        </w:rPr>
        <w:t xml:space="preserve">  </w:t>
      </w:r>
      <w:r>
        <w:rPr>
          <w:rFonts w:hint="eastAsia" w:ascii="Times New Roman"/>
          <w:color w:val="auto"/>
          <w:sz w:val="30"/>
        </w:rPr>
        <w:t>前言</w:t>
      </w:r>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号）、《商业银行理财子公司管理办法》（银保监会令2018年第7号）、《理财公司理财产品销售管理暂行办法》（银保监会令2021年第4号）等监管规定及其他有关规定。</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43"/>
        <w:spacing w:line="360" w:lineRule="auto"/>
        <w:rPr>
          <w:rFonts w:asciiTheme="majorEastAsia" w:hAnsiTheme="majorEastAsia" w:eastAsiaTheme="majorEastAsia"/>
          <w:bCs/>
          <w:color w:val="auto"/>
          <w:sz w:val="18"/>
          <w:szCs w:val="18"/>
        </w:rPr>
      </w:pPr>
    </w:p>
    <w:p>
      <w:pPr>
        <w:widowControl/>
        <w:spacing w:line="360" w:lineRule="auto"/>
        <w:jc w:val="left"/>
      </w:pPr>
      <w:r>
        <w:br w:type="page"/>
      </w:r>
    </w:p>
    <w:p>
      <w:pPr>
        <w:pStyle w:val="2"/>
        <w:spacing w:before="0" w:after="0"/>
        <w:jc w:val="center"/>
        <w:rPr>
          <w:rFonts w:ascii="Times New Roman"/>
          <w:color w:val="auto"/>
          <w:sz w:val="30"/>
        </w:rPr>
      </w:pPr>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p>
      <w:pPr>
        <w:pStyle w:val="2"/>
        <w:spacing w:before="0" w:after="0"/>
        <w:jc w:val="center"/>
        <w:rPr>
          <w:rFonts w:ascii="Times New Roman"/>
          <w:sz w:val="30"/>
        </w:rPr>
      </w:pPr>
      <w:r>
        <w:rPr>
          <w:rFonts w:hint="eastAsia" w:ascii="Times New Roman"/>
          <w:color w:val="auto"/>
          <w:sz w:val="30"/>
        </w:rPr>
        <w:t>第三条</w:t>
      </w:r>
      <w:r>
        <w:rPr>
          <w:rFonts w:ascii="Times New Roman"/>
          <w:color w:val="auto"/>
          <w:sz w:val="30"/>
        </w:rPr>
        <w:t xml:space="preserve">  不可抗力</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第五条</w:t>
      </w:r>
      <w:r>
        <w:rPr>
          <w:rFonts w:ascii="Times New Roman"/>
          <w:color w:val="auto"/>
          <w:sz w:val="30"/>
        </w:rPr>
        <w:t xml:space="preserve">  法律适用和争议解决</w:t>
      </w:r>
    </w:p>
    <w:p>
      <w:pPr>
        <w:adjustRightInd w:val="0"/>
        <w:spacing w:line="360" w:lineRule="auto"/>
        <w:ind w:firstLine="360" w:firstLineChars="20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pPr>
        <w:adjustRightInd w:val="0"/>
        <w:spacing w:line="360" w:lineRule="auto"/>
        <w:ind w:firstLine="360" w:firstLineChars="20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hint="eastAsia" w:ascii="黑体" w:hAnsi="黑体" w:eastAsia="黑体"/>
          <w:color w:val="000000" w:themeColor="text1"/>
          <w:sz w:val="18"/>
          <w:szCs w:val="18"/>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rPr>
      </w:pPr>
      <w:r>
        <w:rPr>
          <w:rFonts w:ascii="黑体" w:hAnsi="黑体" w:eastAsia="黑体"/>
          <w:color w:val="000000" w:themeColor="text1"/>
          <w:sz w:val="18"/>
          <w:szCs w:val="18"/>
        </w:rPr>
        <w:br w:type="page"/>
      </w:r>
    </w:p>
    <w:p>
      <w:pPr>
        <w:pStyle w:val="2"/>
        <w:spacing w:before="0" w:after="0"/>
        <w:jc w:val="center"/>
        <w:rPr>
          <w:rFonts w:ascii="Times New Roman"/>
          <w:b w:val="0"/>
          <w:sz w:val="30"/>
        </w:rPr>
      </w:pPr>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 xml:space="preserve">消费者权益保护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type w:val="continuous"/>
      <w:pgSz w:w="11906" w:h="16838"/>
      <w:pgMar w:top="1440" w:right="1800" w:bottom="1440" w:left="1800" w:header="567"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3055"/>
    <w:rsid w:val="00094FC7"/>
    <w:rsid w:val="00096B82"/>
    <w:rsid w:val="00097F9C"/>
    <w:rsid w:val="000A21B2"/>
    <w:rsid w:val="000A29E4"/>
    <w:rsid w:val="000A5B0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140"/>
    <w:rsid w:val="001913D5"/>
    <w:rsid w:val="0019183C"/>
    <w:rsid w:val="001A0DEE"/>
    <w:rsid w:val="001A331C"/>
    <w:rsid w:val="001A3B4F"/>
    <w:rsid w:val="001B3D1B"/>
    <w:rsid w:val="001C2E83"/>
    <w:rsid w:val="001C5549"/>
    <w:rsid w:val="001C5FB8"/>
    <w:rsid w:val="001C627B"/>
    <w:rsid w:val="001C6A43"/>
    <w:rsid w:val="001D33CF"/>
    <w:rsid w:val="001D5339"/>
    <w:rsid w:val="001D6D21"/>
    <w:rsid w:val="001E0B5B"/>
    <w:rsid w:val="001E22BC"/>
    <w:rsid w:val="001E48F3"/>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0B5E"/>
    <w:rsid w:val="0023600D"/>
    <w:rsid w:val="00241D65"/>
    <w:rsid w:val="00244658"/>
    <w:rsid w:val="002464CF"/>
    <w:rsid w:val="00246FE1"/>
    <w:rsid w:val="002476E6"/>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3B12"/>
    <w:rsid w:val="002A571E"/>
    <w:rsid w:val="002A599B"/>
    <w:rsid w:val="002A72B3"/>
    <w:rsid w:val="002B2076"/>
    <w:rsid w:val="002B2E59"/>
    <w:rsid w:val="002B30E7"/>
    <w:rsid w:val="002B3DF5"/>
    <w:rsid w:val="002B659B"/>
    <w:rsid w:val="002B661B"/>
    <w:rsid w:val="002C13C1"/>
    <w:rsid w:val="002C27E7"/>
    <w:rsid w:val="002C3012"/>
    <w:rsid w:val="002C7D8E"/>
    <w:rsid w:val="002D121A"/>
    <w:rsid w:val="002D407E"/>
    <w:rsid w:val="002E22CC"/>
    <w:rsid w:val="002E2C93"/>
    <w:rsid w:val="002E388A"/>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27249"/>
    <w:rsid w:val="00327373"/>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129"/>
    <w:rsid w:val="00365749"/>
    <w:rsid w:val="00366930"/>
    <w:rsid w:val="00367846"/>
    <w:rsid w:val="0037284F"/>
    <w:rsid w:val="00376B22"/>
    <w:rsid w:val="003873DE"/>
    <w:rsid w:val="0039164E"/>
    <w:rsid w:val="00391C13"/>
    <w:rsid w:val="003928B0"/>
    <w:rsid w:val="00395E69"/>
    <w:rsid w:val="0039705F"/>
    <w:rsid w:val="003A2822"/>
    <w:rsid w:val="003B03E1"/>
    <w:rsid w:val="003B465C"/>
    <w:rsid w:val="003B63C9"/>
    <w:rsid w:val="003B6F46"/>
    <w:rsid w:val="003C216F"/>
    <w:rsid w:val="003C5027"/>
    <w:rsid w:val="003C65EC"/>
    <w:rsid w:val="003D3AA5"/>
    <w:rsid w:val="003D44A4"/>
    <w:rsid w:val="003D59C7"/>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0C16"/>
    <w:rsid w:val="00431E1F"/>
    <w:rsid w:val="00435E5C"/>
    <w:rsid w:val="00436CF2"/>
    <w:rsid w:val="00437361"/>
    <w:rsid w:val="00444664"/>
    <w:rsid w:val="00444AD5"/>
    <w:rsid w:val="00445CFA"/>
    <w:rsid w:val="00446FBB"/>
    <w:rsid w:val="0045304A"/>
    <w:rsid w:val="004530E2"/>
    <w:rsid w:val="0045487E"/>
    <w:rsid w:val="0045508F"/>
    <w:rsid w:val="00460B00"/>
    <w:rsid w:val="004628A2"/>
    <w:rsid w:val="00467615"/>
    <w:rsid w:val="00467D5C"/>
    <w:rsid w:val="004727C4"/>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4219"/>
    <w:rsid w:val="00547A26"/>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13B12"/>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7443"/>
    <w:rsid w:val="006D1109"/>
    <w:rsid w:val="006D4A61"/>
    <w:rsid w:val="006D57B9"/>
    <w:rsid w:val="006D6CDD"/>
    <w:rsid w:val="006D7EB4"/>
    <w:rsid w:val="006E07CD"/>
    <w:rsid w:val="006E4978"/>
    <w:rsid w:val="006F08E6"/>
    <w:rsid w:val="006F0FA1"/>
    <w:rsid w:val="006F1407"/>
    <w:rsid w:val="006F159D"/>
    <w:rsid w:val="006F3061"/>
    <w:rsid w:val="006F3E58"/>
    <w:rsid w:val="006F4C91"/>
    <w:rsid w:val="006F6966"/>
    <w:rsid w:val="006F6C9E"/>
    <w:rsid w:val="007003CA"/>
    <w:rsid w:val="00705A9A"/>
    <w:rsid w:val="00705AB8"/>
    <w:rsid w:val="00716497"/>
    <w:rsid w:val="00716FB0"/>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131A"/>
    <w:rsid w:val="007B3FDA"/>
    <w:rsid w:val="007B5733"/>
    <w:rsid w:val="007B58B4"/>
    <w:rsid w:val="007C0897"/>
    <w:rsid w:val="007D5721"/>
    <w:rsid w:val="007E0F86"/>
    <w:rsid w:val="007E1220"/>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69F4"/>
    <w:rsid w:val="00847D06"/>
    <w:rsid w:val="008526AD"/>
    <w:rsid w:val="00852A74"/>
    <w:rsid w:val="0085467A"/>
    <w:rsid w:val="00855E29"/>
    <w:rsid w:val="00856912"/>
    <w:rsid w:val="00862721"/>
    <w:rsid w:val="00863B57"/>
    <w:rsid w:val="00870710"/>
    <w:rsid w:val="00871266"/>
    <w:rsid w:val="00871450"/>
    <w:rsid w:val="008739A5"/>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E7246"/>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69BB"/>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7171"/>
    <w:rsid w:val="00A178EA"/>
    <w:rsid w:val="00A21427"/>
    <w:rsid w:val="00A21A6C"/>
    <w:rsid w:val="00A229C4"/>
    <w:rsid w:val="00A25383"/>
    <w:rsid w:val="00A26C04"/>
    <w:rsid w:val="00A34AC8"/>
    <w:rsid w:val="00A401DA"/>
    <w:rsid w:val="00A4447E"/>
    <w:rsid w:val="00A445F8"/>
    <w:rsid w:val="00A4489D"/>
    <w:rsid w:val="00A44FB2"/>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6276"/>
    <w:rsid w:val="00B606E5"/>
    <w:rsid w:val="00B606E6"/>
    <w:rsid w:val="00B61A35"/>
    <w:rsid w:val="00B70428"/>
    <w:rsid w:val="00B70DB8"/>
    <w:rsid w:val="00B72632"/>
    <w:rsid w:val="00B73C10"/>
    <w:rsid w:val="00B74A78"/>
    <w:rsid w:val="00B74F12"/>
    <w:rsid w:val="00B75AC5"/>
    <w:rsid w:val="00B75BE1"/>
    <w:rsid w:val="00B76971"/>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27BF"/>
    <w:rsid w:val="00C550E2"/>
    <w:rsid w:val="00C561B4"/>
    <w:rsid w:val="00C569F3"/>
    <w:rsid w:val="00C57F3A"/>
    <w:rsid w:val="00C6524D"/>
    <w:rsid w:val="00C6577D"/>
    <w:rsid w:val="00C66942"/>
    <w:rsid w:val="00C80014"/>
    <w:rsid w:val="00C80B19"/>
    <w:rsid w:val="00C90BFF"/>
    <w:rsid w:val="00C9379A"/>
    <w:rsid w:val="00C97F28"/>
    <w:rsid w:val="00CA175E"/>
    <w:rsid w:val="00CA42AB"/>
    <w:rsid w:val="00CA504C"/>
    <w:rsid w:val="00CA767B"/>
    <w:rsid w:val="00CB118D"/>
    <w:rsid w:val="00CB24A2"/>
    <w:rsid w:val="00CC01EF"/>
    <w:rsid w:val="00CC153D"/>
    <w:rsid w:val="00CC4E71"/>
    <w:rsid w:val="00CC5DA1"/>
    <w:rsid w:val="00CD1A38"/>
    <w:rsid w:val="00CD1ED6"/>
    <w:rsid w:val="00CD4530"/>
    <w:rsid w:val="00CE04EA"/>
    <w:rsid w:val="00CE21A3"/>
    <w:rsid w:val="00CE242E"/>
    <w:rsid w:val="00CE3D7D"/>
    <w:rsid w:val="00CF07E7"/>
    <w:rsid w:val="00CF20EC"/>
    <w:rsid w:val="00CF2381"/>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2526"/>
    <w:rsid w:val="00D9748A"/>
    <w:rsid w:val="00DA22F1"/>
    <w:rsid w:val="00DA43E0"/>
    <w:rsid w:val="00DA5A27"/>
    <w:rsid w:val="00DA78A9"/>
    <w:rsid w:val="00DA7A2B"/>
    <w:rsid w:val="00DB201C"/>
    <w:rsid w:val="00DB2DB0"/>
    <w:rsid w:val="00DB3857"/>
    <w:rsid w:val="00DB44A2"/>
    <w:rsid w:val="00DC0F23"/>
    <w:rsid w:val="00DC18EE"/>
    <w:rsid w:val="00DC2771"/>
    <w:rsid w:val="00DC295F"/>
    <w:rsid w:val="00DC3C57"/>
    <w:rsid w:val="00DC40E4"/>
    <w:rsid w:val="00DD2FE5"/>
    <w:rsid w:val="00DD6FE7"/>
    <w:rsid w:val="00DF3437"/>
    <w:rsid w:val="00DF3F05"/>
    <w:rsid w:val="00DF6B27"/>
    <w:rsid w:val="00DF749F"/>
    <w:rsid w:val="00DF7FC5"/>
    <w:rsid w:val="00E02E91"/>
    <w:rsid w:val="00E03447"/>
    <w:rsid w:val="00E0477B"/>
    <w:rsid w:val="00E072D2"/>
    <w:rsid w:val="00E12287"/>
    <w:rsid w:val="00E1770C"/>
    <w:rsid w:val="00E22677"/>
    <w:rsid w:val="00E23CB4"/>
    <w:rsid w:val="00E23CE7"/>
    <w:rsid w:val="00E3045C"/>
    <w:rsid w:val="00E30CD1"/>
    <w:rsid w:val="00E323CD"/>
    <w:rsid w:val="00E34CBA"/>
    <w:rsid w:val="00E36F2B"/>
    <w:rsid w:val="00E37E1A"/>
    <w:rsid w:val="00E4276E"/>
    <w:rsid w:val="00E44D44"/>
    <w:rsid w:val="00E44FFE"/>
    <w:rsid w:val="00E50662"/>
    <w:rsid w:val="00E51C4F"/>
    <w:rsid w:val="00E57E75"/>
    <w:rsid w:val="00E62861"/>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3FB6"/>
    <w:rsid w:val="00F34661"/>
    <w:rsid w:val="00F3550C"/>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1735"/>
    <w:rsid w:val="00FF46EE"/>
    <w:rsid w:val="0219738C"/>
    <w:rsid w:val="02622C60"/>
    <w:rsid w:val="03892AFA"/>
    <w:rsid w:val="045F758B"/>
    <w:rsid w:val="06E077DF"/>
    <w:rsid w:val="0ABD117B"/>
    <w:rsid w:val="0FF04983"/>
    <w:rsid w:val="13025B6B"/>
    <w:rsid w:val="149E474A"/>
    <w:rsid w:val="17E27F2E"/>
    <w:rsid w:val="1BCA430B"/>
    <w:rsid w:val="1BCD6BC7"/>
    <w:rsid w:val="255532D2"/>
    <w:rsid w:val="25EC2473"/>
    <w:rsid w:val="35C863A1"/>
    <w:rsid w:val="35DB0425"/>
    <w:rsid w:val="372C3B0E"/>
    <w:rsid w:val="3C345FB8"/>
    <w:rsid w:val="3C7F4A77"/>
    <w:rsid w:val="4F9B33E8"/>
    <w:rsid w:val="57947C23"/>
    <w:rsid w:val="5F732E90"/>
    <w:rsid w:val="630100D1"/>
    <w:rsid w:val="6678537B"/>
    <w:rsid w:val="67400176"/>
    <w:rsid w:val="6BA61904"/>
    <w:rsid w:val="6BCD37CC"/>
    <w:rsid w:val="7F194CBA"/>
    <w:rsid w:val="7F283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4F35A6-432B-4314-849C-39A4720A35A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8190</Words>
  <Characters>8344</Characters>
  <Lines>71</Lines>
  <Paragraphs>20</Paragraphs>
  <TotalTime>12</TotalTime>
  <ScaleCrop>false</ScaleCrop>
  <LinksUpToDate>false</LinksUpToDate>
  <CharactersWithSpaces>8591</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2023-11-01T01:43:00Z</dcterms:created>
  <dc:creator>Mandy.Z</dc:creator>
  <cp:lastModifiedBy>cib</cp:lastModifiedBy>
  <cp:lastPrinted>2017-10-31T06:33:00Z</cp:lastPrinted>
  <dcterms:modified xsi:type="dcterms:W3CDTF">2024-04-07T10:00:25Z</dcterms:modified>
  <dc:title>___证券投资基金招募说明书1</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C32D81A215754ADF9BB9D8DAEE47718A</vt:lpwstr>
  </property>
</Properties>
</file>