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b/>
          <w:sz w:val="32"/>
          <w:szCs w:val="21"/>
        </w:rPr>
      </w:pPr>
      <w:r>
        <w:rPr>
          <w:rFonts w:hint="eastAsia"/>
          <w:b/>
          <w:sz w:val="28"/>
          <w:szCs w:val="21"/>
        </w:rPr>
        <w:t>平安理财新安鑫98号触盈（黄金）封闭固收类理财产品</w:t>
      </w:r>
      <w:r>
        <w:rPr>
          <w:rFonts w:ascii="Arial" w:hAnsi="Arial" w:cs="Arial"/>
          <w:b/>
          <w:bCs/>
          <w:color w:val="000000"/>
          <w:sz w:val="28"/>
          <w:szCs w:val="21"/>
        </w:rPr>
        <w:t>说明</w:t>
      </w:r>
      <w:r>
        <w:rPr>
          <w:rFonts w:ascii="Arial" w:hAnsi="Arial" w:cs="Arial"/>
          <w:b/>
          <w:sz w:val="28"/>
          <w:szCs w:val="21"/>
        </w:rPr>
        <w:t>书</w:t>
      </w:r>
    </w:p>
    <w:tbl>
      <w:tblPr>
        <w:tblStyle w:val="10"/>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hint="eastAsia" w:ascii="宋体" w:hAnsi="宋体"/>
                <w:b/>
                <w:kern w:val="0"/>
                <w:sz w:val="22"/>
              </w:rPr>
              <w:t>理财非存款，产品有风险，投资须谨慎。</w:t>
            </w:r>
            <w:r>
              <w:rPr>
                <w:rFonts w:ascii="Arial" w:hAnsi="Arial" w:cs="Arial" w:eastAsiaTheme="minorEastAsia"/>
                <w:b/>
                <w:kern w:val="0"/>
                <w:sz w:val="22"/>
              </w:rPr>
              <w:t>理财产品过往业绩不代表其未来表现，不等于理财产品实际收益，投资须谨慎</w:t>
            </w:r>
            <w:r>
              <w:rPr>
                <w:rFonts w:hint="eastAsia" w:ascii="Arial" w:hAnsi="Arial" w:cs="Arial" w:eastAsiaTheme="minorEastAsia"/>
                <w:b/>
                <w:kern w:val="0"/>
                <w:sz w:val="22"/>
              </w:rPr>
              <w:t>。</w:t>
            </w:r>
            <w:r>
              <w:rPr>
                <w:rFonts w:ascii="Arial" w:hAnsi="Arial" w:cs="Arial" w:eastAsiaTheme="minorEastAsia"/>
                <w:b/>
                <w:kern w:val="0"/>
                <w:sz w:val="22"/>
              </w:rPr>
              <w:t>平安理财有限责任公司（以下简称“平安理财”</w:t>
            </w:r>
            <w:r>
              <w:rPr>
                <w:rFonts w:hint="eastAsia" w:ascii="Arial" w:hAnsi="Arial" w:cs="Arial" w:eastAsiaTheme="minorEastAsia"/>
                <w:b/>
                <w:kern w:val="0"/>
                <w:sz w:val="22"/>
              </w:rPr>
              <w:t>、“管理人”</w:t>
            </w:r>
            <w:r>
              <w:rPr>
                <w:rFonts w:ascii="Arial" w:hAnsi="Arial" w:cs="Arial" w:eastAsiaTheme="minorEastAsia"/>
                <w:b/>
                <w:kern w:val="0"/>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本理财产品仅向依据中华人民共和国有关法律法规及本理财产品说明书约定可以购买本理财产品的投资者</w:t>
            </w:r>
            <w:r>
              <w:rPr>
                <w:rFonts w:hint="eastAsia" w:ascii="Arial" w:hAnsi="Arial" w:cs="Arial" w:eastAsiaTheme="minorEastAsia"/>
                <w:b/>
                <w:kern w:val="0"/>
                <w:sz w:val="22"/>
              </w:rPr>
              <w:t>销</w:t>
            </w:r>
            <w:r>
              <w:rPr>
                <w:rFonts w:ascii="Arial" w:hAnsi="Arial" w:cs="Arial" w:eastAsiaTheme="minorEastAsia"/>
                <w:b/>
                <w:kern w:val="0"/>
                <w:sz w:val="22"/>
              </w:rPr>
              <w:t>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投资者不得使用贷款、发行债券等筹集的非自有资金投资本理财产品；投资者承诺其投资理财产品使用的资金来源合法合规，并且其系为合法之目的投资本理财产品，而非为洗钱等违法犯罪之目的，投资者</w:t>
            </w:r>
            <w:r>
              <w:rPr>
                <w:rFonts w:hint="eastAsia" w:ascii="Arial" w:hAnsi="Arial" w:cs="Arial" w:eastAsiaTheme="minorEastAsia"/>
                <w:b/>
                <w:kern w:val="0"/>
                <w:sz w:val="22"/>
              </w:rPr>
              <w:t>应</w:t>
            </w:r>
            <w:r>
              <w:rPr>
                <w:rFonts w:ascii="Arial" w:hAnsi="Arial" w:cs="Arial" w:eastAsiaTheme="minorEastAsia"/>
                <w:b/>
                <w:kern w:val="0"/>
                <w:sz w:val="22"/>
              </w:rPr>
              <w:t>配合管理人及销售服务机构开展投资者适当性管理以及客户身份识别</w:t>
            </w:r>
            <w:r>
              <w:rPr>
                <w:rFonts w:hint="eastAsia" w:ascii="Arial" w:hAnsi="Arial" w:cs="Arial" w:eastAsiaTheme="minorEastAsia"/>
                <w:b/>
                <w:kern w:val="0"/>
                <w:sz w:val="22"/>
              </w:rPr>
              <w:t>、尽职调查</w:t>
            </w:r>
            <w:r>
              <w:rPr>
                <w:rFonts w:ascii="宋体" w:hAnsi="宋体" w:cs="Arial"/>
                <w:b/>
                <w:kern w:val="0"/>
                <w:sz w:val="22"/>
              </w:rPr>
              <w:t>等反洗钱</w:t>
            </w:r>
            <w:r>
              <w:rPr>
                <w:rFonts w:hint="eastAsia" w:ascii="宋体" w:hAnsi="宋体" w:cs="Arial"/>
                <w:b/>
                <w:kern w:val="0"/>
                <w:sz w:val="22"/>
              </w:rPr>
              <w:t>、反恐怖融资、反扩散融资及非居民金融账户涉税信息</w:t>
            </w:r>
            <w:r>
              <w:rPr>
                <w:rFonts w:ascii="Arial" w:hAnsi="Arial" w:cs="Arial" w:eastAsiaTheme="minorEastAsia"/>
                <w:b/>
                <w:kern w:val="0"/>
                <w:sz w:val="22"/>
              </w:rPr>
              <w:t>尽职调查等</w:t>
            </w:r>
            <w:r>
              <w:rPr>
                <w:rFonts w:hint="eastAsia" w:ascii="Arial" w:hAnsi="Arial" w:cs="Arial" w:eastAsiaTheme="minorEastAsia"/>
                <w:b/>
                <w:kern w:val="0"/>
                <w:sz w:val="22"/>
              </w:rPr>
              <w:t>工作</w:t>
            </w:r>
            <w:r>
              <w:rPr>
                <w:rFonts w:ascii="Arial" w:hAnsi="Arial" w:cs="Arial" w:eastAsiaTheme="minorEastAsia"/>
                <w:b/>
                <w:kern w:val="0"/>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宋体" w:hAnsi="宋体" w:cs="Arial"/>
                <w:b/>
                <w:kern w:val="0"/>
                <w:sz w:val="22"/>
              </w:rPr>
            </w:pPr>
            <w:r>
              <w:rPr>
                <w:rFonts w:hint="eastAsia" w:ascii="Arial" w:hAnsi="Arial" w:cs="Arial" w:eastAsiaTheme="minorEastAsia"/>
                <w:b/>
                <w:kern w:val="0"/>
                <w:sz w:val="22"/>
              </w:rPr>
              <w:t>本</w:t>
            </w:r>
            <w:r>
              <w:rPr>
                <w:rFonts w:ascii="Arial" w:hAnsi="Arial" w:cs="Arial" w:eastAsiaTheme="minorEastAsia"/>
                <w:b/>
                <w:kern w:val="0"/>
                <w:sz w:val="22"/>
              </w:rPr>
              <w:t>理财产品《</w:t>
            </w:r>
            <w:r>
              <w:rPr>
                <w:rFonts w:hint="eastAsia" w:ascii="Arial" w:hAnsi="Arial" w:cs="Arial" w:eastAsiaTheme="minorEastAsia"/>
                <w:b/>
                <w:kern w:val="0"/>
                <w:sz w:val="22"/>
              </w:rPr>
              <w:t>平安理财新安鑫98号触盈（黄金）封闭固收类理财产品</w:t>
            </w:r>
            <w:r>
              <w:rPr>
                <w:rFonts w:ascii="Arial" w:hAnsi="Arial" w:cs="Arial" w:eastAsiaTheme="minorEastAsia"/>
                <w:b/>
                <w:kern w:val="0"/>
                <w:sz w:val="22"/>
              </w:rPr>
              <w:t>说明书》（以下简称“《产品说明书》”）与《</w:t>
            </w:r>
            <w:r>
              <w:rPr>
                <w:rFonts w:hint="eastAsia" w:ascii="Arial" w:hAnsi="Arial" w:cs="Arial" w:eastAsiaTheme="minorEastAsia"/>
                <w:b/>
                <w:kern w:val="0"/>
                <w:sz w:val="22"/>
              </w:rPr>
              <w:t>平安理财新安鑫98号触盈（黄金）封闭固收类理财产品</w:t>
            </w:r>
            <w:r>
              <w:rPr>
                <w:rFonts w:ascii="Arial" w:hAnsi="Arial" w:cs="Arial" w:eastAsiaTheme="minorEastAsia"/>
                <w:b/>
                <w:kern w:val="0"/>
                <w:sz w:val="22"/>
              </w:rPr>
              <w:t>风险揭示书》（以下简称“《风险揭示书》”）、</w:t>
            </w:r>
            <w:r>
              <w:rPr>
                <w:rFonts w:hint="eastAsia" w:ascii="宋体" w:hAnsi="宋体" w:cs="Arial"/>
                <w:b/>
                <w:kern w:val="0"/>
                <w:sz w:val="22"/>
              </w:rPr>
              <w:t>《投资协议书》、</w:t>
            </w:r>
            <w:r>
              <w:rPr>
                <w:rFonts w:ascii="宋体" w:hAnsi="宋体" w:cs="Arial"/>
                <w:b/>
                <w:kern w:val="0"/>
                <w:sz w:val="22"/>
              </w:rPr>
              <w:t>《</w:t>
            </w:r>
            <w:r>
              <w:rPr>
                <w:rFonts w:hint="eastAsia" w:ascii="宋体" w:hAnsi="宋体" w:cs="Arial"/>
                <w:b/>
                <w:kern w:val="0"/>
                <w:sz w:val="22"/>
              </w:rPr>
              <w:t>代理</w:t>
            </w:r>
            <w:r>
              <w:rPr>
                <w:rFonts w:ascii="宋体" w:hAnsi="宋体" w:cs="Arial"/>
                <w:b/>
                <w:kern w:val="0"/>
                <w:sz w:val="22"/>
              </w:rPr>
              <w:t>销售协议书》</w:t>
            </w:r>
            <w:r>
              <w:rPr>
                <w:rFonts w:hint="eastAsia" w:ascii="Arial" w:hAnsi="Arial" w:cs="Arial"/>
                <w:b/>
                <w:color w:val="000000"/>
                <w:kern w:val="0"/>
                <w:sz w:val="22"/>
              </w:rPr>
              <w:t>（该文件具体名称以销售服务机构为准，下同）</w:t>
            </w:r>
            <w:r>
              <w:rPr>
                <w:rFonts w:ascii="宋体" w:hAnsi="宋体" w:cs="Arial"/>
                <w:b/>
                <w:kern w:val="0"/>
                <w:sz w:val="22"/>
              </w:rPr>
              <w:t>、《</w:t>
            </w:r>
            <w:r>
              <w:rPr>
                <w:rFonts w:hint="eastAsia" w:ascii="宋体" w:hAnsi="宋体" w:cs="Arial"/>
                <w:b/>
                <w:kern w:val="0"/>
                <w:sz w:val="22"/>
              </w:rPr>
              <w:t>客户</w:t>
            </w:r>
            <w:r>
              <w:rPr>
                <w:rFonts w:ascii="宋体" w:hAnsi="宋体" w:cs="Arial"/>
                <w:b/>
                <w:kern w:val="0"/>
                <w:sz w:val="22"/>
              </w:rPr>
              <w:t>权益须知》共同组成本理财产品</w:t>
            </w:r>
            <w:r>
              <w:rPr>
                <w:rFonts w:hint="eastAsia" w:ascii="宋体" w:hAnsi="宋体" w:cs="Arial"/>
                <w:b/>
                <w:kern w:val="0"/>
                <w:sz w:val="22"/>
              </w:rPr>
              <w:t>销售文件</w:t>
            </w:r>
            <w:r>
              <w:rPr>
                <w:rFonts w:ascii="宋体" w:hAnsi="宋体" w:cs="Arial"/>
                <w:b/>
                <w:kern w:val="0"/>
                <w:sz w:val="22"/>
              </w:rPr>
              <w:t>不可分割之组成部分</w:t>
            </w:r>
            <w:r>
              <w:rPr>
                <w:rFonts w:hint="eastAsia" w:ascii="宋体" w:hAnsi="宋体" w:cs="Arial"/>
                <w:b/>
                <w:kern w:val="0"/>
                <w:sz w:val="22"/>
              </w:rPr>
              <w:t>。</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平安理财郑重提示：在购买</w:t>
            </w:r>
            <w:r>
              <w:rPr>
                <w:rFonts w:hint="eastAsia" w:ascii="Arial" w:hAnsi="Arial" w:cs="Arial" w:eastAsiaTheme="minorEastAsia"/>
                <w:b/>
                <w:kern w:val="0"/>
                <w:sz w:val="22"/>
              </w:rPr>
              <w:t>本</w:t>
            </w:r>
            <w:r>
              <w:rPr>
                <w:rFonts w:ascii="Arial" w:hAnsi="Arial" w:cs="Arial" w:eastAsiaTheme="minorEastAsia"/>
                <w:b/>
                <w:kern w:val="0"/>
                <w:sz w:val="22"/>
              </w:rPr>
              <w:t>理财产品前，请投资者仔细阅读本理财产品销售文件，确保自己详细了解和审慎评估该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在购买</w:t>
            </w:r>
            <w:r>
              <w:rPr>
                <w:rFonts w:hint="eastAsia" w:ascii="Arial" w:hAnsi="Arial" w:cs="Arial" w:eastAsiaTheme="minorEastAsia"/>
                <w:b/>
                <w:kern w:val="0"/>
                <w:sz w:val="22"/>
              </w:rPr>
              <w:t>本</w:t>
            </w:r>
            <w:r>
              <w:rPr>
                <w:rFonts w:ascii="Arial" w:hAnsi="Arial" w:cs="Arial" w:eastAsiaTheme="minorEastAsia"/>
                <w:b/>
                <w:kern w:val="0"/>
                <w:sz w:val="22"/>
              </w:rPr>
              <w:t>理财产品后，投资者应随时关注</w:t>
            </w:r>
            <w:r>
              <w:rPr>
                <w:rFonts w:hint="eastAsia" w:ascii="Arial" w:hAnsi="Arial" w:cs="Arial" w:eastAsiaTheme="minorEastAsia"/>
                <w:b/>
                <w:kern w:val="0"/>
                <w:sz w:val="22"/>
              </w:rPr>
              <w:t>本</w:t>
            </w:r>
            <w:r>
              <w:rPr>
                <w:rFonts w:ascii="Arial" w:hAnsi="Arial" w:cs="Arial" w:eastAsiaTheme="minorEastAsia"/>
                <w:b/>
                <w:kern w:val="0"/>
                <w:sz w:val="22"/>
              </w:rPr>
              <w:t>理财产品的信息披露情况，及时获取相关信息。</w:t>
            </w:r>
          </w:p>
          <w:p>
            <w:pPr>
              <w:widowControl/>
              <w:tabs>
                <w:tab w:val="left" w:pos="284"/>
                <w:tab w:val="left" w:pos="567"/>
                <w:tab w:val="left" w:pos="8931"/>
              </w:tabs>
              <w:spacing w:line="360" w:lineRule="auto"/>
              <w:rPr>
                <w:rStyle w:val="15"/>
                <w:rFonts w:ascii="Arial" w:hAnsi="Arial" w:cs="Arial"/>
                <w:snapToGrid w:val="0"/>
                <w:color w:val="000000"/>
                <w:kern w:val="0"/>
                <w:sz w:val="28"/>
                <w:szCs w:val="28"/>
              </w:rPr>
            </w:pPr>
          </w:p>
        </w:tc>
      </w:tr>
    </w:tbl>
    <w:p>
      <w:r>
        <w:br w:type="page"/>
      </w:r>
    </w:p>
    <w:tbl>
      <w:tblPr>
        <w:tblStyle w:val="10"/>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本理财产品存续期内，如出于维持本理财产品正常运营的需要且在不损害投资者利益的前提下，或因国家法律法规、监管规定发生变化，</w:t>
            </w:r>
            <w:r>
              <w:rPr>
                <w:rFonts w:hint="eastAsia" w:ascii="Arial" w:hAnsi="Arial" w:cs="Arial" w:eastAsiaTheme="minorEastAsia"/>
                <w:b/>
                <w:kern w:val="0"/>
                <w:sz w:val="22"/>
              </w:rPr>
              <w:t>管理人</w:t>
            </w:r>
            <w:r>
              <w:rPr>
                <w:rFonts w:ascii="Arial" w:hAnsi="Arial" w:cs="Arial" w:eastAsiaTheme="minorEastAsia"/>
                <w:b/>
                <w:kern w:val="0"/>
                <w:sz w:val="22"/>
              </w:rPr>
              <w:t>有权在法律允许的范围内单方对理财产品</w:t>
            </w:r>
            <w:r>
              <w:rPr>
                <w:rFonts w:hint="eastAsia" w:ascii="Arial" w:hAnsi="Arial" w:cs="Arial" w:eastAsiaTheme="minorEastAsia"/>
                <w:b/>
                <w:kern w:val="0"/>
                <w:sz w:val="22"/>
              </w:rPr>
              <w:t>销售文件</w:t>
            </w:r>
            <w:r>
              <w:rPr>
                <w:rFonts w:ascii="Arial" w:hAnsi="Arial" w:cs="Arial" w:eastAsiaTheme="minorEastAsia"/>
                <w:b/>
                <w:kern w:val="0"/>
                <w:sz w:val="22"/>
              </w:rPr>
              <w:t>进行修订。</w:t>
            </w:r>
            <w:r>
              <w:rPr>
                <w:rFonts w:hint="eastAsia" w:ascii="Arial" w:hAnsi="Arial" w:cs="Arial" w:eastAsiaTheme="minorEastAsia"/>
                <w:b/>
                <w:kern w:val="0"/>
                <w:sz w:val="22"/>
              </w:rPr>
              <w:t>管理人</w:t>
            </w:r>
            <w:r>
              <w:rPr>
                <w:rFonts w:ascii="Arial" w:hAnsi="Arial" w:cs="Arial" w:eastAsiaTheme="minorEastAsia"/>
                <w:b/>
                <w:kern w:val="0"/>
                <w:sz w:val="22"/>
              </w:rPr>
              <w:t>决定对</w:t>
            </w:r>
            <w:r>
              <w:rPr>
                <w:rFonts w:hint="eastAsia" w:ascii="Arial" w:hAnsi="Arial" w:cs="Arial" w:eastAsiaTheme="minorEastAsia"/>
                <w:b/>
                <w:kern w:val="0"/>
                <w:sz w:val="22"/>
              </w:rPr>
              <w:t>本</w:t>
            </w:r>
            <w:r>
              <w:rPr>
                <w:rFonts w:ascii="Arial" w:hAnsi="Arial" w:cs="Arial" w:eastAsiaTheme="minorEastAsia"/>
                <w:b/>
                <w:kern w:val="0"/>
                <w:sz w:val="22"/>
              </w:rPr>
              <w:t>理财产品</w:t>
            </w:r>
            <w:r>
              <w:rPr>
                <w:rFonts w:hint="eastAsia" w:ascii="Arial" w:hAnsi="Arial" w:cs="Arial" w:eastAsiaTheme="minorEastAsia"/>
                <w:b/>
                <w:kern w:val="0"/>
                <w:sz w:val="22"/>
              </w:rPr>
              <w:t>销售文件</w:t>
            </w:r>
            <w:r>
              <w:rPr>
                <w:rFonts w:ascii="Arial" w:hAnsi="Arial" w:cs="Arial" w:eastAsiaTheme="minorEastAsia"/>
                <w:b/>
                <w:kern w:val="0"/>
                <w:sz w:val="22"/>
              </w:rPr>
              <w:t>进行修订的，将按照本《产品说明书》约定的信息披露方式向投资者进行信息披露，</w:t>
            </w:r>
            <w:r>
              <w:rPr>
                <w:rFonts w:hint="eastAsia" w:ascii="Arial" w:hAnsi="Arial" w:cs="Arial" w:eastAsiaTheme="minorEastAsia"/>
                <w:b/>
                <w:kern w:val="0"/>
                <w:sz w:val="22"/>
              </w:rPr>
              <w:t>管理人</w:t>
            </w:r>
            <w:r>
              <w:rPr>
                <w:rFonts w:ascii="Arial" w:hAnsi="Arial" w:cs="Arial" w:eastAsiaTheme="minorEastAsia"/>
                <w:b/>
                <w:kern w:val="0"/>
                <w:sz w:val="22"/>
              </w:rPr>
              <w:t>按照前述规则发布该信息披露即视为该修订通知已送达投资者并对投资者具有法律约束力。</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eastAsiaTheme="minorEastAsia"/>
                <w:b/>
                <w:kern w:val="0"/>
                <w:sz w:val="22"/>
              </w:rPr>
              <w:t>管理人</w:t>
            </w:r>
            <w:r>
              <w:rPr>
                <w:rFonts w:ascii="Arial" w:hAnsi="Arial" w:cs="Arial" w:eastAsiaTheme="minorEastAsia"/>
                <w:b/>
                <w:kern w:val="0"/>
                <w:sz w:val="22"/>
              </w:rPr>
              <w:t>将向监管机构报送理财产品投资者身份信息、每日交易、持仓等信息。后续</w:t>
            </w:r>
            <w:r>
              <w:rPr>
                <w:rFonts w:hint="eastAsia" w:ascii="宋体" w:hAnsi="宋体" w:cs="Arial"/>
                <w:b/>
                <w:color w:val="000000"/>
                <w:kern w:val="0"/>
                <w:sz w:val="22"/>
              </w:rPr>
              <w:t>国家金融监督管理总局</w:t>
            </w:r>
            <w:r>
              <w:rPr>
                <w:rFonts w:ascii="Arial" w:hAnsi="Arial" w:cs="Arial" w:eastAsiaTheme="minorEastAsia"/>
                <w:b/>
                <w:kern w:val="0"/>
                <w:sz w:val="22"/>
              </w:rPr>
              <w:t>和银行业理财登记托管中心等机关如果提出新的信息报送要求，</w:t>
            </w:r>
            <w:r>
              <w:rPr>
                <w:rFonts w:hint="eastAsia" w:ascii="Arial" w:hAnsi="Arial" w:cs="Arial" w:eastAsiaTheme="minorEastAsia"/>
                <w:b/>
                <w:kern w:val="0"/>
                <w:sz w:val="22"/>
              </w:rPr>
              <w:t>管理人</w:t>
            </w:r>
            <w:r>
              <w:rPr>
                <w:rFonts w:ascii="Arial" w:hAnsi="Arial" w:cs="Arial" w:eastAsiaTheme="minorEastAsia"/>
                <w:b/>
                <w:kern w:val="0"/>
                <w:sz w:val="22"/>
              </w:rPr>
              <w:t>将按照该等机关的要求执行。投资者签署本理财产品销售文件即视为已经同意平安理财将按照相关机关要求报送投资者相关信息。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根据监管机构要求，</w:t>
            </w:r>
            <w:r>
              <w:rPr>
                <w:rFonts w:hint="eastAsia" w:ascii="Arial" w:hAnsi="Arial" w:cs="Arial" w:eastAsiaTheme="minorEastAsia"/>
                <w:b/>
                <w:kern w:val="0"/>
                <w:sz w:val="22"/>
              </w:rPr>
              <w:t>其他</w:t>
            </w:r>
            <w:r>
              <w:rPr>
                <w:rFonts w:ascii="Arial" w:hAnsi="Arial" w:cs="Arial" w:eastAsiaTheme="minorEastAsia"/>
                <w:b/>
                <w:kern w:val="0"/>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kern w:val="0"/>
                <w:sz w:val="22"/>
              </w:rPr>
              <w:t>其他</w:t>
            </w:r>
            <w:r>
              <w:rPr>
                <w:rFonts w:ascii="Arial" w:hAnsi="Arial" w:cs="Arial" w:eastAsiaTheme="minorEastAsia"/>
                <w:b/>
                <w:kern w:val="0"/>
                <w:sz w:val="22"/>
              </w:rPr>
              <w:t>管理人申请，在必要范围内向</w:t>
            </w:r>
            <w:r>
              <w:rPr>
                <w:rFonts w:hint="eastAsia" w:ascii="Arial" w:hAnsi="Arial" w:cs="Arial" w:eastAsiaTheme="minorEastAsia"/>
                <w:b/>
                <w:kern w:val="0"/>
                <w:sz w:val="22"/>
              </w:rPr>
              <w:t>该等</w:t>
            </w:r>
            <w:r>
              <w:rPr>
                <w:rFonts w:ascii="Arial" w:hAnsi="Arial" w:cs="Arial" w:eastAsiaTheme="minorEastAsia"/>
                <w:b/>
                <w:kern w:val="0"/>
                <w:sz w:val="22"/>
              </w:rPr>
              <w:t>管理人提供相关信息，并要求该等管理人履行投资者信息保密义务。投资者签署本理财产品销售文件即视为已经同意平安理财在前述范围内向相关方提供投资者身份信息、持仓信息等相关信息。</w:t>
            </w:r>
          </w:p>
          <w:p>
            <w:pPr>
              <w:widowControl/>
              <w:tabs>
                <w:tab w:val="left" w:pos="284"/>
                <w:tab w:val="left" w:pos="567"/>
                <w:tab w:val="left" w:pos="8931"/>
              </w:tabs>
              <w:spacing w:line="360" w:lineRule="auto"/>
              <w:ind w:left="110"/>
              <w:rPr>
                <w:rFonts w:ascii="Arial" w:hAnsi="Arial" w:cs="Arial" w:eastAsiaTheme="minorEastAsia"/>
                <w:b/>
                <w:kern w:val="0"/>
                <w:sz w:val="22"/>
              </w:rPr>
            </w:pPr>
          </w:p>
          <w:p>
            <w:pPr>
              <w:widowControl/>
              <w:tabs>
                <w:tab w:val="left" w:pos="284"/>
                <w:tab w:val="left" w:pos="567"/>
                <w:tab w:val="left" w:pos="8931"/>
              </w:tabs>
              <w:spacing w:line="360" w:lineRule="auto"/>
              <w:ind w:left="110"/>
              <w:rPr>
                <w:rStyle w:val="15"/>
                <w:rFonts w:ascii="Arial" w:hAnsi="Arial" w:cs="Arial"/>
                <w:snapToGrid w:val="0"/>
                <w:color w:val="000000"/>
                <w:kern w:val="0"/>
                <w:sz w:val="28"/>
                <w:szCs w:val="28"/>
              </w:rPr>
            </w:pPr>
          </w:p>
        </w:tc>
      </w:tr>
    </w:tbl>
    <w:p>
      <w:pPr>
        <w:ind w:right="141"/>
        <w:rPr>
          <w:rFonts w:ascii="Arial" w:hAnsi="Arial" w:cs="Arial"/>
        </w:rPr>
      </w:pPr>
    </w:p>
    <w:p>
      <w:pPr>
        <w:spacing w:line="360" w:lineRule="auto"/>
        <w:ind w:left="124" w:leftChars="52" w:hanging="15"/>
        <w:jc w:val="center"/>
        <w:rPr>
          <w:rFonts w:ascii="Arial" w:hAnsi="Arial" w:cs="Arial"/>
          <w:b/>
          <w:sz w:val="28"/>
          <w:szCs w:val="21"/>
        </w:rPr>
      </w:pPr>
    </w:p>
    <w:p>
      <w:pPr>
        <w:widowControl/>
        <w:jc w:val="left"/>
        <w:rPr>
          <w:rFonts w:ascii="Arial" w:hAnsi="Arial" w:cs="Arial"/>
          <w:b/>
          <w:sz w:val="28"/>
          <w:szCs w:val="21"/>
        </w:rPr>
      </w:pPr>
      <w:r>
        <w:rPr>
          <w:rFonts w:ascii="Arial" w:hAnsi="Arial" w:cs="Arial"/>
          <w:b/>
          <w:sz w:val="28"/>
          <w:szCs w:val="21"/>
        </w:rPr>
        <w:br w:type="page"/>
      </w:r>
    </w:p>
    <w:p>
      <w:pPr>
        <w:pStyle w:val="2"/>
        <w:numPr>
          <w:ilvl w:val="0"/>
          <w:numId w:val="2"/>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w:t>
      </w:r>
      <w:r>
        <w:rPr>
          <w:rFonts w:hint="eastAsia" w:ascii="Arial" w:hAnsi="Arial" w:cs="Arial"/>
          <w:bCs/>
          <w:color w:val="000000"/>
          <w:sz w:val="22"/>
          <w:szCs w:val="22"/>
        </w:rPr>
        <w:t>封闭式</w:t>
      </w:r>
      <w:r>
        <w:rPr>
          <w:rFonts w:ascii="Arial" w:hAnsi="Arial" w:cs="Arial"/>
          <w:bCs/>
          <w:color w:val="000000"/>
          <w:sz w:val="22"/>
          <w:szCs w:val="22"/>
        </w:rPr>
        <w:t>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Change w:id="0">
          <w:tblGrid>
            <w:gridCol w:w="1838"/>
            <w:gridCol w:w="708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bCs/>
                <w:color w:val="000000"/>
                <w:sz w:val="22"/>
                <w:szCs w:val="22"/>
              </w:rPr>
            </w:pPr>
            <w:r>
              <w:rPr>
                <w:rFonts w:hint="eastAsia" w:ascii="Arial" w:hAnsi="Arial" w:cs="Arial"/>
                <w:color w:val="000000"/>
                <w:sz w:val="22"/>
                <w:szCs w:val="22"/>
              </w:rPr>
              <w:t>平安理财新安鑫98号触盈（黄金）封闭固收类理财产品，（以下简称“本理财产品”、“理财产品”、“产品”）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Cs w:val="21"/>
              </w:rPr>
              <w:t>【</w:t>
            </w:r>
            <w:r>
              <w:rPr>
                <w:rFonts w:ascii="Arial" w:hAnsi="Arial" w:cs="Arial"/>
                <w:color w:val="000000"/>
                <w:sz w:val="22"/>
                <w:szCs w:val="22"/>
              </w:rPr>
              <w:t>XAXL2301009</w:t>
            </w:r>
            <w:r>
              <w:rPr>
                <w:rFonts w:hint="eastAsia" w:ascii="Arial" w:hAnsi="Arial" w:cs="Arial"/>
                <w:color w:val="000000"/>
                <w:sz w:val="22"/>
                <w:szCs w:val="22"/>
              </w:rPr>
              <w:t>8</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平安理财有限责任公司，以下简称“平安理财”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平安银行股份有限公司，以下简称“平安银行”</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指产品管理人以及符合《理财公司理财产品销售管理暂行办法》和国家金融监督管理总局规定，办理理财产品销售业务的机构。</w:t>
            </w:r>
          </w:p>
          <w:p>
            <w:pPr>
              <w:spacing w:line="360" w:lineRule="auto"/>
              <w:ind w:left="105" w:leftChars="50" w:right="105" w:rightChars="50"/>
              <w:rPr>
                <w:rFonts w:ascii="Arial" w:hAnsi="Arial" w:cs="Arial"/>
                <w:color w:val="000000"/>
                <w:sz w:val="22"/>
                <w:szCs w:val="22"/>
              </w:rPr>
            </w:pPr>
            <w:r>
              <w:rPr>
                <w:rFonts w:hint="eastAsia"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产品登记编码：</w:t>
            </w:r>
            <w:r>
              <w:rPr>
                <w:rFonts w:hint="eastAsia" w:ascii="Arial" w:hAnsi="Arial" w:cs="Arial"/>
                <w:color w:val="000000"/>
                <w:sz w:val="22"/>
                <w:szCs w:val="22"/>
              </w:rPr>
              <w:t>【</w:t>
            </w:r>
            <w:r>
              <w:rPr>
                <w:rFonts w:ascii="Arial" w:hAnsi="Arial" w:cs="Arial"/>
                <w:color w:val="000000"/>
                <w:sz w:val="22"/>
                <w:szCs w:val="22"/>
              </w:rPr>
              <w:t>Z7003324000311</w:t>
            </w:r>
            <w:r>
              <w:rPr>
                <w:rFonts w:hint="eastAsia" w:ascii="Arial" w:hAnsi="Arial" w:cs="Arial"/>
                <w:color w:val="000000"/>
                <w:sz w:val="22"/>
                <w:szCs w:val="22"/>
              </w:rPr>
              <w:t>】</w:t>
            </w:r>
            <w:r>
              <w:rPr>
                <w:rFonts w:ascii="Arial" w:hAnsi="Arial" w:cs="Arial"/>
                <w:color w:val="000000"/>
                <w:sz w:val="22"/>
                <w:szCs w:val="22"/>
              </w:rPr>
              <w:t>，投资者可以根据该登记</w:t>
            </w:r>
            <w:r>
              <w:rPr>
                <w:rFonts w:hint="eastAsia" w:ascii="Arial" w:hAnsi="Arial" w:cs="Arial"/>
                <w:color w:val="000000"/>
                <w:sz w:val="22"/>
                <w:szCs w:val="22"/>
              </w:rPr>
              <w:t>编码</w:t>
            </w:r>
            <w:r>
              <w:rPr>
                <w:rFonts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固定收益</w:t>
            </w:r>
            <w:r>
              <w:rPr>
                <w:rFonts w:ascii="Arial" w:hAnsi="Arial" w:cs="Arial"/>
                <w:sz w:val="22"/>
                <w:szCs w:val="22"/>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封闭式理财产品，自产品成立日至到期日之间，投资者不得进行申购或赎回。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（本风险评级为</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本理财产品</w:t>
            </w:r>
            <w:r>
              <w:rPr>
                <w:rFonts w:hint="eastAsia" w:ascii="Arial" w:hAnsi="Arial" w:cs="Arial"/>
                <w:color w:val="000000"/>
                <w:sz w:val="22"/>
                <w:szCs w:val="22"/>
              </w:rPr>
              <w:t>面</w:t>
            </w:r>
            <w:r>
              <w:rPr>
                <w:rFonts w:ascii="Arial" w:hAnsi="Arial" w:cs="Arial"/>
                <w:color w:val="000000"/>
                <w:sz w:val="22"/>
                <w:szCs w:val="22"/>
              </w:rPr>
              <w:t>向个人投资者和机构投资者销售。</w:t>
            </w:r>
            <w:r>
              <w:rPr>
                <w:rFonts w:ascii="Arial" w:hAnsi="Arial" w:cs="Arial"/>
                <w:sz w:val="22"/>
                <w:szCs w:val="22"/>
              </w:rPr>
              <w:t>管理人有权调整目标客户范围，如有调整，以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color w:val="000000"/>
                <w:sz w:val="22"/>
                <w:szCs w:val="22"/>
              </w:rPr>
            </w:pPr>
            <w:r>
              <w:rPr>
                <w:rFonts w:hint="eastAsia" w:ascii="Arial" w:hAnsi="Arial" w:cs="Arial"/>
                <w:sz w:val="22"/>
                <w:szCs w:val="22"/>
              </w:rPr>
              <w:t>管理人</w:t>
            </w:r>
            <w:r>
              <w:rPr>
                <w:rFonts w:ascii="Arial" w:hAnsi="Arial" w:cs="Arial"/>
                <w:color w:val="000000"/>
                <w:sz w:val="22"/>
                <w:szCs w:val="22"/>
              </w:rPr>
              <w:t>建议：</w:t>
            </w:r>
            <w:r>
              <w:rPr>
                <w:rFonts w:hint="eastAsia" w:ascii="Arial" w:hAnsi="Arial" w:cs="Arial"/>
                <w:b/>
                <w:color w:val="000000"/>
                <w:sz w:val="22"/>
                <w:szCs w:val="22"/>
              </w:rPr>
              <w:t>本理财</w:t>
            </w:r>
            <w:r>
              <w:rPr>
                <w:rFonts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Change w:id="1" w:author="HUANGJINGRAN564" w:date="2024-05-17T17:52:3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blPrExChange>
        </w:tblPrEx>
        <w:trPr>
          <w:wBefore w:w="0" w:type="auto"/>
          <w:trHeight w:val="240" w:hRule="atLeast"/>
          <w:jc w:val="center"/>
          <w:trPrChange w:id="1" w:author="HUANGJINGRAN564" w:date="2024-05-17T17:52:34Z">
            <w:trPr>
              <w:wBefore w:w="0" w:type="auto"/>
              <w:trHeight w:val="240" w:hRule="atLeast"/>
              <w:jc w:val="center"/>
            </w:trPr>
          </w:trPrChange>
        </w:trPr>
        <w:tc>
          <w:tcPr>
            <w:tcW w:w="1838" w:type="dxa"/>
            <w:shd w:val="clear" w:color="auto" w:fill="auto"/>
            <w:noWrap/>
            <w:tcMar>
              <w:top w:w="15" w:type="dxa"/>
              <w:left w:w="15" w:type="dxa"/>
              <w:bottom w:w="0" w:type="dxa"/>
              <w:right w:w="15" w:type="dxa"/>
            </w:tcMar>
            <w:vAlign w:val="center"/>
            <w:tcPrChange w:id="2" w:author="HUANGJINGRAN564" w:date="2024-05-17T17:52:34Z">
              <w:tcPr>
                <w:tcW w:w="1838" w:type="dxa"/>
                <w:shd w:val="clear" w:color="auto" w:fill="FDEADA" w:themeFill="accent6" w:themeFillTint="32"/>
                <w:noWrap/>
                <w:tcMar>
                  <w:top w:w="15" w:type="dxa"/>
                  <w:left w:w="15" w:type="dxa"/>
                  <w:bottom w:w="0" w:type="dxa"/>
                  <w:right w:w="15" w:type="dxa"/>
                </w:tcMar>
                <w:vAlign w:val="center"/>
              </w:tcPr>
            </w:tcPrChange>
          </w:tcPr>
          <w:p>
            <w:pPr>
              <w:spacing w:line="360" w:lineRule="auto"/>
              <w:jc w:val="center"/>
              <w:rPr>
                <w:rFonts w:ascii="Arial" w:hAnsi="Arial" w:cs="Arial"/>
                <w:b/>
                <w:sz w:val="22"/>
                <w:szCs w:val="22"/>
              </w:rPr>
            </w:pPr>
            <w:r>
              <w:rPr>
                <w:rFonts w:hint="eastAsia" w:ascii="Arial" w:hAnsi="Arial" w:cs="Arial"/>
                <w:b/>
                <w:sz w:val="22"/>
                <w:szCs w:val="22"/>
              </w:rPr>
              <w:t>份额类别</w:t>
            </w:r>
          </w:p>
        </w:tc>
        <w:tc>
          <w:tcPr>
            <w:tcW w:w="7088" w:type="dxa"/>
            <w:shd w:val="clear" w:color="auto" w:fill="auto"/>
            <w:tcMar>
              <w:top w:w="15" w:type="dxa"/>
              <w:left w:w="15" w:type="dxa"/>
              <w:bottom w:w="0" w:type="dxa"/>
              <w:right w:w="15" w:type="dxa"/>
            </w:tcMar>
            <w:vAlign w:val="center"/>
            <w:tcPrChange w:id="3" w:author="HUANGJINGRAN564" w:date="2024-05-17T17:52:34Z">
              <w:tcPr>
                <w:tcW w:w="7088" w:type="dxa"/>
                <w:shd w:val="clear" w:color="auto" w:fill="FDEADA" w:themeFill="accent6" w:themeFillTint="32"/>
                <w:tcMar>
                  <w:top w:w="15" w:type="dxa"/>
                  <w:left w:w="15" w:type="dxa"/>
                  <w:bottom w:w="0" w:type="dxa"/>
                  <w:right w:w="15" w:type="dxa"/>
                </w:tcMar>
                <w:vAlign w:val="center"/>
              </w:tcPr>
            </w:tcPrChange>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本理财产品发行时将产品份额分为A/B两种类型，其中：</w:t>
            </w:r>
          </w:p>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A类份额面向平安银行、宁波银行、北京银行、华夏银行、渤海银行的客户销售，该类份额销售代码【</w:t>
            </w:r>
            <w:r>
              <w:rPr>
                <w:rFonts w:ascii="Arial" w:hAnsi="Arial" w:cs="Arial"/>
                <w:color w:val="000000"/>
                <w:sz w:val="22"/>
                <w:szCs w:val="22"/>
              </w:rPr>
              <w:t>XAXL230109</w:t>
            </w:r>
            <w:r>
              <w:rPr>
                <w:rFonts w:hint="eastAsia" w:ascii="Arial" w:hAnsi="Arial" w:cs="Arial"/>
                <w:color w:val="000000"/>
                <w:sz w:val="22"/>
                <w:szCs w:val="22"/>
              </w:rPr>
              <w:t>8A】，份额销售简称【新安鑫98号触盈（黄金）封闭固收类A】；</w:t>
            </w:r>
          </w:p>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B</w:t>
            </w:r>
            <w:r>
              <w:rPr>
                <w:rFonts w:hint="eastAsia" w:ascii="Arial" w:hAnsi="Arial" w:cs="Arial"/>
                <w:color w:val="000000"/>
                <w:sz w:val="22"/>
                <w:szCs w:val="22"/>
              </w:rPr>
              <w:t>类份额面向浦发银行的客户销售，该类份额销售代码【</w:t>
            </w:r>
            <w:r>
              <w:rPr>
                <w:rFonts w:ascii="Arial" w:hAnsi="Arial" w:cs="Arial"/>
                <w:color w:val="000000"/>
                <w:sz w:val="22"/>
                <w:szCs w:val="22"/>
              </w:rPr>
              <w:t>XAXL230109</w:t>
            </w:r>
            <w:r>
              <w:rPr>
                <w:rFonts w:hint="eastAsia" w:ascii="Arial" w:hAnsi="Arial" w:cs="Arial"/>
                <w:color w:val="000000"/>
                <w:sz w:val="22"/>
                <w:szCs w:val="22"/>
              </w:rPr>
              <w:t>8B】，份额销售简称【新安鑫98号触盈（黄金）封闭固收类</w:t>
            </w:r>
            <w:r>
              <w:rPr>
                <w:rFonts w:ascii="Arial" w:hAnsi="Arial" w:cs="Arial"/>
                <w:color w:val="000000"/>
                <w:sz w:val="22"/>
                <w:szCs w:val="22"/>
              </w:rPr>
              <w:t>B</w:t>
            </w:r>
            <w:r>
              <w:rPr>
                <w:rFonts w:hint="eastAsia" w:ascii="Arial" w:hAnsi="Arial" w:cs="Arial"/>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ascii="Arial" w:hAnsi="Arial" w:cs="Arial"/>
                <w:sz w:val="22"/>
                <w:szCs w:val="22"/>
              </w:rPr>
              <w:t>下限不低于</w:t>
            </w:r>
            <w:r>
              <w:rPr>
                <w:rFonts w:hint="eastAsia" w:ascii="Arial" w:hAnsi="Arial" w:cs="Arial"/>
                <w:sz w:val="22"/>
                <w:szCs w:val="22"/>
              </w:rPr>
              <w:t>人民币0.</w:t>
            </w:r>
            <w:r>
              <w:rPr>
                <w:rFonts w:ascii="Arial" w:hAnsi="Arial" w:cs="Arial"/>
                <w:sz w:val="22"/>
                <w:szCs w:val="22"/>
              </w:rPr>
              <w:t>1</w:t>
            </w:r>
            <w:r>
              <w:rPr>
                <w:rFonts w:hint="eastAsia" w:ascii="Arial" w:hAnsi="Arial" w:cs="Arial"/>
                <w:sz w:val="22"/>
                <w:szCs w:val="22"/>
              </w:rPr>
              <w:t>亿</w:t>
            </w:r>
            <w:r>
              <w:rPr>
                <w:rFonts w:ascii="Arial" w:hAnsi="Arial" w:cs="Arial"/>
                <w:sz w:val="22"/>
                <w:szCs w:val="22"/>
              </w:rPr>
              <w:t>元，上限不超过人民币</w:t>
            </w:r>
            <w:r>
              <w:rPr>
                <w:rFonts w:hint="eastAsia" w:ascii="Arial" w:hAnsi="Arial" w:cs="Arial"/>
                <w:sz w:val="22"/>
                <w:szCs w:val="22"/>
              </w:rPr>
              <w:t>20</w:t>
            </w:r>
            <w:r>
              <w:rPr>
                <w:rFonts w:ascii="Arial" w:hAnsi="Arial" w:cs="Arial"/>
                <w:sz w:val="22"/>
                <w:szCs w:val="22"/>
              </w:rPr>
              <w:t>亿元。</w:t>
            </w:r>
          </w:p>
          <w:p>
            <w:pPr>
              <w:spacing w:line="360" w:lineRule="auto"/>
              <w:ind w:left="105" w:leftChars="50" w:right="105" w:rightChars="50"/>
              <w:rPr>
                <w:rFonts w:ascii="Arial" w:hAnsi="Arial" w:cs="Arial"/>
                <w:sz w:val="22"/>
                <w:szCs w:val="22"/>
              </w:rPr>
            </w:pPr>
            <w:r>
              <w:rPr>
                <w:rFonts w:ascii="Arial" w:hAnsi="Arial" w:cs="Arial"/>
                <w:sz w:val="22"/>
                <w:szCs w:val="22"/>
              </w:rPr>
              <w:t>本理财产品自开始认购至理财产品成立日之前，</w:t>
            </w:r>
            <w:r>
              <w:rPr>
                <w:rFonts w:hint="eastAsia" w:ascii="Arial" w:hAnsi="Arial" w:cs="Arial"/>
                <w:sz w:val="22"/>
                <w:szCs w:val="22"/>
              </w:rPr>
              <w:t>若本</w:t>
            </w:r>
            <w:r>
              <w:rPr>
                <w:rFonts w:ascii="Arial" w:hAnsi="Arial" w:cs="Arial"/>
                <w:sz w:val="22"/>
                <w:szCs w:val="22"/>
              </w:rPr>
              <w:t>理财产品认购金额未达</w:t>
            </w:r>
            <w:r>
              <w:rPr>
                <w:rFonts w:hint="eastAsia" w:ascii="Arial" w:hAnsi="Arial" w:cs="Arial"/>
                <w:sz w:val="22"/>
                <w:szCs w:val="22"/>
              </w:rPr>
              <w:t>下限</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有权宣布理财产品不成立。若</w:t>
            </w:r>
            <w:r>
              <w:rPr>
                <w:rFonts w:hint="eastAsia" w:ascii="Arial" w:hAnsi="Arial" w:cs="Arial"/>
                <w:sz w:val="22"/>
                <w:szCs w:val="22"/>
              </w:rPr>
              <w:t>本理财</w:t>
            </w:r>
            <w:r>
              <w:rPr>
                <w:rFonts w:ascii="Arial" w:hAnsi="Arial" w:cs="Arial"/>
                <w:sz w:val="22"/>
                <w:szCs w:val="22"/>
              </w:rPr>
              <w:t>产品发行规模超出上限，管理人有权结束认购，停止接受认购申请。</w:t>
            </w:r>
          </w:p>
          <w:p>
            <w:pPr>
              <w:spacing w:line="360" w:lineRule="auto"/>
              <w:ind w:left="105" w:leftChars="50" w:right="105" w:rightChars="50"/>
              <w:rPr>
                <w:rFonts w:ascii="Arial" w:hAnsi="Arial" w:cs="Arial"/>
                <w:sz w:val="22"/>
                <w:szCs w:val="22"/>
              </w:rPr>
            </w:pPr>
            <w:r>
              <w:rPr>
                <w:rFonts w:ascii="Arial" w:hAnsi="Arial" w:cs="Arial"/>
                <w:sz w:val="22"/>
                <w:szCs w:val="22"/>
              </w:rPr>
              <w:t>管理人有权调整发行规模上限和下限，具体发行规模以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认购起点</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本理财产品A</w:t>
            </w:r>
            <w:r>
              <w:rPr>
                <w:rFonts w:ascii="Arial" w:hAnsi="Arial" w:cs="Arial"/>
                <w:sz w:val="22"/>
                <w:szCs w:val="22"/>
              </w:rPr>
              <w:t>/B</w:t>
            </w:r>
            <w:r>
              <w:rPr>
                <w:rFonts w:hint="eastAsia" w:ascii="Arial" w:hAnsi="Arial" w:cs="Arial"/>
                <w:sz w:val="22"/>
                <w:szCs w:val="22"/>
              </w:rPr>
              <w:t>类份额认购起点金额为1元，超过认购起点部分应以1元的整数倍递增。上述认购起点、追加金额均包含认购费（如有）。管理人有权以公告形式调整上述规则。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单笔认购上限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本理财产品A</w:t>
            </w:r>
            <w:r>
              <w:rPr>
                <w:rFonts w:ascii="Arial" w:hAnsi="Arial" w:cs="Arial"/>
                <w:sz w:val="22"/>
                <w:szCs w:val="22"/>
              </w:rPr>
              <w:t>/B</w:t>
            </w:r>
            <w:r>
              <w:rPr>
                <w:rFonts w:hint="eastAsia" w:ascii="Arial" w:hAnsi="Arial" w:cs="Arial"/>
                <w:sz w:val="22"/>
                <w:szCs w:val="22"/>
              </w:rPr>
              <w:t>类份额</w:t>
            </w:r>
            <w:r>
              <w:rPr>
                <w:rFonts w:ascii="Arial" w:hAnsi="Arial" w:cs="Arial"/>
                <w:sz w:val="22"/>
                <w:szCs w:val="22"/>
              </w:rPr>
              <w:t>投资者单笔认购上限为</w:t>
            </w:r>
            <w:r>
              <w:rPr>
                <w:rFonts w:hint="eastAsia" w:ascii="Arial" w:hAnsi="Arial" w:cs="Arial"/>
                <w:sz w:val="22"/>
                <w:szCs w:val="22"/>
              </w:rPr>
              <w:t>4亿</w:t>
            </w:r>
            <w:r>
              <w:rPr>
                <w:rFonts w:ascii="Arial" w:hAnsi="Arial" w:cs="Arial"/>
                <w:sz w:val="22"/>
                <w:szCs w:val="22"/>
              </w:rPr>
              <w:t>元</w:t>
            </w:r>
            <w:r>
              <w:rPr>
                <w:rFonts w:hint="eastAsia" w:ascii="Arial" w:hAnsi="Arial" w:cs="Arial"/>
                <w:sz w:val="22"/>
                <w:szCs w:val="22"/>
              </w:rPr>
              <w:t>（含认购费）。如发生超额申请，管理人有权根据实际情况决定拒绝或受理</w:t>
            </w:r>
            <w:r>
              <w:rPr>
                <w:rFonts w:ascii="Arial" w:hAnsi="Arial" w:cs="Arial"/>
                <w:sz w:val="22"/>
                <w:szCs w:val="22"/>
              </w:rPr>
              <w:t>。管理人有权以公告形式调整单笔认购上限。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单一投资者</w:t>
            </w:r>
          </w:p>
          <w:p>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本理财产品A</w:t>
            </w:r>
            <w:r>
              <w:rPr>
                <w:rFonts w:ascii="Arial" w:hAnsi="Arial" w:cs="Arial"/>
                <w:sz w:val="22"/>
                <w:szCs w:val="22"/>
              </w:rPr>
              <w:t>/B</w:t>
            </w:r>
            <w:r>
              <w:rPr>
                <w:rFonts w:hint="eastAsia" w:ascii="Arial" w:hAnsi="Arial" w:cs="Arial"/>
                <w:sz w:val="22"/>
                <w:szCs w:val="22"/>
              </w:rPr>
              <w:t>类份额</w:t>
            </w:r>
            <w:r>
              <w:rPr>
                <w:rFonts w:ascii="Arial" w:hAnsi="Arial" w:cs="Arial"/>
                <w:sz w:val="22"/>
                <w:szCs w:val="22"/>
              </w:rPr>
              <w:t>单一投资者持有上限为</w:t>
            </w:r>
            <w:r>
              <w:rPr>
                <w:rFonts w:hint="eastAsia" w:ascii="Arial" w:hAnsi="Arial" w:cs="Arial"/>
                <w:sz w:val="22"/>
                <w:szCs w:val="22"/>
              </w:rPr>
              <w:t>4亿</w:t>
            </w:r>
            <w:r>
              <w:rPr>
                <w:rFonts w:ascii="Arial" w:hAnsi="Arial" w:cs="Arial"/>
                <w:sz w:val="22"/>
                <w:szCs w:val="22"/>
              </w:rPr>
              <w:t>元</w:t>
            </w:r>
            <w:r>
              <w:rPr>
                <w:rFonts w:hint="eastAsia" w:ascii="Arial" w:hAnsi="Arial" w:cs="Arial"/>
                <w:sz w:val="22"/>
                <w:szCs w:val="22"/>
              </w:rPr>
              <w:t>（含认购费，</w:t>
            </w:r>
            <w:r>
              <w:rPr>
                <w:rFonts w:ascii="Arial" w:hAnsi="Arial" w:cs="Arial"/>
                <w:sz w:val="22"/>
                <w:szCs w:val="22"/>
              </w:rPr>
              <w:t>在产品运作过程中因收益分配、净值波动等被动超上限的情形除外</w:t>
            </w:r>
            <w:r>
              <w:rPr>
                <w:rFonts w:hint="eastAsia" w:ascii="Arial" w:hAnsi="Arial" w:cs="Arial"/>
                <w:sz w:val="22"/>
                <w:szCs w:val="22"/>
              </w:rPr>
              <w:t>）。</w:t>
            </w:r>
            <w:r>
              <w:rPr>
                <w:rFonts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ascii="Arial" w:hAnsi="Arial" w:cs="Arial"/>
                <w:sz w:val="22"/>
                <w:szCs w:val="22"/>
              </w:rPr>
              <w:t>。</w:t>
            </w:r>
          </w:p>
          <w:p>
            <w:pPr>
              <w:spacing w:line="360" w:lineRule="auto"/>
              <w:ind w:left="105" w:leftChars="50" w:right="105" w:rightChars="50"/>
              <w:rPr>
                <w:rFonts w:ascii="Arial" w:hAnsi="Arial" w:cs="Arial"/>
                <w:kern w:val="0"/>
                <w:sz w:val="22"/>
                <w:szCs w:val="22"/>
              </w:rPr>
            </w:pPr>
            <w:r>
              <w:rPr>
                <w:rFonts w:hint="eastAsia" w:ascii="Arial" w:hAnsi="Arial" w:cs="Arial"/>
                <w:b/>
                <w:sz w:val="22"/>
                <w:szCs w:val="22"/>
              </w:rPr>
              <w:t>管理人不得接受单一投资者购买超过产品份额总数50%的申请</w:t>
            </w:r>
            <w:r>
              <w:rPr>
                <w:rFonts w:hint="eastAsia" w:ascii="Arial" w:hAnsi="Arial" w:cs="Arial"/>
                <w:sz w:val="22"/>
                <w:szCs w:val="22"/>
              </w:rPr>
              <w:t>（在产品运作过程中因收益结转等情形导致持有份额被动超过此规则的情形除外）。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认购期</w:t>
            </w:r>
            <w:r>
              <w:rPr>
                <w:rFonts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本理财产品A类份额业绩比较基准（年化）为：【0.06%或4.10%-5.00%】</w:t>
            </w:r>
          </w:p>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ascii="Arial" w:hAnsi="Arial" w:cs="Arial"/>
                <w:sz w:val="22"/>
                <w:szCs w:val="22"/>
              </w:rPr>
              <w:t>B</w:t>
            </w:r>
            <w:r>
              <w:rPr>
                <w:rFonts w:hint="eastAsia" w:ascii="Arial" w:hAnsi="Arial" w:cs="Arial"/>
                <w:sz w:val="22"/>
                <w:szCs w:val="22"/>
              </w:rPr>
              <w:t>类份额业绩比较基准（年化）为：【0.01%或4.05%-4.95%】</w:t>
            </w:r>
          </w:p>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本理财产品将不低于80%资金投资于固定收益类资产，将不超过49%资金投资于非标准化债权类资产，不超过</w:t>
            </w:r>
            <w:r>
              <w:rPr>
                <w:rFonts w:ascii="Arial" w:hAnsi="Arial" w:cs="Arial"/>
                <w:sz w:val="22"/>
                <w:szCs w:val="22"/>
              </w:rPr>
              <w:t>20</w:t>
            </w:r>
            <w:r>
              <w:rPr>
                <w:rFonts w:hint="eastAsia" w:ascii="Arial" w:hAnsi="Arial" w:cs="Arial"/>
                <w:sz w:val="22"/>
                <w:szCs w:val="22"/>
              </w:rPr>
              <w:t>%的资金投资于关联指数的券商收益凭证、底层包含结构性特征的资产管理产品，该等资产主要关联【黄金现货收盘价（AU</w:t>
            </w:r>
            <w:r>
              <w:rPr>
                <w:rFonts w:ascii="Arial" w:hAnsi="Arial" w:cs="Arial"/>
                <w:sz w:val="22"/>
                <w:szCs w:val="22"/>
              </w:rPr>
              <w:t>9999.SGE</w:t>
            </w:r>
            <w:r>
              <w:rPr>
                <w:rFonts w:hint="eastAsia" w:ascii="Arial" w:hAnsi="Arial" w:cs="Arial"/>
                <w:sz w:val="22"/>
                <w:szCs w:val="22"/>
              </w:rPr>
              <w:t>）】涨跌幅（以一定的参与比例），剩余部分投资于其他类资产。其中，非标准化债权类资产测算收益参考管理人拟投资的非标准化债权类资产协议价格，固定收益类资产测算收益参考同等期限的中债中短期票据到期收益率（AAA），混合类资产测算收益参考底层风险敞口及过往历史业绩，以及以一定的参与率获得关联指数资产市场表现的浮动收益，参考产品资产配置方案比例、关联指数资产的成本，扣除相关税费成本后，综合得出本理财产品的业绩比较基准。</w:t>
            </w:r>
          </w:p>
          <w:p>
            <w:pPr>
              <w:spacing w:line="360" w:lineRule="auto"/>
              <w:ind w:left="105" w:leftChars="50" w:right="105" w:rightChars="50"/>
              <w:rPr>
                <w:rFonts w:ascii="Arial" w:hAnsi="Arial" w:cs="Arial"/>
                <w:b/>
                <w:sz w:val="22"/>
                <w:szCs w:val="22"/>
              </w:rPr>
            </w:pPr>
            <w:r>
              <w:rPr>
                <w:rFonts w:hint="eastAsia" w:ascii="Arial" w:hAnsi="Arial" w:cs="Arial"/>
                <w:b/>
                <w:sz w:val="22"/>
                <w:szCs w:val="22"/>
              </w:rPr>
              <w:t>具体规则如下：</w:t>
            </w:r>
          </w:p>
          <w:p>
            <w:pPr>
              <w:spacing w:line="360" w:lineRule="auto"/>
              <w:ind w:left="105" w:leftChars="50" w:right="105" w:rightChars="50"/>
              <w:rPr>
                <w:rFonts w:ascii="Arial" w:hAnsi="Arial" w:cs="Arial"/>
                <w:sz w:val="22"/>
                <w:szCs w:val="22"/>
              </w:rPr>
            </w:pPr>
            <w:r>
              <w:rPr>
                <w:rFonts w:hint="eastAsia" w:ascii="Arial" w:hAnsi="Arial" w:cs="Arial"/>
                <w:sz w:val="22"/>
                <w:szCs w:val="22"/>
              </w:rPr>
              <w:t>1、产品成立后从第</w:t>
            </w:r>
            <w:r>
              <w:rPr>
                <w:rFonts w:ascii="Arial" w:hAnsi="Arial" w:cs="Arial"/>
                <w:sz w:val="22"/>
                <w:szCs w:val="22"/>
              </w:rPr>
              <w:t>3</w:t>
            </w:r>
            <w:r>
              <w:rPr>
                <w:rFonts w:hint="eastAsia" w:ascii="Arial" w:hAnsi="Arial" w:cs="Arial"/>
                <w:sz w:val="22"/>
                <w:szCs w:val="22"/>
              </w:rPr>
              <w:t>个月末开始平均每隔</w:t>
            </w:r>
            <w:r>
              <w:rPr>
                <w:rFonts w:ascii="Arial" w:hAnsi="Arial" w:cs="Arial"/>
                <w:sz w:val="22"/>
                <w:szCs w:val="22"/>
              </w:rPr>
              <w:t>1</w:t>
            </w:r>
            <w:r>
              <w:rPr>
                <w:rFonts w:hint="eastAsia" w:ascii="Arial" w:hAnsi="Arial" w:cs="Arial"/>
                <w:sz w:val="22"/>
                <w:szCs w:val="22"/>
              </w:rPr>
              <w:t>个月设置一个观察日，共设置</w:t>
            </w:r>
            <w:r>
              <w:rPr>
                <w:rFonts w:ascii="Arial" w:hAnsi="Arial" w:cs="Arial"/>
                <w:sz w:val="22"/>
                <w:szCs w:val="22"/>
              </w:rPr>
              <w:t>7</w:t>
            </w:r>
            <w:r>
              <w:rPr>
                <w:rFonts w:hint="eastAsia" w:ascii="Arial" w:hAnsi="Arial" w:cs="Arial"/>
                <w:sz w:val="22"/>
                <w:szCs w:val="22"/>
              </w:rPr>
              <w:t>个。若任一观察日的黄金现货收盘价≥初始价格</w:t>
            </w:r>
            <w:r>
              <w:rPr>
                <w:rFonts w:hint="eastAsia" w:ascii="宋体" w:hAnsi="宋体" w:cs="Arial"/>
                <w:sz w:val="22"/>
                <w:szCs w:val="22"/>
              </w:rPr>
              <w:t>×</w:t>
            </w:r>
            <w:r>
              <w:rPr>
                <w:rFonts w:ascii="Arial" w:hAnsi="Arial" w:cs="Arial"/>
                <w:sz w:val="22"/>
                <w:szCs w:val="22"/>
              </w:rPr>
              <w:t>101%</w:t>
            </w:r>
            <w:r>
              <w:rPr>
                <w:rFonts w:hint="eastAsia" w:ascii="Arial" w:hAnsi="Arial" w:cs="Arial"/>
                <w:sz w:val="22"/>
                <w:szCs w:val="22"/>
              </w:rPr>
              <w:t>，则产品提前终止，在该观察日后第3个交易日为提前终止日。在本产品实际存续期内，本产品A类份额业绩比较基准（年化）为【4.10%-5.00%】，B类份额业绩比较基准（年化）为【4.05%-4.95%】</w:t>
            </w:r>
          </w:p>
          <w:p>
            <w:pPr>
              <w:spacing w:line="360" w:lineRule="auto"/>
              <w:ind w:left="105" w:leftChars="50" w:right="105" w:rightChars="50"/>
              <w:rPr>
                <w:rFonts w:ascii="Arial" w:hAnsi="Arial" w:cs="Arial"/>
                <w:sz w:val="22"/>
                <w:szCs w:val="22"/>
              </w:rPr>
            </w:pPr>
            <w:r>
              <w:rPr>
                <w:rFonts w:hint="eastAsia" w:ascii="Arial" w:hAnsi="Arial" w:cs="Arial"/>
                <w:sz w:val="22"/>
                <w:szCs w:val="22"/>
              </w:rPr>
              <w:t>2、若</w:t>
            </w:r>
            <w:r>
              <w:rPr>
                <w:rFonts w:ascii="Arial" w:hAnsi="Arial" w:cs="Arial"/>
                <w:sz w:val="22"/>
                <w:szCs w:val="22"/>
              </w:rPr>
              <w:t>7</w:t>
            </w:r>
            <w:r>
              <w:rPr>
                <w:rFonts w:hint="eastAsia" w:ascii="Arial" w:hAnsi="Arial" w:cs="Arial"/>
                <w:sz w:val="22"/>
                <w:szCs w:val="22"/>
              </w:rPr>
              <w:t>次观察日的黄金现货收盘价均＜初始价格</w:t>
            </w:r>
            <w:r>
              <w:rPr>
                <w:rFonts w:hint="eastAsia" w:ascii="宋体" w:hAnsi="宋体" w:cs="Arial"/>
                <w:sz w:val="22"/>
                <w:szCs w:val="22"/>
              </w:rPr>
              <w:t>×</w:t>
            </w:r>
            <w:r>
              <w:rPr>
                <w:rFonts w:ascii="Arial" w:hAnsi="Arial" w:cs="Arial"/>
                <w:sz w:val="22"/>
                <w:szCs w:val="22"/>
              </w:rPr>
              <w:t>101%</w:t>
            </w:r>
            <w:r>
              <w:rPr>
                <w:rFonts w:hint="eastAsia" w:ascii="Arial" w:hAnsi="Arial" w:cs="Arial"/>
                <w:sz w:val="22"/>
                <w:szCs w:val="22"/>
              </w:rPr>
              <w:t>，且观察期内每个交易日的黄金现货收盘价均≥初始价格</w:t>
            </w:r>
            <w:r>
              <w:rPr>
                <w:rFonts w:hint="eastAsia" w:ascii="宋体" w:hAnsi="宋体" w:cs="Arial"/>
                <w:sz w:val="22"/>
                <w:szCs w:val="22"/>
              </w:rPr>
              <w:t>×</w:t>
            </w:r>
            <w:r>
              <w:rPr>
                <w:rFonts w:hint="eastAsia" w:ascii="Arial" w:hAnsi="Arial" w:cs="Arial"/>
                <w:sz w:val="22"/>
                <w:szCs w:val="22"/>
              </w:rPr>
              <w:t>9</w:t>
            </w:r>
            <w:r>
              <w:rPr>
                <w:rFonts w:ascii="Arial" w:hAnsi="Arial" w:cs="Arial"/>
                <w:sz w:val="22"/>
                <w:szCs w:val="22"/>
              </w:rPr>
              <w:t>8%</w:t>
            </w:r>
            <w:r>
              <w:rPr>
                <w:rFonts w:hint="eastAsia" w:ascii="Arial" w:hAnsi="Arial" w:cs="Arial"/>
                <w:sz w:val="22"/>
                <w:szCs w:val="22"/>
              </w:rPr>
              <w:t>，则产品提前终止，在第</w:t>
            </w:r>
            <w:r>
              <w:rPr>
                <w:rFonts w:ascii="Arial" w:hAnsi="Arial" w:cs="Arial"/>
                <w:sz w:val="22"/>
                <w:szCs w:val="22"/>
              </w:rPr>
              <w:t>7</w:t>
            </w:r>
            <w:r>
              <w:rPr>
                <w:rFonts w:hint="eastAsia" w:ascii="Arial" w:hAnsi="Arial" w:cs="Arial"/>
                <w:sz w:val="22"/>
                <w:szCs w:val="22"/>
              </w:rPr>
              <w:t>个观察日后的第</w:t>
            </w:r>
            <w:r>
              <w:rPr>
                <w:rFonts w:ascii="Arial" w:hAnsi="Arial" w:cs="Arial"/>
                <w:sz w:val="22"/>
                <w:szCs w:val="22"/>
              </w:rPr>
              <w:t>3</w:t>
            </w:r>
            <w:r>
              <w:rPr>
                <w:rFonts w:hint="eastAsia" w:ascii="Arial" w:hAnsi="Arial" w:cs="Arial"/>
                <w:sz w:val="22"/>
                <w:szCs w:val="22"/>
              </w:rPr>
              <w:t>个交易日为提前终止日。在本产品实际存续期内，本产品A类份额业绩比较基准（年化）为【4.10%-5.00%】，B类份额业绩比较基准（年化）为【4.05%-4.95%】</w:t>
            </w:r>
          </w:p>
          <w:p>
            <w:pPr>
              <w:spacing w:line="360" w:lineRule="auto"/>
              <w:ind w:left="105" w:leftChars="50" w:right="105" w:rightChars="50"/>
              <w:rPr>
                <w:rFonts w:ascii="Arial" w:hAnsi="Arial" w:cs="Arial"/>
                <w:sz w:val="22"/>
                <w:szCs w:val="22"/>
              </w:rPr>
            </w:pPr>
            <w:r>
              <w:rPr>
                <w:rFonts w:ascii="Arial" w:hAnsi="Arial" w:cs="Arial"/>
                <w:sz w:val="22"/>
                <w:szCs w:val="22"/>
              </w:rPr>
              <w:t>3</w:t>
            </w:r>
            <w:r>
              <w:rPr>
                <w:rFonts w:hint="eastAsia" w:ascii="Arial" w:hAnsi="Arial" w:cs="Arial"/>
                <w:sz w:val="22"/>
                <w:szCs w:val="22"/>
              </w:rPr>
              <w:t>、若</w:t>
            </w:r>
            <w:r>
              <w:rPr>
                <w:rFonts w:ascii="Arial" w:hAnsi="Arial" w:cs="Arial"/>
                <w:sz w:val="22"/>
                <w:szCs w:val="22"/>
              </w:rPr>
              <w:t>7</w:t>
            </w:r>
            <w:r>
              <w:rPr>
                <w:rFonts w:hint="eastAsia" w:ascii="Arial" w:hAnsi="Arial" w:cs="Arial"/>
                <w:sz w:val="22"/>
                <w:szCs w:val="22"/>
              </w:rPr>
              <w:t>次观察日的黄金现货收盘价均&lt;初始价格</w:t>
            </w:r>
            <w:r>
              <w:rPr>
                <w:rFonts w:hint="eastAsia" w:ascii="宋体" w:hAnsi="宋体" w:cs="Arial"/>
                <w:sz w:val="22"/>
                <w:szCs w:val="22"/>
              </w:rPr>
              <w:t>×</w:t>
            </w:r>
            <w:r>
              <w:rPr>
                <w:rFonts w:ascii="Arial" w:hAnsi="Arial" w:cs="Arial"/>
                <w:sz w:val="22"/>
                <w:szCs w:val="22"/>
              </w:rPr>
              <w:t>101%</w:t>
            </w:r>
            <w:r>
              <w:rPr>
                <w:rFonts w:hint="eastAsia" w:ascii="Arial" w:hAnsi="Arial" w:cs="Arial"/>
                <w:sz w:val="22"/>
                <w:szCs w:val="22"/>
              </w:rPr>
              <w:t>，且观察期内任一交易日的黄金现货收盘价曾＜初始价格</w:t>
            </w:r>
            <w:r>
              <w:rPr>
                <w:rFonts w:hint="eastAsia" w:ascii="宋体" w:hAnsi="宋体" w:cs="Arial"/>
                <w:sz w:val="22"/>
                <w:szCs w:val="22"/>
              </w:rPr>
              <w:t>×</w:t>
            </w:r>
            <w:r>
              <w:rPr>
                <w:rFonts w:hint="eastAsia" w:ascii="Arial" w:hAnsi="Arial" w:cs="Arial"/>
                <w:sz w:val="22"/>
                <w:szCs w:val="22"/>
              </w:rPr>
              <w:t>9</w:t>
            </w:r>
            <w:r>
              <w:rPr>
                <w:rFonts w:ascii="Arial" w:hAnsi="Arial" w:cs="Arial"/>
                <w:sz w:val="22"/>
                <w:szCs w:val="22"/>
              </w:rPr>
              <w:t>8%</w:t>
            </w:r>
            <w:r>
              <w:rPr>
                <w:rFonts w:hint="eastAsia" w:ascii="Arial" w:hAnsi="Arial" w:cs="Arial"/>
                <w:sz w:val="22"/>
                <w:szCs w:val="22"/>
              </w:rPr>
              <w:t>，则产品正常到期，本产品A类份额业绩比较基准（年化）为【</w:t>
            </w:r>
            <w:r>
              <w:rPr>
                <w:rFonts w:ascii="Arial" w:hAnsi="Arial" w:cs="Arial"/>
                <w:sz w:val="22"/>
                <w:szCs w:val="22"/>
              </w:rPr>
              <w:t>0.0</w:t>
            </w:r>
            <w:r>
              <w:rPr>
                <w:rFonts w:hint="eastAsia" w:ascii="Arial" w:hAnsi="Arial" w:cs="Arial"/>
                <w:sz w:val="22"/>
                <w:szCs w:val="22"/>
              </w:rPr>
              <w:t>6</w:t>
            </w:r>
            <w:r>
              <w:rPr>
                <w:rFonts w:ascii="Arial" w:hAnsi="Arial" w:cs="Arial"/>
                <w:sz w:val="22"/>
                <w:szCs w:val="22"/>
              </w:rPr>
              <w:t>%</w:t>
            </w:r>
            <w:r>
              <w:rPr>
                <w:rFonts w:hint="eastAsia" w:ascii="Arial" w:hAnsi="Arial" w:cs="Arial"/>
                <w:sz w:val="22"/>
                <w:szCs w:val="22"/>
              </w:rPr>
              <w:t>】，B类份额业绩比较基准（年化）为【</w:t>
            </w:r>
            <w:r>
              <w:rPr>
                <w:rFonts w:ascii="Arial" w:hAnsi="Arial" w:cs="Arial"/>
                <w:sz w:val="22"/>
                <w:szCs w:val="22"/>
              </w:rPr>
              <w:t>0.0</w:t>
            </w:r>
            <w:r>
              <w:rPr>
                <w:rFonts w:hint="eastAsia" w:ascii="Arial" w:hAnsi="Arial" w:cs="Arial"/>
                <w:sz w:val="22"/>
                <w:szCs w:val="22"/>
              </w:rPr>
              <w:t>1</w:t>
            </w:r>
            <w:r>
              <w:rPr>
                <w:rFonts w:ascii="Arial" w:hAnsi="Arial" w:cs="Arial"/>
                <w:sz w:val="22"/>
                <w:szCs w:val="22"/>
              </w:rPr>
              <w:t>%</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hint="eastAsia" w:ascii="Arial" w:hAnsi="Arial" w:cs="Arial"/>
                <w:sz w:val="22"/>
                <w:szCs w:val="22"/>
              </w:rPr>
              <w:t>上海黄金交易所黄金现货AU</w:t>
            </w:r>
            <w:r>
              <w:rPr>
                <w:rFonts w:ascii="Arial" w:hAnsi="Arial" w:cs="Arial"/>
                <w:sz w:val="22"/>
                <w:szCs w:val="22"/>
              </w:rPr>
              <w:t>9999</w:t>
            </w:r>
            <w:r>
              <w:rPr>
                <w:rFonts w:hint="eastAsia" w:ascii="Arial" w:hAnsi="Arial" w:cs="Arial"/>
                <w:sz w:val="22"/>
                <w:szCs w:val="22"/>
              </w:rPr>
              <w:t>合约的收盘价由上海黄金交易所编制并发布，综合反映了黄金现货的价格水平。详见本产品说明书第二部分第（四）条（关联投资标的要素及收益计算）。</w:t>
            </w:r>
          </w:p>
          <w:p>
            <w:pPr>
              <w:spacing w:line="360" w:lineRule="auto"/>
              <w:ind w:left="105" w:leftChars="50" w:right="105" w:rightChars="50"/>
              <w:rPr>
                <w:rFonts w:ascii="Arial" w:hAnsi="Arial" w:cs="Arial"/>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1.固定管理费：管理人收取理财产品固定管理费，</w:t>
            </w:r>
            <w:r>
              <w:rPr>
                <w:rFonts w:hint="eastAsia" w:ascii="Arial" w:hAnsi="Arial" w:cs="Arial"/>
                <w:sz w:val="22"/>
                <w:szCs w:val="22"/>
              </w:rPr>
              <w:t>本理财产品A</w:t>
            </w:r>
            <w:r>
              <w:rPr>
                <w:rFonts w:ascii="Arial" w:hAnsi="Arial" w:cs="Arial"/>
                <w:sz w:val="22"/>
                <w:szCs w:val="22"/>
              </w:rPr>
              <w:t>/B</w:t>
            </w:r>
            <w:r>
              <w:rPr>
                <w:rFonts w:hint="eastAsia" w:ascii="Arial" w:hAnsi="Arial" w:cs="Arial"/>
                <w:sz w:val="22"/>
                <w:szCs w:val="22"/>
              </w:rPr>
              <w:t>类份额</w:t>
            </w:r>
            <w:r>
              <w:rPr>
                <w:rFonts w:ascii="Arial" w:hAnsi="Arial" w:cs="Arial"/>
                <w:sz w:val="22"/>
                <w:szCs w:val="22"/>
              </w:rPr>
              <w:t>固定管理费率</w:t>
            </w:r>
            <w:r>
              <w:rPr>
                <w:rFonts w:hint="eastAsia" w:ascii="Arial" w:hAnsi="Arial" w:cs="Arial"/>
                <w:sz w:val="22"/>
                <w:szCs w:val="22"/>
              </w:rPr>
              <w:t>0.</w:t>
            </w:r>
            <w:r>
              <w:rPr>
                <w:rFonts w:ascii="Arial" w:hAnsi="Arial" w:cs="Arial"/>
                <w:sz w:val="22"/>
                <w:szCs w:val="22"/>
              </w:rPr>
              <w:t>20</w:t>
            </w:r>
            <w:r>
              <w:rPr>
                <w:rFonts w:hint="eastAsia" w:ascii="Arial" w:hAnsi="Arial" w:cs="Arial"/>
                <w:sz w:val="22"/>
                <w:szCs w:val="22"/>
              </w:rPr>
              <w:t>%</w:t>
            </w:r>
            <w:r>
              <w:rPr>
                <w:rFonts w:ascii="Arial" w:hAnsi="Arial" w:cs="Arial"/>
                <w:sz w:val="22"/>
                <w:szCs w:val="22"/>
              </w:rPr>
              <w:t>/年。固定管理费精确到小数点后2位，小数点2位以后四舍五入。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2.销售服务费：销售服务机构收取理财产品销售服务费，</w:t>
            </w:r>
            <w:r>
              <w:rPr>
                <w:rFonts w:hint="eastAsia" w:ascii="Arial" w:hAnsi="Arial" w:cs="Arial"/>
                <w:sz w:val="22"/>
                <w:szCs w:val="22"/>
              </w:rPr>
              <w:t>本理财产品A类份额</w:t>
            </w:r>
            <w:r>
              <w:rPr>
                <w:rFonts w:ascii="Arial" w:hAnsi="Arial" w:cs="Arial"/>
                <w:sz w:val="22"/>
                <w:szCs w:val="22"/>
              </w:rPr>
              <w:t>销售服务费率</w:t>
            </w:r>
            <w:r>
              <w:rPr>
                <w:rFonts w:hint="eastAsia" w:ascii="Arial" w:hAnsi="Arial" w:cs="Arial"/>
                <w:sz w:val="22"/>
                <w:szCs w:val="22"/>
              </w:rPr>
              <w:t>0.</w:t>
            </w:r>
            <w:r>
              <w:rPr>
                <w:rFonts w:ascii="Arial" w:hAnsi="Arial" w:cs="Arial"/>
                <w:sz w:val="22"/>
                <w:szCs w:val="22"/>
              </w:rPr>
              <w:t>20%/年</w:t>
            </w:r>
            <w:r>
              <w:rPr>
                <w:rFonts w:hint="eastAsia" w:ascii="Arial" w:hAnsi="Arial" w:cs="Arial"/>
                <w:sz w:val="22"/>
                <w:szCs w:val="22"/>
              </w:rPr>
              <w:t>,本理财产品</w:t>
            </w:r>
            <w:r>
              <w:rPr>
                <w:rFonts w:ascii="Arial" w:hAnsi="Arial" w:cs="Arial"/>
                <w:sz w:val="22"/>
                <w:szCs w:val="22"/>
              </w:rPr>
              <w:t>B</w:t>
            </w:r>
            <w:r>
              <w:rPr>
                <w:rFonts w:hint="eastAsia" w:ascii="Arial" w:hAnsi="Arial" w:cs="Arial"/>
                <w:sz w:val="22"/>
                <w:szCs w:val="22"/>
              </w:rPr>
              <w:t>类份额</w:t>
            </w:r>
            <w:r>
              <w:rPr>
                <w:rFonts w:ascii="Arial" w:hAnsi="Arial" w:cs="Arial"/>
                <w:sz w:val="22"/>
                <w:szCs w:val="22"/>
              </w:rPr>
              <w:t>销售服务费率</w:t>
            </w:r>
            <w:r>
              <w:rPr>
                <w:rFonts w:hint="eastAsia" w:ascii="Arial" w:hAnsi="Arial" w:cs="Arial"/>
                <w:sz w:val="22"/>
                <w:szCs w:val="22"/>
              </w:rPr>
              <w:t>0.</w:t>
            </w:r>
            <w:r>
              <w:rPr>
                <w:rFonts w:ascii="Arial" w:hAnsi="Arial" w:cs="Arial"/>
                <w:sz w:val="22"/>
                <w:szCs w:val="22"/>
              </w:rPr>
              <w:t>2</w:t>
            </w:r>
            <w:r>
              <w:rPr>
                <w:rFonts w:hint="eastAsia" w:ascii="Arial" w:hAnsi="Arial" w:cs="Arial"/>
                <w:sz w:val="22"/>
                <w:szCs w:val="22"/>
              </w:rPr>
              <w:t>5</w:t>
            </w:r>
            <w:r>
              <w:rPr>
                <w:rFonts w:ascii="Arial" w:hAnsi="Arial" w:cs="Arial"/>
                <w:sz w:val="22"/>
                <w:szCs w:val="22"/>
              </w:rPr>
              <w:t>%/年。。销售服务费精确到小数点后2位，小数点2位以后四舍五入。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3.托管费：托管人对本理财产品收取托管费，</w:t>
            </w:r>
            <w:r>
              <w:rPr>
                <w:rFonts w:hint="eastAsia" w:ascii="Arial" w:hAnsi="Arial" w:cs="Arial"/>
                <w:sz w:val="22"/>
                <w:szCs w:val="22"/>
              </w:rPr>
              <w:t>本理财产品A</w:t>
            </w:r>
            <w:r>
              <w:rPr>
                <w:rFonts w:ascii="Arial" w:hAnsi="Arial" w:cs="Arial"/>
                <w:sz w:val="22"/>
                <w:szCs w:val="22"/>
              </w:rPr>
              <w:t>/B</w:t>
            </w:r>
            <w:r>
              <w:rPr>
                <w:rFonts w:hint="eastAsia" w:ascii="Arial" w:hAnsi="Arial" w:cs="Arial"/>
                <w:sz w:val="22"/>
                <w:szCs w:val="22"/>
              </w:rPr>
              <w:t>类份额</w:t>
            </w:r>
            <w:r>
              <w:rPr>
                <w:rFonts w:ascii="Arial" w:hAnsi="Arial" w:cs="Arial"/>
                <w:sz w:val="22"/>
                <w:szCs w:val="22"/>
              </w:rPr>
              <w:t>托管费率</w:t>
            </w:r>
            <w:r>
              <w:rPr>
                <w:rFonts w:hint="eastAsia" w:ascii="Arial" w:hAnsi="Arial" w:cs="Arial"/>
                <w:sz w:val="22"/>
                <w:szCs w:val="22"/>
              </w:rPr>
              <w:t>0.03</w:t>
            </w:r>
            <w:r>
              <w:rPr>
                <w:rFonts w:ascii="Arial" w:hAnsi="Arial" w:cs="Arial"/>
                <w:sz w:val="22"/>
                <w:szCs w:val="22"/>
              </w:rPr>
              <w:t>%/年。托管费精确到小数点后2位，小数点2位以后四舍五入。</w:t>
            </w:r>
          </w:p>
          <w:p>
            <w:pPr>
              <w:spacing w:line="360" w:lineRule="auto"/>
              <w:ind w:left="105" w:leftChars="50" w:right="105" w:rightChars="50"/>
              <w:rPr>
                <w:rFonts w:ascii="Arial" w:hAnsi="Arial" w:cs="Arial"/>
                <w:sz w:val="22"/>
                <w:szCs w:val="22"/>
              </w:rPr>
            </w:pPr>
            <w:r>
              <w:rPr>
                <w:rFonts w:hint="eastAsia" w:ascii="Arial" w:hAnsi="Arial" w:cs="Arial"/>
                <w:sz w:val="22"/>
                <w:szCs w:val="22"/>
              </w:rPr>
              <w:t>4.认购费：本产品不收取认购费。</w:t>
            </w:r>
          </w:p>
          <w:p>
            <w:pPr>
              <w:spacing w:line="360" w:lineRule="auto"/>
              <w:ind w:left="105" w:leftChars="50" w:right="105" w:rightChars="50"/>
              <w:rPr>
                <w:rFonts w:ascii="Arial" w:hAnsi="Arial" w:cs="Arial"/>
                <w:sz w:val="22"/>
                <w:szCs w:val="22"/>
              </w:rPr>
            </w:pPr>
            <w:r>
              <w:rPr>
                <w:rFonts w:ascii="Arial" w:hAnsi="Arial" w:cs="Arial"/>
                <w:sz w:val="22"/>
                <w:szCs w:val="22"/>
              </w:rPr>
              <w:t>5.其他（如有）：</w:t>
            </w:r>
            <w:r>
              <w:rPr>
                <w:rFonts w:hint="eastAsia" w:ascii="Arial" w:hAnsi="Arial"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spacing w:line="360" w:lineRule="auto"/>
              <w:ind w:left="105" w:leftChars="50" w:right="105" w:rightChars="50"/>
              <w:rPr>
                <w:rFonts w:ascii="Arial" w:hAnsi="Arial" w:cs="Arial"/>
                <w:sz w:val="22"/>
                <w:szCs w:val="22"/>
              </w:rPr>
            </w:pPr>
            <w:r>
              <w:rPr>
                <w:rFonts w:ascii="Arial" w:hAnsi="Arial" w:cs="Arial"/>
                <w:sz w:val="22"/>
                <w:szCs w:val="22"/>
              </w:rPr>
              <w:t>6.管理人有权根据国家政策和适用法律</w:t>
            </w:r>
            <w:r>
              <w:rPr>
                <w:rFonts w:hint="eastAsia" w:ascii="Arial" w:hAnsi="Arial" w:cs="Arial"/>
                <w:sz w:val="22"/>
                <w:szCs w:val="22"/>
              </w:rPr>
              <w:t>法规</w:t>
            </w:r>
            <w:r>
              <w:rPr>
                <w:rFonts w:ascii="Arial" w:hAnsi="Arial" w:cs="Arial"/>
                <w:sz w:val="22"/>
                <w:szCs w:val="22"/>
              </w:rPr>
              <w:t>的规定</w:t>
            </w:r>
            <w:r>
              <w:rPr>
                <w:rFonts w:hint="eastAsia" w:ascii="Arial" w:hAnsi="Arial" w:cs="Arial"/>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w:t>
            </w:r>
            <w:r>
              <w:rPr>
                <w:rFonts w:hint="eastAsia" w:ascii="Arial" w:hAnsi="Arial" w:cs="Arial"/>
                <w:b/>
                <w:sz w:val="22"/>
                <w:szCs w:val="22"/>
              </w:rPr>
              <w:t>“六、产品费用”</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ascii="Arial" w:hAnsi="Arial" w:cs="Arial"/>
                <w:sz w:val="22"/>
                <w:szCs w:val="22"/>
              </w:rPr>
              <w:t>7.其他费用：</w:t>
            </w:r>
            <w:r>
              <w:rPr>
                <w:rFonts w:hint="eastAsia" w:ascii="Arial" w:hAnsi="Arial" w:cs="Arial"/>
                <w:sz w:val="22"/>
                <w:szCs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在理财产品对外投资资产正常回收的情况下，扣除理财产品应承担的费用和税款后，计算理财产品的可分配利益。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2024年【5】月【24】日09:30（含）-2024年【6】月【3】日17:00(不含)</w:t>
            </w:r>
            <w:r>
              <w:rPr>
                <w:rFonts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保留延长或提前终止产品认购期的权利。如有变动，产品实际认购期以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公告为准。</w:t>
            </w:r>
          </w:p>
          <w:p>
            <w:pPr>
              <w:spacing w:line="360" w:lineRule="auto"/>
              <w:ind w:left="105" w:leftChars="50" w:right="105" w:rightChars="50"/>
              <w:rPr>
                <w:rFonts w:ascii="Arial" w:hAnsi="Arial" w:cs="Arial"/>
                <w:sz w:val="22"/>
                <w:szCs w:val="22"/>
              </w:rPr>
            </w:pPr>
            <w:r>
              <w:rPr>
                <w:rFonts w:hint="eastAsia" w:ascii="Arial" w:hAnsi="Arial" w:cs="Arial"/>
                <w:b/>
                <w:color w:val="000000" w:themeColor="text1"/>
                <w:sz w:val="22"/>
                <w:szCs w:val="22"/>
                <w14:textFill>
                  <w14:solidFill>
                    <w14:schemeClr w14:val="tx1"/>
                  </w14:solidFill>
                </w14:textFill>
              </w:rPr>
              <w:t>投资者通过销售服务机构认购理财产品的，且销售服务机构在管理人设置的认购期内对于产品认购时间有特殊安排的，还应依照销售服务机构的认购规则执行，具体以销售服务机构披露的规则为准。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2024年【6】月【4】日</w:t>
            </w:r>
            <w:r>
              <w:rPr>
                <w:rFonts w:ascii="Arial" w:hAnsi="Arial" w:cs="Arial"/>
                <w:sz w:val="22"/>
                <w:szCs w:val="22"/>
              </w:rPr>
              <w:t>（如遇非交易日顺延到下一个交易日）</w:t>
            </w:r>
            <w:r>
              <w:rPr>
                <w:rFonts w:hint="eastAsia" w:ascii="Arial" w:hAnsi="Arial" w:cs="Arial"/>
                <w:sz w:val="22"/>
                <w:szCs w:val="22"/>
              </w:rPr>
              <w:t>，</w:t>
            </w:r>
            <w:r>
              <w:rPr>
                <w:rFonts w:hint="eastAsia" w:ascii="Arial" w:hAnsi="Arial" w:cs="Arial"/>
                <w:bCs/>
                <w:color w:val="000000"/>
                <w:sz w:val="22"/>
                <w:szCs w:val="22"/>
              </w:rPr>
              <w:t>即认购有效性的确认日</w:t>
            </w:r>
            <w:r>
              <w:rPr>
                <w:rFonts w:ascii="Arial" w:hAnsi="Arial" w:cs="Arial"/>
                <w:sz w:val="22"/>
                <w:szCs w:val="22"/>
              </w:rPr>
              <w:t>。如产品认购期提前终止或延长，实际认购登记日以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2024年【6】月【4】日</w:t>
            </w:r>
            <w:r>
              <w:rPr>
                <w:rFonts w:ascii="Arial" w:hAnsi="Arial" w:cs="Arial"/>
                <w:sz w:val="22"/>
                <w:szCs w:val="22"/>
              </w:rPr>
              <w:t>（如遇非交易日顺延到下一个交易日）。如产品认购期提前终止或延长，实际成立日以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实际公告为准。理财产品管理人将在理财产品成立日之后5个工作日内披露成立公告。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w:t>
            </w:r>
          </w:p>
          <w:p>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w:t>
            </w:r>
            <w:r>
              <w:rPr>
                <w:rFonts w:ascii="Arial" w:hAnsi="Arial" w:cs="Arial"/>
                <w:sz w:val="22"/>
                <w:szCs w:val="22"/>
              </w:rPr>
              <w:t>5</w:t>
            </w:r>
            <w:r>
              <w:rPr>
                <w:rFonts w:hint="eastAsia" w:ascii="Arial" w:hAnsi="Arial" w:cs="Arial"/>
                <w:sz w:val="22"/>
                <w:szCs w:val="22"/>
              </w:rPr>
              <w:t>年【6】月【19】日。本产品投资关联黄金现货收盘价（AU</w:t>
            </w:r>
            <w:r>
              <w:rPr>
                <w:rFonts w:ascii="Arial" w:hAnsi="Arial" w:cs="Arial"/>
                <w:sz w:val="22"/>
                <w:szCs w:val="22"/>
              </w:rPr>
              <w:t>9999.SGE</w:t>
            </w:r>
            <w:r>
              <w:rPr>
                <w:rFonts w:hint="eastAsia" w:ascii="Arial" w:hAnsi="Arial" w:cs="Arial"/>
                <w:sz w:val="22"/>
                <w:szCs w:val="22"/>
              </w:rPr>
              <w:t>）表现的资产，如在观察期内本产品所投资关联黄金现货收盘价表现</w:t>
            </w:r>
            <w:r>
              <w:rPr>
                <w:rFonts w:hint="eastAsia" w:ascii="Arial" w:hAnsi="Arial" w:cs="Arial"/>
                <w:bCs/>
                <w:color w:val="000000"/>
                <w:sz w:val="22"/>
                <w:szCs w:val="22"/>
              </w:rPr>
              <w:t>的</w:t>
            </w:r>
            <w:r>
              <w:rPr>
                <w:rFonts w:hint="eastAsia" w:ascii="Arial" w:hAnsi="Arial" w:cs="Arial"/>
                <w:sz w:val="22"/>
                <w:szCs w:val="22"/>
              </w:rPr>
              <w:t>资产符合相关条件，则产品可能</w:t>
            </w:r>
            <w:r>
              <w:rPr>
                <w:rFonts w:hint="eastAsia" w:ascii="Arial" w:hAnsi="Arial" w:cs="Arial"/>
                <w:bCs/>
                <w:color w:val="000000"/>
                <w:sz w:val="22"/>
                <w:szCs w:val="22"/>
              </w:rPr>
              <w:t>根据具体规则</w:t>
            </w:r>
            <w:r>
              <w:rPr>
                <w:rFonts w:hint="eastAsia" w:ascii="Arial" w:hAnsi="Arial" w:cs="Arial"/>
                <w:sz w:val="22"/>
                <w:szCs w:val="22"/>
              </w:rPr>
              <w:t>提前到期。如产品提前终止或延长，实际到期日以产品管理人实际公告为准。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hint="eastAsia" w:ascii="Arial" w:hAnsi="Arial" w:cs="Arial"/>
                <w:b/>
                <w:sz w:val="22"/>
                <w:szCs w:val="22"/>
              </w:rPr>
              <w:t>产品期限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bCs/>
                <w:color w:val="000000"/>
                <w:sz w:val="22"/>
                <w:szCs w:val="22"/>
              </w:rPr>
              <w:t>本理财产品运作期限约【12】个月，如在观察日本产品所投资关联</w:t>
            </w:r>
            <w:r>
              <w:rPr>
                <w:rFonts w:hint="eastAsia" w:ascii="Arial" w:hAnsi="Arial" w:cs="Arial"/>
                <w:sz w:val="22"/>
                <w:szCs w:val="22"/>
              </w:rPr>
              <w:t>黄金现货收盘价（AU</w:t>
            </w:r>
            <w:r>
              <w:rPr>
                <w:rFonts w:ascii="Arial" w:hAnsi="Arial" w:cs="Arial"/>
                <w:sz w:val="22"/>
                <w:szCs w:val="22"/>
              </w:rPr>
              <w:t>9999.SGE</w:t>
            </w:r>
            <w:r>
              <w:rPr>
                <w:rFonts w:hint="eastAsia" w:ascii="Arial" w:hAnsi="Arial" w:cs="Arial"/>
                <w:sz w:val="22"/>
                <w:szCs w:val="22"/>
              </w:rPr>
              <w:t>）</w:t>
            </w:r>
            <w:r>
              <w:rPr>
                <w:rFonts w:hint="eastAsia" w:ascii="Arial" w:hAnsi="Arial" w:cs="Arial"/>
                <w:bCs/>
                <w:color w:val="000000"/>
                <w:sz w:val="22"/>
                <w:szCs w:val="22"/>
              </w:rPr>
              <w:t>表现的资产符合相关条件，则产品可能根据具体规则提前到期，产品期限相应会发生调整，具体以届时公告为准。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在理财产品存续期间发生任一理财产品终止事件的，本理财产品有可能终止。详细内容见“</w:t>
            </w:r>
            <w:r>
              <w:rPr>
                <w:rFonts w:hint="eastAsia" w:ascii="Arial" w:hAnsi="Arial" w:cs="Arial"/>
                <w:b/>
                <w:sz w:val="22"/>
                <w:szCs w:val="22"/>
              </w:rPr>
              <w:t>八</w:t>
            </w:r>
            <w:r>
              <w:rPr>
                <w:rFonts w:ascii="Arial" w:hAnsi="Arial" w:cs="Arial"/>
                <w:b/>
                <w:sz w:val="22"/>
                <w:szCs w:val="22"/>
              </w:rPr>
              <w:t>、</w:t>
            </w:r>
            <w:r>
              <w:rPr>
                <w:rFonts w:hint="eastAsia" w:ascii="Arial" w:hAnsi="Arial" w:cs="Arial"/>
                <w:b/>
                <w:sz w:val="22"/>
                <w:szCs w:val="22"/>
              </w:rPr>
              <w:t>产品终止和清算</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指本理财产品终止之日，根据实际情况，是指本理财产品预计到期日，或管理人根据本《产品说明书》约定宣布本理财产品早于本理财产品预计到期日而终止之日，或宣布本理财产品延长后的实际终止之日。原则上终止后</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个工作日内将投资者理财资金划入投资者指定资金账户（如有延期，将在本理财产品说明书约定渠道向理财产品投资者进行披露）。自终止日起资金不计付收益。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b/>
                <w:color w:val="000000" w:themeColor="text1"/>
                <w:sz w:val="22"/>
                <w:szCs w:val="22"/>
                <w14:textFill>
                  <w14:solidFill>
                    <w14:schemeClr w14:val="tx1"/>
                  </w14:solidFill>
                </w14:textFill>
              </w:rPr>
              <w:t>管理人</w:t>
            </w:r>
            <w:r>
              <w:rPr>
                <w:rFonts w:ascii="Arial" w:hAnsi="Arial" w:cs="Arial"/>
                <w:b/>
                <w:sz w:val="22"/>
                <w:szCs w:val="22"/>
              </w:rPr>
              <w:t>有权按照监管要求或</w:t>
            </w:r>
            <w:r>
              <w:rPr>
                <w:rFonts w:hint="eastAsia" w:ascii="Arial" w:hAnsi="Arial" w:cs="Arial"/>
                <w:b/>
                <w:sz w:val="22"/>
                <w:szCs w:val="22"/>
              </w:rPr>
              <w:t>产品</w:t>
            </w:r>
            <w:r>
              <w:rPr>
                <w:rFonts w:ascii="Arial" w:hAnsi="Arial" w:cs="Arial"/>
                <w:b/>
                <w:sz w:val="22"/>
                <w:szCs w:val="22"/>
              </w:rPr>
              <w:t>实际投资情况</w:t>
            </w:r>
            <w:r>
              <w:rPr>
                <w:rFonts w:hint="eastAsia" w:ascii="Arial" w:hAnsi="Arial" w:cs="Arial"/>
                <w:b/>
                <w:sz w:val="22"/>
                <w:szCs w:val="22"/>
              </w:rPr>
              <w:t>提前</w:t>
            </w:r>
            <w:r>
              <w:rPr>
                <w:rFonts w:ascii="Arial" w:hAnsi="Arial" w:cs="Arial"/>
                <w:b/>
                <w:sz w:val="22"/>
                <w:szCs w:val="22"/>
              </w:rPr>
              <w:t>终止本理财产品，并至少于终止</w:t>
            </w:r>
            <w:r>
              <w:rPr>
                <w:rFonts w:hint="eastAsia" w:ascii="Arial" w:hAnsi="Arial" w:cs="Arial"/>
                <w:b/>
                <w:sz w:val="22"/>
                <w:szCs w:val="22"/>
              </w:rPr>
              <w:t>日</w:t>
            </w:r>
            <w:r>
              <w:rPr>
                <w:rFonts w:ascii="Arial" w:hAnsi="Arial" w:cs="Arial"/>
                <w:b/>
                <w:sz w:val="22"/>
                <w:szCs w:val="22"/>
              </w:rPr>
              <w:t>前进行信息披露。</w:t>
            </w:r>
            <w:r>
              <w:rPr>
                <w:rFonts w:ascii="Arial" w:hAnsi="Arial" w:cs="Arial"/>
                <w:sz w:val="22"/>
                <w:szCs w:val="22"/>
              </w:rPr>
              <w:t>原则上终止后5个工作日内将投资者理财资金划入投资者指定资金账户（如有延期，将在本</w:t>
            </w:r>
            <w:r>
              <w:rPr>
                <w:rFonts w:hint="eastAsia" w:ascii="Arial" w:hAnsi="Arial" w:cs="Arial"/>
                <w:sz w:val="22"/>
                <w:szCs w:val="22"/>
              </w:rPr>
              <w:t>理财产品</w:t>
            </w:r>
            <w:r>
              <w:rPr>
                <w:rFonts w:ascii="Arial" w:hAnsi="Arial" w:cs="Arial"/>
                <w:sz w:val="22"/>
                <w:szCs w:val="22"/>
              </w:rPr>
              <w:t>说明书约定渠道向理财产品投资者进行披露）。</w:t>
            </w:r>
            <w:r>
              <w:rPr>
                <w:rFonts w:hint="eastAsia" w:ascii="Arial" w:hAnsi="Arial" w:cs="Arial"/>
                <w:sz w:val="22"/>
                <w:szCs w:val="22"/>
              </w:rPr>
              <w:t>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认购渠道</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hint="eastAsia" w:ascii="Arial" w:hAnsi="Arial" w:cs="Arial"/>
                <w:b/>
                <w:sz w:val="22"/>
                <w:szCs w:val="22"/>
              </w:rPr>
              <w:t>本产品为封闭式产品，产品存续期内不开放申购和赎回。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估值日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w:t>
            </w:r>
            <w:r>
              <w:rPr>
                <w:rFonts w:hint="eastAsia" w:ascii="Arial" w:hAnsi="Arial" w:cs="Arial"/>
                <w:sz w:val="22"/>
                <w:szCs w:val="22"/>
              </w:rPr>
              <w:t>产品</w:t>
            </w:r>
            <w:r>
              <w:rPr>
                <w:rFonts w:ascii="Arial" w:hAnsi="Arial" w:cs="Arial"/>
                <w:sz w:val="22"/>
                <w:szCs w:val="22"/>
              </w:rPr>
              <w:t>的估值日为存续期内的每个交易日</w:t>
            </w:r>
            <w:r>
              <w:rPr>
                <w:rFonts w:hint="eastAsia"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于估值日后</w:t>
            </w:r>
            <w:r>
              <w:rPr>
                <w:rFonts w:hint="eastAsia" w:ascii="Arial" w:hAnsi="Arial" w:cs="Arial"/>
                <w:sz w:val="22"/>
                <w:szCs w:val="22"/>
              </w:rPr>
              <w:t>2</w:t>
            </w:r>
            <w:r>
              <w:rPr>
                <w:rFonts w:ascii="Arial" w:hAnsi="Arial" w:cs="Arial"/>
                <w:sz w:val="22"/>
                <w:szCs w:val="22"/>
              </w:rPr>
              <w:t>个</w:t>
            </w:r>
            <w:r>
              <w:rPr>
                <w:rFonts w:hint="eastAsia" w:ascii="Arial" w:hAnsi="Arial" w:cs="Arial"/>
                <w:sz w:val="22"/>
                <w:szCs w:val="22"/>
              </w:rPr>
              <w:t>交易日</w:t>
            </w:r>
            <w:r>
              <w:rPr>
                <w:rFonts w:ascii="Arial" w:hAnsi="Arial" w:cs="Arial"/>
                <w:sz w:val="22"/>
                <w:szCs w:val="22"/>
              </w:rPr>
              <w:t>内对该估值日的</w:t>
            </w:r>
            <w:r>
              <w:rPr>
                <w:rFonts w:hint="eastAsia" w:ascii="Arial" w:hAnsi="Arial" w:cs="Arial"/>
                <w:sz w:val="22"/>
                <w:szCs w:val="22"/>
              </w:rPr>
              <w:t>本理财产品</w:t>
            </w:r>
            <w:r>
              <w:rPr>
                <w:rFonts w:ascii="Arial" w:hAnsi="Arial" w:cs="Arial"/>
                <w:sz w:val="22"/>
                <w:szCs w:val="22"/>
              </w:rPr>
              <w:t>进行估值</w:t>
            </w:r>
            <w:r>
              <w:rPr>
                <w:rFonts w:hint="eastAsia"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hint="eastAsia" w:ascii="Arial" w:hAnsi="Arial" w:cs="Arial"/>
                <w:sz w:val="22"/>
                <w:szCs w:val="22"/>
              </w:rPr>
              <w:t>至少每周公布一次产品资产净值和份额净值，原则上于每周五公布产品资产净值和份额净值。如遇非交易日则顺延到最近一个交易日披露。产品份额净值</w:t>
            </w:r>
            <w:r>
              <w:rPr>
                <w:rFonts w:ascii="Arial" w:hAnsi="Arial" w:cs="Arial"/>
                <w:sz w:val="22"/>
                <w:szCs w:val="22"/>
              </w:rPr>
              <w:t>精确到小数点后4位，小数点4位以后</w:t>
            </w:r>
            <w:r>
              <w:rPr>
                <w:rFonts w:hint="eastAsia" w:ascii="Arial" w:hAnsi="Arial" w:cs="Arial"/>
                <w:sz w:val="22"/>
                <w:szCs w:val="22"/>
              </w:rPr>
              <w:t>四舍五入</w:t>
            </w:r>
            <w:r>
              <w:rPr>
                <w:rFonts w:ascii="Arial" w:hAnsi="Arial" w:cs="Arial"/>
                <w:sz w:val="22"/>
                <w:szCs w:val="22"/>
              </w:rPr>
              <w:t>。</w:t>
            </w:r>
            <w:r>
              <w:rPr>
                <w:rFonts w:hint="eastAsia" w:ascii="Arial" w:hAnsi="Arial" w:cs="Arial"/>
                <w:sz w:val="22"/>
                <w:szCs w:val="22"/>
              </w:rPr>
              <w:t>平安理财有权根据实际情况调整上述规则并公告。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color w:val="000000" w:themeColor="text1"/>
                <w:sz w:val="22"/>
                <w:szCs w:val="22"/>
                <w14:textFill>
                  <w14:solidFill>
                    <w14:schemeClr w14:val="tx1"/>
                  </w14:solidFill>
                </w14:textFill>
              </w:rPr>
              <w:t>若本理财产品所投资的金融资产到期不能全部偿付导致资产减值甚至本金大幅损失，</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将首先按照本理财产品投资的实际回收资金</w:t>
            </w:r>
            <w:r>
              <w:rPr>
                <w:rFonts w:hint="eastAsia" w:ascii="Arial" w:hAnsi="Arial" w:cs="Arial"/>
                <w:sz w:val="22"/>
                <w:szCs w:val="22"/>
              </w:rPr>
              <w:t>按照协议约定顺序支付</w:t>
            </w:r>
            <w:r>
              <w:rPr>
                <w:rFonts w:ascii="Arial" w:hAnsi="Arial" w:cs="Arial"/>
                <w:color w:val="000000" w:themeColor="text1"/>
                <w:sz w:val="22"/>
                <w:szCs w:val="22"/>
                <w14:textFill>
                  <w14:solidFill>
                    <w14:schemeClr w14:val="tx1"/>
                  </w14:solidFill>
                </w14:textFill>
              </w:rPr>
              <w:t>理财本金和收益（如有），差额部分向相关责任人</w:t>
            </w:r>
            <w:r>
              <w:rPr>
                <w:rFonts w:hint="eastAsia" w:ascii="Arial" w:hAnsi="Arial" w:cs="Arial"/>
                <w:sz w:val="22"/>
                <w:szCs w:val="22"/>
              </w:rPr>
              <w:t>追索</w:t>
            </w:r>
            <w:r>
              <w:rPr>
                <w:rFonts w:ascii="Arial" w:hAnsi="Arial" w:cs="Arial"/>
                <w:color w:val="000000" w:themeColor="text1"/>
                <w:sz w:val="22"/>
                <w:szCs w:val="22"/>
                <w14:textFill>
                  <w14:solidFill>
                    <w14:schemeClr w14:val="tx1"/>
                  </w14:solidFill>
                </w14:textFill>
              </w:rPr>
              <w:t>，</w:t>
            </w:r>
            <w:r>
              <w:rPr>
                <w:rFonts w:hint="eastAsia" w:ascii="Arial" w:hAnsi="Arial" w:cs="Arial"/>
                <w:color w:val="000000" w:themeColor="text1"/>
                <w:sz w:val="22"/>
                <w:szCs w:val="22"/>
                <w14:textFill>
                  <w14:solidFill>
                    <w14:schemeClr w14:val="tx1"/>
                  </w14:solidFill>
                </w14:textFill>
              </w:rPr>
              <w:t>管理人</w:t>
            </w:r>
            <w:r>
              <w:rPr>
                <w:rFonts w:hint="eastAsia" w:ascii="Arial" w:hAnsi="Arial" w:cs="Arial"/>
                <w:sz w:val="22"/>
                <w:szCs w:val="22"/>
              </w:rPr>
              <w:t>取得追索</w:t>
            </w:r>
            <w:r>
              <w:rPr>
                <w:rFonts w:ascii="Arial" w:hAnsi="Arial" w:cs="Arial"/>
                <w:color w:val="000000" w:themeColor="text1"/>
                <w:sz w:val="22"/>
                <w:szCs w:val="22"/>
                <w14:textFill>
                  <w14:solidFill>
                    <w14:schemeClr w14:val="tx1"/>
                  </w14:solidFill>
                </w14:textFill>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sz w:val="22"/>
                <w:szCs w:val="22"/>
              </w:rPr>
            </w:pPr>
            <w:r>
              <w:rPr>
                <w:rFonts w:ascii="Arial" w:hAnsi="Arial" w:cs="Arial"/>
                <w:color w:val="000000"/>
                <w:sz w:val="22"/>
                <w:szCs w:val="22"/>
              </w:rPr>
              <w:t>指本</w:t>
            </w:r>
            <w:r>
              <w:rPr>
                <w:rFonts w:hint="eastAsia" w:ascii="Arial" w:hAnsi="Arial" w:cs="Arial"/>
                <w:color w:val="000000"/>
                <w:sz w:val="22"/>
                <w:szCs w:val="22"/>
              </w:rPr>
              <w:t>理财产品销售文件</w:t>
            </w:r>
            <w:r>
              <w:rPr>
                <w:rFonts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spacing w:line="360" w:lineRule="auto"/>
              <w:ind w:left="63" w:leftChars="30" w:right="63" w:rightChars="30"/>
              <w:rPr>
                <w:rFonts w:ascii="Arial" w:hAnsi="Arial" w:cs="Arial"/>
                <w:bCs/>
                <w:color w:val="000000"/>
                <w:sz w:val="22"/>
                <w:szCs w:val="22"/>
              </w:rPr>
            </w:pPr>
            <w:r>
              <w:rPr>
                <w:rFonts w:hint="eastAsia" w:ascii="Arial" w:hAnsi="Arial" w:cs="Arial"/>
                <w:bCs/>
                <w:color w:val="000000"/>
                <w:sz w:val="22"/>
                <w:szCs w:val="22"/>
              </w:rPr>
              <w:t>产品认购期、认购登记日、产品成立日、提前终止日等日期，管理人有权根据节假日进行调整，并以实际公布为准。</w:t>
            </w:r>
          </w:p>
          <w:p>
            <w:pPr>
              <w:spacing w:line="360" w:lineRule="auto"/>
              <w:ind w:left="105" w:leftChars="50" w:right="105" w:rightChars="5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本理财产品</w:t>
            </w:r>
            <w:r>
              <w:rPr>
                <w:rFonts w:ascii="Arial" w:hAnsi="Arial" w:cs="Arial"/>
                <w:color w:val="000000" w:themeColor="text1"/>
                <w:sz w:val="22"/>
                <w:szCs w:val="22"/>
                <w14:textFill>
                  <w14:solidFill>
                    <w14:schemeClr w14:val="tx1"/>
                  </w14:solidFill>
                </w14:textFill>
              </w:rPr>
              <w:t>认购登记日至</w:t>
            </w:r>
            <w:r>
              <w:rPr>
                <w:rFonts w:hint="eastAsia" w:ascii="Arial" w:hAnsi="Arial" w:cs="Arial"/>
                <w:color w:val="000000" w:themeColor="text1"/>
                <w:sz w:val="22"/>
                <w:szCs w:val="22"/>
                <w14:textFill>
                  <w14:solidFill>
                    <w14:schemeClr w14:val="tx1"/>
                  </w14:solidFill>
                </w14:textFill>
              </w:rPr>
              <w:t>产品</w:t>
            </w:r>
            <w:r>
              <w:rPr>
                <w:rFonts w:ascii="Arial" w:hAnsi="Arial" w:cs="Arial"/>
                <w:color w:val="000000" w:themeColor="text1"/>
                <w:sz w:val="22"/>
                <w:szCs w:val="22"/>
                <w14:textFill>
                  <w14:solidFill>
                    <w14:schemeClr w14:val="tx1"/>
                  </w14:solidFill>
                </w14:textFill>
              </w:rPr>
              <w:t>成立日为认购清算期，</w:t>
            </w:r>
            <w:r>
              <w:rPr>
                <w:rFonts w:hint="eastAsia" w:ascii="Arial" w:hAnsi="Arial" w:cs="Arial"/>
                <w:color w:val="000000" w:themeColor="text1"/>
                <w:sz w:val="22"/>
                <w:szCs w:val="22"/>
                <w14:textFill>
                  <w14:solidFill>
                    <w14:schemeClr w14:val="tx1"/>
                  </w14:solidFill>
                </w14:textFill>
              </w:rPr>
              <w:t>实际</w:t>
            </w:r>
            <w:r>
              <w:rPr>
                <w:rFonts w:ascii="Arial" w:hAnsi="Arial" w:cs="Arial"/>
                <w:color w:val="000000" w:themeColor="text1"/>
                <w:sz w:val="22"/>
                <w:szCs w:val="22"/>
                <w14:textFill>
                  <w14:solidFill>
                    <w14:schemeClr w14:val="tx1"/>
                  </w14:solidFill>
                </w14:textFill>
              </w:rPr>
              <w:t>终止日至</w:t>
            </w:r>
            <w:r>
              <w:rPr>
                <w:rFonts w:hint="eastAsia" w:ascii="Arial" w:hAnsi="Arial" w:cs="Arial"/>
                <w:color w:val="000000" w:themeColor="text1"/>
                <w:sz w:val="22"/>
                <w:szCs w:val="22"/>
                <w14:textFill>
                  <w14:solidFill>
                    <w14:schemeClr w14:val="tx1"/>
                  </w14:solidFill>
                </w14:textFill>
              </w:rPr>
              <w:t>产品清算</w:t>
            </w:r>
            <w:r>
              <w:rPr>
                <w:rFonts w:ascii="Arial" w:hAnsi="Arial" w:cs="Arial"/>
                <w:color w:val="000000" w:themeColor="text1"/>
                <w:sz w:val="22"/>
                <w:szCs w:val="22"/>
                <w14:textFill>
                  <w14:solidFill>
                    <w14:schemeClr w14:val="tx1"/>
                  </w14:solidFill>
                </w14:textFill>
              </w:rPr>
              <w:t>资金到账日为终止清算期</w:t>
            </w:r>
            <w:r>
              <w:rPr>
                <w:rFonts w:hint="eastAsia" w:ascii="Arial" w:hAnsi="Arial" w:cs="Arial"/>
                <w:color w:val="000000" w:themeColor="text1"/>
                <w:sz w:val="22"/>
                <w:szCs w:val="22"/>
                <w14:textFill>
                  <w14:solidFill>
                    <w14:schemeClr w14:val="tx1"/>
                  </w14:solidFill>
                </w14:textFill>
              </w:rPr>
              <w:t>（以下统称“清算期”）</w:t>
            </w:r>
            <w:r>
              <w:rPr>
                <w:rFonts w:ascii="Arial" w:hAnsi="Arial" w:cs="Arial"/>
                <w:color w:val="000000" w:themeColor="text1"/>
                <w:sz w:val="22"/>
                <w:szCs w:val="22"/>
                <w14:textFill>
                  <w14:solidFill>
                    <w14:schemeClr w14:val="tx1"/>
                  </w14:solidFill>
                </w14:textFill>
              </w:rPr>
              <w:t>，</w:t>
            </w:r>
            <w:r>
              <w:rPr>
                <w:rFonts w:hint="eastAsia" w:ascii="Arial" w:hAnsi="Arial" w:cs="Arial"/>
                <w:color w:val="000000" w:themeColor="text1"/>
                <w:sz w:val="22"/>
                <w:szCs w:val="22"/>
                <w14:textFill>
                  <w14:solidFill>
                    <w14:schemeClr w14:val="tx1"/>
                  </w14:solidFill>
                </w14:textFill>
              </w:rPr>
              <w:t>上述</w:t>
            </w:r>
            <w:r>
              <w:rPr>
                <w:rFonts w:ascii="Arial" w:hAnsi="Arial" w:cs="Arial"/>
                <w:color w:val="000000" w:themeColor="text1"/>
                <w:sz w:val="22"/>
                <w:szCs w:val="22"/>
                <w14:textFill>
                  <w14:solidFill>
                    <w14:schemeClr w14:val="tx1"/>
                  </w14:solidFill>
                </w14:textFill>
              </w:rPr>
              <w:t>清算期内均不计付收益。清算期</w:t>
            </w:r>
            <w:r>
              <w:rPr>
                <w:rFonts w:hint="eastAsia" w:ascii="Arial" w:hAnsi="Arial" w:cs="Arial"/>
                <w:sz w:val="22"/>
                <w:szCs w:val="22"/>
              </w:rPr>
              <w:t>最后一日</w:t>
            </w:r>
            <w:r>
              <w:rPr>
                <w:rFonts w:hint="eastAsia" w:ascii="Arial" w:hAnsi="Arial" w:cs="Arial"/>
                <w:color w:val="000000" w:themeColor="text1"/>
                <w:sz w:val="22"/>
                <w:szCs w:val="22"/>
                <w14:textFill>
                  <w14:solidFill>
                    <w14:schemeClr w14:val="tx1"/>
                  </w14:solidFill>
                </w14:textFill>
              </w:rPr>
              <w:t>逢非交易日则顺延至下一交易日</w:t>
            </w:r>
            <w:r>
              <w:rPr>
                <w:rFonts w:ascii="Arial" w:hAnsi="Arial" w:cs="Arial"/>
                <w:color w:val="000000" w:themeColor="text1"/>
                <w:sz w:val="22"/>
                <w:szCs w:val="22"/>
                <w14:textFill>
                  <w14:solidFill>
                    <w14:schemeClr w14:val="tx1"/>
                  </w14:solidFill>
                </w14:textFill>
              </w:rPr>
              <w:t>。</w:t>
            </w:r>
          </w:p>
          <w:p>
            <w:pPr>
              <w:spacing w:line="360" w:lineRule="auto"/>
              <w:ind w:left="105" w:leftChars="50" w:right="105" w:rightChars="50"/>
              <w:rPr>
                <w:rFonts w:ascii="Arial" w:hAnsi="Arial" w:cs="Arial"/>
                <w:sz w:val="22"/>
                <w:szCs w:val="22"/>
              </w:rPr>
            </w:pPr>
            <w:r>
              <w:rPr>
                <w:rFonts w:ascii="Arial" w:hAnsi="Arial" w:cs="Arial"/>
                <w:color w:val="000000" w:themeColor="text1"/>
                <w:sz w:val="22"/>
                <w:szCs w:val="22"/>
                <w14:textFill>
                  <w14:solidFill>
                    <w14:schemeClr w14:val="tx1"/>
                  </w14:solidFill>
                </w14:textFill>
              </w:rPr>
              <w:t>发生暂停认</w:t>
            </w:r>
            <w:r>
              <w:rPr>
                <w:rFonts w:hint="eastAsia" w:ascii="Arial" w:hAnsi="Arial" w:cs="Arial"/>
                <w:color w:val="000000" w:themeColor="text1"/>
                <w:sz w:val="22"/>
                <w:szCs w:val="22"/>
                <w14:textFill>
                  <w14:solidFill>
                    <w14:schemeClr w14:val="tx1"/>
                  </w14:solidFill>
                </w14:textFill>
              </w:rPr>
              <w:t>购，本</w:t>
            </w:r>
            <w:r>
              <w:rPr>
                <w:rFonts w:ascii="Arial" w:hAnsi="Arial" w:cs="Arial"/>
                <w:color w:val="000000" w:themeColor="text1"/>
                <w:sz w:val="22"/>
                <w:szCs w:val="22"/>
                <w14:textFill>
                  <w14:solidFill>
                    <w14:schemeClr w14:val="tx1"/>
                  </w14:solidFill>
                </w14:textFill>
              </w:rPr>
              <w:t>理财产品宣布不成立等情形时，</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将按照本理财产品说明书约定的信息披露方式进行公告。如果因发生前述情形导致投资者的认购申请被拒绝，被拒绝的认购款项将退还给投资者，</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不负责承担投资者由此产生的利息等损失。在暂停认购的情况消除时，</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将及时恢复认购业务的办理。</w:t>
            </w:r>
          </w:p>
        </w:tc>
      </w:tr>
    </w:tbl>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在本理财产品存续期内，如因监管政策与规定发生变化，平安理财有权单方对本理财产品销售文件条款进行修改。管理人对于本理财产品销售文件条款的修改对投资者权益产生重大影响的，应当按照本理财产品说明书约定开设临时开放期，以供投资者提前赎回本理财产品。具体以管理人公告为准。</w:t>
      </w:r>
    </w:p>
    <w:p>
      <w:pPr>
        <w:spacing w:line="360" w:lineRule="auto"/>
        <w:ind w:firstLine="456" w:firstLineChars="200"/>
        <w:rPr>
          <w:rFonts w:ascii="Arial" w:hAnsi="Arial" w:cs="Arial"/>
          <w:color w:val="000000"/>
          <w:spacing w:val="4"/>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snapToGrid w:val="0"/>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（一）投资范围</w:t>
      </w:r>
    </w:p>
    <w:p>
      <w:pPr>
        <w:snapToGrid w:val="0"/>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本理财产品主要投资于以下符合监管要求的金融资产和金融工具：</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（1）</w:t>
      </w:r>
      <w:r>
        <w:rPr>
          <w:rFonts w:hint="eastAsia" w:ascii="Arial" w:hAnsi="Arial" w:cs="Arial"/>
          <w:color w:val="000000"/>
          <w:spacing w:val="-2"/>
          <w:sz w:val="22"/>
          <w:szCs w:val="22"/>
        </w:rPr>
        <w:t>一般性存款、结构性存款、同业存单、货币市场工具、银行间市场和证券交易所发行的债券、货币市场基金、债券基金、债券质押式及买断式回购、资产支持证券、可转换债券、可交换债券、理财直接融资工具、收益凭证等非标准化债权类资产，以上述资产为主要投资范围的公募基金、信托计划、资产管理计划等资产管理产品（包括符合监管要求的各类QDII资产管理产品，下同），及其他符合监管要求的债权类资产；</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2</w:t>
      </w:r>
      <w:r>
        <w:rPr>
          <w:rFonts w:hint="eastAsia" w:ascii="Arial" w:hAnsi="Arial" w:cs="Arial"/>
          <w:color w:val="000000"/>
          <w:spacing w:val="4"/>
          <w:sz w:val="22"/>
          <w:szCs w:val="22"/>
        </w:rPr>
        <w:t>）</w:t>
      </w:r>
      <w:r>
        <w:rPr>
          <w:rFonts w:hint="eastAsia" w:ascii="Arial" w:hAnsi="Arial" w:cs="Arial"/>
          <w:color w:val="000000"/>
          <w:spacing w:val="-2"/>
          <w:sz w:val="22"/>
          <w:szCs w:val="22"/>
        </w:rPr>
        <w:t>权益类、混合类资产管理产品（包括但不限于公募基金、信托计划、资产管理计划等），优先股，及其他符合监管要求的权益类资产；</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3</w:t>
      </w:r>
      <w:r>
        <w:rPr>
          <w:rFonts w:hint="eastAsia" w:ascii="Arial" w:hAnsi="Arial" w:cs="Arial"/>
          <w:color w:val="000000"/>
          <w:spacing w:val="4"/>
          <w:sz w:val="22"/>
          <w:szCs w:val="22"/>
        </w:rPr>
        <w:t>）</w:t>
      </w:r>
      <w:r>
        <w:rPr>
          <w:rFonts w:hint="eastAsia" w:ascii="Arial" w:hAnsi="Arial" w:cs="Arial"/>
          <w:color w:val="000000"/>
          <w:spacing w:val="-2"/>
          <w:sz w:val="22"/>
          <w:szCs w:val="22"/>
        </w:rPr>
        <w:t>利率互换、收益互换、股指期货、国债期货、商品期货、期权等商品及金融衍生品类资产，商品及金融衍生品类资产管理产品（包括但不限于公募基金、信托计划、资产管理计划等）</w:t>
      </w:r>
    </w:p>
    <w:p>
      <w:pPr>
        <w:snapToGrid w:val="0"/>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本理财产品管理人在直接投资于金融衍生品类资产</w:t>
      </w:r>
      <w:r>
        <w:rPr>
          <w:rFonts w:hint="eastAsia" w:ascii="仿宋" w:hAnsi="仿宋"/>
          <w:sz w:val="22"/>
        </w:rPr>
        <w:t>或上述境外发行资产</w:t>
      </w:r>
      <w:r>
        <w:rPr>
          <w:rFonts w:hint="eastAsia" w:ascii="Arial" w:hAnsi="Arial" w:cs="Arial"/>
          <w:color w:val="000000"/>
          <w:spacing w:val="-2"/>
          <w:sz w:val="22"/>
          <w:szCs w:val="22"/>
        </w:rPr>
        <w:t>前，需先获得相应的交易资格。</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（二）投资比例</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本产品投资于债权类资产的比例不低于80%，非标准化债权类资产的比例不高于49%，投资于权益类资产的比例不高于20%，投资于商品及金融衍生品类资产的比例合计不高于20%。</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（三）投资限制</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1、本理财产品的杠杆水平在存续期内不得超过200%。</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非因管理人主观因素致使不符合前述第2条比例限制的，管理人将在流动性受限资产可出售、可转让或者恢复交易的10个交易日内调整至符合相关要求，国务院银行业监督管理机构规定的特殊情形除外。</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（四）黄金现货收盘价（AU9999.SGE）指数表现关联资产要素及收益计算</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本产品投资关联了黄金现货收盘价表现的资产，</w:t>
      </w:r>
      <w:r>
        <w:rPr>
          <w:rFonts w:hint="eastAsia" w:ascii="Arial" w:hAnsi="Arial" w:cs="Arial"/>
          <w:spacing w:val="4"/>
          <w:sz w:val="22"/>
          <w:szCs w:val="22"/>
        </w:rPr>
        <w:t>该关联资产期限约【</w:t>
      </w:r>
      <w:r>
        <w:rPr>
          <w:rFonts w:ascii="Arial" w:hAnsi="Arial" w:cs="Arial"/>
          <w:spacing w:val="4"/>
          <w:sz w:val="22"/>
          <w:szCs w:val="22"/>
        </w:rPr>
        <w:t>9</w:t>
      </w:r>
      <w:r>
        <w:rPr>
          <w:rFonts w:hint="eastAsia" w:ascii="Arial" w:hAnsi="Arial" w:cs="Arial"/>
          <w:spacing w:val="4"/>
          <w:sz w:val="22"/>
          <w:szCs w:val="22"/>
        </w:rPr>
        <w:t>个月】</w:t>
      </w:r>
      <w:r>
        <w:rPr>
          <w:rFonts w:hint="eastAsia" w:ascii="Arial" w:hAnsi="Arial" w:cs="Arial"/>
          <w:color w:val="FF0000"/>
          <w:spacing w:val="4"/>
          <w:sz w:val="22"/>
          <w:szCs w:val="22"/>
        </w:rPr>
        <w:t>，</w:t>
      </w:r>
      <w:r>
        <w:rPr>
          <w:rFonts w:hint="eastAsia" w:ascii="Arial" w:hAnsi="Arial" w:cs="Arial"/>
          <w:color w:val="000000"/>
          <w:spacing w:val="4"/>
          <w:sz w:val="22"/>
          <w:szCs w:val="22"/>
        </w:rPr>
        <w:t xml:space="preserve">关联规则如下，若有调整，以要素公告为准。 </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（1）关联标的：上海黄金交易所黄金现货AU9999合约，投资者可以通过【AU9999.SGE】在Wind系统上查询</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（2）关联标的价格：关联标的在其每个交易日的收盘价</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（3）初始观察日：2</w:t>
      </w:r>
      <w:r>
        <w:rPr>
          <w:rFonts w:ascii="Arial" w:hAnsi="Arial" w:cs="Arial"/>
          <w:color w:val="000000"/>
          <w:spacing w:val="4"/>
          <w:sz w:val="22"/>
          <w:szCs w:val="22"/>
        </w:rPr>
        <w:t>024</w:t>
      </w:r>
      <w:r>
        <w:rPr>
          <w:rFonts w:hint="eastAsia" w:ascii="Arial" w:hAnsi="Arial" w:cs="Arial"/>
          <w:color w:val="000000"/>
          <w:spacing w:val="4"/>
          <w:sz w:val="22"/>
          <w:szCs w:val="22"/>
        </w:rPr>
        <w:t>年【6】月【6】日，若有调整以要素公告为准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（4）初始价格：初始观察日关联标的价格</w:t>
      </w:r>
    </w:p>
    <w:p>
      <w:pPr>
        <w:snapToGrid w:val="0"/>
        <w:spacing w:line="360" w:lineRule="auto"/>
        <w:ind w:right="105" w:rightChars="50" w:firstLine="424" w:firstLineChars="186"/>
        <w:rPr>
          <w:rFonts w:ascii="Arial" w:hAnsi="Arial" w:cs="Arial"/>
          <w:spacing w:val="4"/>
          <w:sz w:val="22"/>
          <w:szCs w:val="22"/>
        </w:rPr>
      </w:pPr>
      <w:r>
        <w:rPr>
          <w:rFonts w:hint="eastAsia" w:ascii="Arial" w:hAnsi="Arial" w:cs="Arial"/>
          <w:spacing w:val="4"/>
          <w:sz w:val="22"/>
          <w:szCs w:val="22"/>
        </w:rPr>
        <w:t>（</w:t>
      </w:r>
      <w:r>
        <w:rPr>
          <w:rFonts w:ascii="Arial" w:hAnsi="Arial" w:cs="Arial"/>
          <w:spacing w:val="4"/>
          <w:sz w:val="22"/>
          <w:szCs w:val="22"/>
        </w:rPr>
        <w:t>5</w:t>
      </w:r>
      <w:r>
        <w:rPr>
          <w:rFonts w:hint="eastAsia" w:ascii="Arial" w:hAnsi="Arial" w:cs="Arial"/>
          <w:spacing w:val="4"/>
          <w:sz w:val="22"/>
          <w:szCs w:val="22"/>
        </w:rPr>
        <w:t>）观察期：从</w:t>
      </w:r>
      <w:r>
        <w:rPr>
          <w:rFonts w:ascii="Arial" w:hAnsi="Arial" w:cs="Arial"/>
          <w:spacing w:val="4"/>
          <w:sz w:val="22"/>
          <w:szCs w:val="22"/>
        </w:rPr>
        <w:t>2024</w:t>
      </w:r>
      <w:r>
        <w:rPr>
          <w:rFonts w:hint="eastAsia" w:ascii="Arial" w:hAnsi="Arial" w:cs="Arial"/>
          <w:spacing w:val="4"/>
          <w:sz w:val="22"/>
          <w:szCs w:val="22"/>
        </w:rPr>
        <w:t>年【6】月【6】日（包含）到</w:t>
      </w:r>
      <w:r>
        <w:rPr>
          <w:rFonts w:ascii="Arial" w:hAnsi="Arial" w:cs="Arial"/>
          <w:spacing w:val="4"/>
          <w:sz w:val="22"/>
          <w:szCs w:val="22"/>
        </w:rPr>
        <w:t>202</w:t>
      </w:r>
      <w:r>
        <w:rPr>
          <w:rFonts w:hint="eastAsia" w:ascii="Arial" w:hAnsi="Arial" w:cs="Arial"/>
          <w:spacing w:val="4"/>
          <w:sz w:val="22"/>
          <w:szCs w:val="22"/>
        </w:rPr>
        <w:t>5年【3】月【3】日（包含）</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6</w:t>
      </w:r>
      <w:r>
        <w:rPr>
          <w:rFonts w:hint="eastAsia" w:ascii="Arial" w:hAnsi="Arial" w:cs="Arial"/>
          <w:color w:val="000000"/>
          <w:spacing w:val="4"/>
          <w:sz w:val="22"/>
          <w:szCs w:val="22"/>
        </w:rPr>
        <w:t>）观察日：从202</w:t>
      </w:r>
      <w:r>
        <w:rPr>
          <w:rFonts w:ascii="Arial" w:hAnsi="Arial" w:cs="Arial"/>
          <w:color w:val="000000"/>
          <w:spacing w:val="4"/>
          <w:sz w:val="22"/>
          <w:szCs w:val="22"/>
        </w:rPr>
        <w:t>4</w:t>
      </w:r>
      <w:r>
        <w:rPr>
          <w:rFonts w:hint="eastAsia" w:ascii="Arial" w:hAnsi="Arial" w:cs="Arial"/>
          <w:color w:val="000000"/>
          <w:spacing w:val="4"/>
          <w:sz w:val="22"/>
          <w:szCs w:val="22"/>
        </w:rPr>
        <w:t>年【9】月【9】日（包含）到2025年【3】月【3】日（包含）关联标的所在交易所交易日中，平均每隔</w:t>
      </w:r>
      <w:r>
        <w:rPr>
          <w:rFonts w:ascii="Arial" w:hAnsi="Arial" w:cs="Arial"/>
          <w:color w:val="000000"/>
          <w:spacing w:val="4"/>
          <w:sz w:val="22"/>
          <w:szCs w:val="22"/>
        </w:rPr>
        <w:t>1</w:t>
      </w:r>
      <w:r>
        <w:rPr>
          <w:rFonts w:hint="eastAsia" w:ascii="Arial" w:hAnsi="Arial" w:cs="Arial"/>
          <w:color w:val="000000"/>
          <w:spacing w:val="4"/>
          <w:sz w:val="22"/>
          <w:szCs w:val="22"/>
        </w:rPr>
        <w:t>个月设置一个观察日，共设置</w:t>
      </w:r>
      <w:r>
        <w:rPr>
          <w:rFonts w:ascii="Arial" w:hAnsi="Arial" w:cs="Arial"/>
          <w:color w:val="000000"/>
          <w:spacing w:val="4"/>
          <w:sz w:val="22"/>
          <w:szCs w:val="22"/>
        </w:rPr>
        <w:t>7</w:t>
      </w:r>
      <w:r>
        <w:rPr>
          <w:rFonts w:hint="eastAsia" w:ascii="Arial" w:hAnsi="Arial" w:cs="Arial"/>
          <w:color w:val="000000"/>
          <w:spacing w:val="4"/>
          <w:sz w:val="22"/>
          <w:szCs w:val="22"/>
        </w:rPr>
        <w:t>个，目前设置如下：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80"/>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第i次观察</w:t>
            </w:r>
          </w:p>
        </w:tc>
        <w:tc>
          <w:tcPr>
            <w:tcW w:w="3398" w:type="dxa"/>
          </w:tcPr>
          <w:p>
            <w:pPr>
              <w:ind w:right="141" w:firstLine="390" w:firstLineChars="186"/>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观察日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i=1</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2024年0</w:t>
            </w:r>
            <w:r>
              <w:rPr>
                <w:rFonts w:hint="eastAsia" w:eastAsia="等线"/>
                <w:color w:val="000000"/>
                <w:szCs w:val="21"/>
              </w:rPr>
              <w:t>9</w:t>
            </w:r>
            <w:r>
              <w:rPr>
                <w:rFonts w:eastAsia="等线"/>
                <w:color w:val="000000"/>
                <w:szCs w:val="21"/>
              </w:rPr>
              <w:t>月</w:t>
            </w:r>
            <w:r>
              <w:rPr>
                <w:rFonts w:hint="eastAsia" w:eastAsia="等线"/>
                <w:color w:val="000000"/>
                <w:szCs w:val="21"/>
              </w:rPr>
              <w:t>09</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i=2</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10</w:t>
            </w:r>
            <w:r>
              <w:rPr>
                <w:rFonts w:eastAsia="等线"/>
                <w:color w:val="000000"/>
                <w:szCs w:val="21"/>
              </w:rPr>
              <w:t>月</w:t>
            </w:r>
            <w:r>
              <w:rPr>
                <w:rFonts w:hint="eastAsia" w:eastAsia="等线"/>
                <w:color w:val="000000"/>
                <w:szCs w:val="21"/>
              </w:rPr>
              <w:t>08</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i=3</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11</w:t>
            </w:r>
            <w:r>
              <w:rPr>
                <w:rFonts w:eastAsia="等线"/>
                <w:color w:val="000000"/>
                <w:szCs w:val="21"/>
              </w:rPr>
              <w:t>月</w:t>
            </w:r>
            <w:r>
              <w:rPr>
                <w:rFonts w:hint="eastAsia" w:eastAsia="等线"/>
                <w:color w:val="000000"/>
                <w:szCs w:val="21"/>
              </w:rPr>
              <w:t>11</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i=4</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12</w:t>
            </w:r>
            <w:r>
              <w:rPr>
                <w:rFonts w:eastAsia="等线"/>
                <w:color w:val="000000"/>
                <w:szCs w:val="21"/>
              </w:rPr>
              <w:t>月</w:t>
            </w:r>
            <w:r>
              <w:rPr>
                <w:rFonts w:hint="eastAsia" w:eastAsia="等线"/>
                <w:color w:val="000000"/>
                <w:szCs w:val="21"/>
              </w:rPr>
              <w:t>09</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i=5</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01</w:t>
            </w:r>
            <w:r>
              <w:rPr>
                <w:rFonts w:eastAsia="等线"/>
                <w:color w:val="000000"/>
                <w:szCs w:val="21"/>
              </w:rPr>
              <w:t>月</w:t>
            </w:r>
            <w:r>
              <w:rPr>
                <w:rFonts w:hint="eastAsia" w:eastAsia="等线"/>
                <w:color w:val="000000"/>
                <w:szCs w:val="21"/>
              </w:rPr>
              <w:t>06</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6</w:t>
            </w:r>
          </w:p>
        </w:tc>
        <w:tc>
          <w:tcPr>
            <w:tcW w:w="3398"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02</w:t>
            </w:r>
            <w:r>
              <w:rPr>
                <w:rFonts w:eastAsia="等线"/>
                <w:color w:val="000000"/>
                <w:szCs w:val="21"/>
              </w:rPr>
              <w:t>月</w:t>
            </w:r>
            <w:r>
              <w:rPr>
                <w:rFonts w:hint="eastAsia" w:eastAsia="等线"/>
                <w:color w:val="000000"/>
                <w:szCs w:val="21"/>
              </w:rPr>
              <w:t>10</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7</w:t>
            </w:r>
          </w:p>
        </w:tc>
        <w:tc>
          <w:tcPr>
            <w:tcW w:w="3398"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03</w:t>
            </w:r>
            <w:r>
              <w:rPr>
                <w:rFonts w:eastAsia="等线"/>
                <w:color w:val="000000"/>
                <w:szCs w:val="21"/>
              </w:rPr>
              <w:t>月</w:t>
            </w:r>
            <w:r>
              <w:rPr>
                <w:rFonts w:hint="eastAsia" w:eastAsia="等线"/>
                <w:color w:val="000000"/>
                <w:szCs w:val="21"/>
              </w:rPr>
              <w:t>03</w:t>
            </w:r>
            <w:r>
              <w:rPr>
                <w:rFonts w:eastAsia="等线"/>
                <w:color w:val="000000"/>
                <w:szCs w:val="21"/>
              </w:rPr>
              <w:t>日</w:t>
            </w:r>
          </w:p>
        </w:tc>
      </w:tr>
    </w:tbl>
    <w:p>
      <w:pPr>
        <w:snapToGrid w:val="0"/>
        <w:spacing w:before="156" w:beforeLines="50"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上述设定的观察日中，若遇非交易日，以顺延后的第一个交易日为观察日。</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7</w:t>
      </w:r>
      <w:r>
        <w:rPr>
          <w:rFonts w:hint="eastAsia" w:ascii="Arial" w:hAnsi="Arial" w:cs="Arial"/>
          <w:color w:val="000000"/>
          <w:spacing w:val="4"/>
          <w:sz w:val="22"/>
          <w:szCs w:val="22"/>
        </w:rPr>
        <w:t>）观察日价格：观察日当天关联标的价格</w:t>
      </w:r>
    </w:p>
    <w:p>
      <w:pPr>
        <w:pStyle w:val="21"/>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8</w:t>
      </w:r>
      <w:r>
        <w:rPr>
          <w:rFonts w:hint="eastAsia" w:ascii="Arial" w:hAnsi="Arial" w:cs="Arial"/>
          <w:color w:val="000000"/>
          <w:spacing w:val="4"/>
          <w:sz w:val="22"/>
          <w:szCs w:val="22"/>
        </w:rPr>
        <w:t>）</w:t>
      </w:r>
      <w:r>
        <w:rPr>
          <w:rFonts w:ascii="Arial" w:hAnsi="Arial" w:cs="Arial"/>
          <w:color w:val="000000"/>
          <w:spacing w:val="4"/>
          <w:sz w:val="22"/>
          <w:szCs w:val="22"/>
        </w:rPr>
        <w:t>敲出事件：如果在任何一个观察日，</w:t>
      </w:r>
      <w:r>
        <w:rPr>
          <w:rFonts w:hint="eastAsia" w:ascii="Arial" w:hAnsi="Arial" w:cs="Arial"/>
          <w:color w:val="000000"/>
          <w:spacing w:val="4"/>
          <w:sz w:val="22"/>
          <w:szCs w:val="22"/>
        </w:rPr>
        <w:t>关联标的</w:t>
      </w:r>
      <w:r>
        <w:rPr>
          <w:rFonts w:ascii="Arial" w:hAnsi="Arial" w:cs="Arial"/>
          <w:color w:val="000000"/>
          <w:spacing w:val="4"/>
          <w:sz w:val="22"/>
          <w:szCs w:val="22"/>
        </w:rPr>
        <w:t>收盘价大于</w:t>
      </w:r>
      <w:r>
        <w:rPr>
          <w:rFonts w:hint="eastAsia" w:ascii="Arial" w:hAnsi="Arial" w:cs="Arial"/>
          <w:color w:val="000000"/>
          <w:spacing w:val="4"/>
          <w:sz w:val="22"/>
          <w:szCs w:val="22"/>
        </w:rPr>
        <w:t>或等于</w:t>
      </w:r>
      <w:r>
        <w:rPr>
          <w:rFonts w:ascii="Arial" w:hAnsi="Arial" w:cs="Arial"/>
          <w:color w:val="000000"/>
          <w:spacing w:val="4"/>
          <w:sz w:val="22"/>
          <w:szCs w:val="22"/>
        </w:rPr>
        <w:t>障碍价格，则敲出事件发生</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9</w:t>
      </w:r>
      <w:r>
        <w:rPr>
          <w:rFonts w:hint="eastAsia" w:ascii="Arial" w:hAnsi="Arial" w:cs="Arial"/>
          <w:color w:val="000000"/>
          <w:spacing w:val="4"/>
          <w:sz w:val="22"/>
          <w:szCs w:val="22"/>
        </w:rPr>
        <w:t>）障碍价格：初始价格</w:t>
      </w:r>
      <w:r>
        <w:rPr>
          <w:rFonts w:hint="eastAsia" w:ascii="宋体" w:hAnsi="宋体" w:cs="Arial"/>
          <w:sz w:val="22"/>
          <w:szCs w:val="22"/>
        </w:rPr>
        <w:t>×</w:t>
      </w:r>
      <w:r>
        <w:rPr>
          <w:rFonts w:ascii="Arial" w:hAnsi="Arial" w:cs="Arial"/>
          <w:sz w:val="22"/>
          <w:szCs w:val="22"/>
        </w:rPr>
        <w:t>101</w:t>
      </w:r>
      <w:r>
        <w:rPr>
          <w:rFonts w:hint="eastAsia" w:ascii="Arial" w:hAnsi="Arial" w:cs="Arial"/>
          <w:sz w:val="22"/>
          <w:szCs w:val="22"/>
        </w:rPr>
        <w:t>%</w:t>
      </w:r>
      <w:r>
        <w:rPr>
          <w:rFonts w:hint="eastAsia" w:ascii="Arial" w:hAnsi="Arial" w:cs="Arial"/>
          <w:color w:val="000000"/>
          <w:spacing w:val="4"/>
          <w:sz w:val="22"/>
          <w:szCs w:val="22"/>
        </w:rPr>
        <w:t>，若有调整以要素公告为准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10</w:t>
      </w:r>
      <w:r>
        <w:rPr>
          <w:rFonts w:hint="eastAsia" w:ascii="Arial" w:hAnsi="Arial" w:cs="Arial"/>
          <w:color w:val="000000"/>
          <w:spacing w:val="4"/>
          <w:sz w:val="22"/>
          <w:szCs w:val="22"/>
        </w:rPr>
        <w:t>）敲出收益：当发生敲出事件后关联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表现资产的年化收益率，以下测算以【</w:t>
      </w:r>
      <w:r>
        <w:rPr>
          <w:rFonts w:ascii="Arial" w:hAnsi="Arial" w:cs="Arial"/>
          <w:color w:val="000000"/>
          <w:spacing w:val="4"/>
          <w:sz w:val="22"/>
          <w:szCs w:val="22"/>
        </w:rPr>
        <w:t>4</w:t>
      </w:r>
      <w:r>
        <w:rPr>
          <w:rFonts w:hint="eastAsia" w:ascii="Arial" w:hAnsi="Arial" w:cs="Arial"/>
          <w:color w:val="000000"/>
          <w:spacing w:val="4"/>
          <w:sz w:val="22"/>
          <w:szCs w:val="22"/>
        </w:rPr>
        <w:t>.1%】为例，若有调整以要素公告为准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11</w:t>
      </w:r>
      <w:r>
        <w:rPr>
          <w:rFonts w:hint="eastAsia" w:ascii="Arial" w:hAnsi="Arial" w:cs="Arial"/>
          <w:color w:val="000000"/>
          <w:spacing w:val="4"/>
          <w:sz w:val="22"/>
          <w:szCs w:val="22"/>
        </w:rPr>
        <w:t>）中间层价格：初始价格</w:t>
      </w:r>
      <w:r>
        <w:rPr>
          <w:rFonts w:hint="eastAsia" w:ascii="宋体" w:hAnsi="宋体" w:cs="Arial"/>
          <w:sz w:val="22"/>
          <w:szCs w:val="22"/>
        </w:rPr>
        <w:t>×</w:t>
      </w:r>
      <w:r>
        <w:rPr>
          <w:rFonts w:ascii="Arial" w:hAnsi="Arial" w:cs="Arial"/>
          <w:sz w:val="22"/>
          <w:szCs w:val="22"/>
        </w:rPr>
        <w:t>98</w:t>
      </w:r>
      <w:r>
        <w:rPr>
          <w:rFonts w:hint="eastAsia" w:ascii="Arial" w:hAnsi="Arial" w:cs="Arial"/>
          <w:sz w:val="22"/>
          <w:szCs w:val="22"/>
        </w:rPr>
        <w:t>%</w:t>
      </w:r>
      <w:r>
        <w:rPr>
          <w:rFonts w:hint="eastAsia" w:ascii="Arial" w:hAnsi="Arial" w:cs="Arial"/>
          <w:color w:val="000000"/>
          <w:spacing w:val="4"/>
          <w:sz w:val="22"/>
          <w:szCs w:val="22"/>
        </w:rPr>
        <w:t>，若有调整以要素公告为准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12</w:t>
      </w:r>
      <w:r>
        <w:rPr>
          <w:rFonts w:hint="eastAsia" w:ascii="Arial" w:hAnsi="Arial" w:cs="Arial"/>
          <w:color w:val="000000"/>
          <w:spacing w:val="4"/>
          <w:sz w:val="22"/>
          <w:szCs w:val="22"/>
        </w:rPr>
        <w:t>）本产品关联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表现资产按以下规则计算收益：</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在任何一个观察日发生敲出事件，则关联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表现资产部分年化收益率=【</w:t>
      </w:r>
      <w:r>
        <w:rPr>
          <w:rFonts w:ascii="Arial" w:hAnsi="Arial" w:cs="Arial"/>
          <w:color w:val="000000"/>
          <w:spacing w:val="4"/>
          <w:sz w:val="22"/>
          <w:szCs w:val="22"/>
        </w:rPr>
        <w:t>4</w:t>
      </w:r>
      <w:r>
        <w:rPr>
          <w:rFonts w:hint="eastAsia" w:ascii="Arial" w:hAnsi="Arial" w:cs="Arial"/>
          <w:color w:val="000000"/>
          <w:spacing w:val="4"/>
          <w:sz w:val="22"/>
          <w:szCs w:val="22"/>
        </w:rPr>
        <w:t>.1%】，关联资产在该观察日自动提前终止。</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若</w:t>
      </w:r>
      <w:r>
        <w:rPr>
          <w:rFonts w:ascii="Arial" w:hAnsi="Arial" w:cs="Arial"/>
          <w:color w:val="000000"/>
          <w:spacing w:val="4"/>
          <w:sz w:val="22"/>
          <w:szCs w:val="22"/>
        </w:rPr>
        <w:t>7</w:t>
      </w:r>
      <w:r>
        <w:rPr>
          <w:rFonts w:hint="eastAsia" w:ascii="Arial" w:hAnsi="Arial" w:cs="Arial"/>
          <w:color w:val="000000"/>
          <w:spacing w:val="4"/>
          <w:sz w:val="22"/>
          <w:szCs w:val="22"/>
        </w:rPr>
        <w:t>个观察日都没有发生敲出事件，</w:t>
      </w:r>
      <w:r>
        <w:rPr>
          <w:rFonts w:hint="eastAsia" w:ascii="Arial" w:hAnsi="Arial" w:cs="Arial"/>
          <w:spacing w:val="4"/>
          <w:sz w:val="22"/>
          <w:szCs w:val="22"/>
        </w:rPr>
        <w:t>且</w:t>
      </w:r>
      <w:r>
        <w:rPr>
          <w:rFonts w:hint="eastAsia" w:ascii="Arial" w:hAnsi="Arial" w:cs="Arial"/>
          <w:sz w:val="22"/>
          <w:szCs w:val="22"/>
        </w:rPr>
        <w:t>观察期内</w:t>
      </w:r>
      <w:r>
        <w:rPr>
          <w:rFonts w:hint="eastAsia" w:ascii="Arial" w:hAnsi="Arial" w:cs="Arial"/>
          <w:spacing w:val="4"/>
          <w:sz w:val="22"/>
          <w:szCs w:val="22"/>
        </w:rPr>
        <w:t>每个交易日关联标的收盘价均≥中间层价格，则关联</w:t>
      </w:r>
      <w:r>
        <w:rPr>
          <w:rFonts w:hint="eastAsia" w:ascii="Arial" w:hAnsi="Arial" w:cs="Arial"/>
          <w:b/>
          <w:color w:val="000000"/>
          <w:spacing w:val="4"/>
          <w:sz w:val="22"/>
          <w:szCs w:val="22"/>
        </w:rPr>
        <w:t>黄金现货收盘价</w:t>
      </w:r>
      <w:r>
        <w:rPr>
          <w:rFonts w:hint="eastAsia" w:ascii="Arial" w:hAnsi="Arial" w:cs="Arial"/>
          <w:spacing w:val="4"/>
          <w:sz w:val="22"/>
          <w:szCs w:val="22"/>
        </w:rPr>
        <w:t>表现资产部分</w:t>
      </w:r>
      <w:r>
        <w:rPr>
          <w:rFonts w:hint="eastAsia" w:ascii="Arial" w:hAnsi="Arial" w:cs="Arial"/>
          <w:color w:val="000000"/>
          <w:spacing w:val="4"/>
          <w:sz w:val="22"/>
          <w:szCs w:val="22"/>
        </w:rPr>
        <w:t>年化收益率=【</w:t>
      </w:r>
      <w:r>
        <w:rPr>
          <w:rFonts w:ascii="Arial" w:hAnsi="Arial" w:cs="Arial"/>
          <w:color w:val="000000"/>
          <w:spacing w:val="4"/>
          <w:sz w:val="22"/>
          <w:szCs w:val="22"/>
        </w:rPr>
        <w:t>4</w:t>
      </w:r>
      <w:r>
        <w:rPr>
          <w:rFonts w:hint="eastAsia" w:ascii="Arial" w:hAnsi="Arial" w:cs="Arial"/>
          <w:color w:val="000000"/>
          <w:spacing w:val="4"/>
          <w:sz w:val="22"/>
          <w:szCs w:val="22"/>
        </w:rPr>
        <w:t>.1%】；关联资产正常到期终止。</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若</w:t>
      </w:r>
      <w:r>
        <w:rPr>
          <w:rFonts w:ascii="Arial" w:hAnsi="Arial" w:cs="Arial"/>
          <w:color w:val="000000"/>
          <w:spacing w:val="4"/>
          <w:sz w:val="22"/>
          <w:szCs w:val="22"/>
        </w:rPr>
        <w:t>7</w:t>
      </w:r>
      <w:r>
        <w:rPr>
          <w:rFonts w:hint="eastAsia" w:ascii="Arial" w:hAnsi="Arial" w:cs="Arial"/>
          <w:color w:val="000000"/>
          <w:spacing w:val="4"/>
          <w:sz w:val="22"/>
          <w:szCs w:val="22"/>
        </w:rPr>
        <w:t>个观察日都没有发生敲出</w:t>
      </w:r>
      <w:r>
        <w:rPr>
          <w:rFonts w:hint="eastAsia" w:ascii="Arial" w:hAnsi="Arial" w:cs="Arial"/>
          <w:spacing w:val="4"/>
          <w:sz w:val="22"/>
          <w:szCs w:val="22"/>
        </w:rPr>
        <w:t>事件，且观察期内任一交易日出现关联标的收盘价＜中间层价格，则关联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表现资产部分年化收益率=【</w:t>
      </w:r>
      <w:r>
        <w:rPr>
          <w:rFonts w:ascii="Arial" w:hAnsi="Arial" w:cs="Arial"/>
          <w:color w:val="000000"/>
          <w:spacing w:val="4"/>
          <w:sz w:val="22"/>
          <w:szCs w:val="22"/>
        </w:rPr>
        <w:t>0.0</w:t>
      </w:r>
      <w:r>
        <w:rPr>
          <w:rFonts w:hint="eastAsia" w:ascii="Arial" w:hAnsi="Arial" w:cs="Arial"/>
          <w:color w:val="000000"/>
          <w:spacing w:val="4"/>
          <w:sz w:val="22"/>
          <w:szCs w:val="22"/>
        </w:rPr>
        <w:t>0%】；关联资产正常到期终止。</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13</w:t>
      </w:r>
      <w:r>
        <w:rPr>
          <w:rFonts w:hint="eastAsia" w:ascii="Arial" w:hAnsi="Arial" w:cs="Arial"/>
          <w:color w:val="000000"/>
          <w:spacing w:val="4"/>
          <w:sz w:val="22"/>
          <w:szCs w:val="22"/>
        </w:rPr>
        <w:t>）本产品投资关联了</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表现的资产，</w:t>
      </w:r>
      <w:r>
        <w:rPr>
          <w:rFonts w:hint="eastAsia" w:ascii="Arial" w:hAnsi="Arial" w:cs="Arial"/>
          <w:b/>
          <w:color w:val="000000"/>
          <w:spacing w:val="4"/>
          <w:sz w:val="22"/>
          <w:szCs w:val="22"/>
        </w:rPr>
        <w:t>如在观察日本产品所投资的关联黄金现货收盘价表现资产发生敲出事件，则产品在敲出事件发生之日后的第</w:t>
      </w:r>
      <w:r>
        <w:rPr>
          <w:rFonts w:ascii="Arial" w:hAnsi="Arial" w:cs="Arial"/>
          <w:b/>
          <w:color w:val="000000"/>
          <w:spacing w:val="4"/>
          <w:sz w:val="22"/>
          <w:szCs w:val="22"/>
        </w:rPr>
        <w:t>3</w:t>
      </w:r>
      <w:r>
        <w:rPr>
          <w:rFonts w:hint="eastAsia" w:ascii="Arial" w:hAnsi="Arial" w:cs="Arial"/>
          <w:b/>
          <w:color w:val="000000"/>
          <w:spacing w:val="4"/>
          <w:sz w:val="22"/>
          <w:szCs w:val="22"/>
        </w:rPr>
        <w:t>个交易日提前到期，</w:t>
      </w:r>
      <w:r>
        <w:rPr>
          <w:rFonts w:hint="eastAsia" w:ascii="Arial" w:hAnsi="Arial" w:cs="Arial"/>
          <w:color w:val="000000"/>
          <w:spacing w:val="4"/>
          <w:sz w:val="22"/>
          <w:szCs w:val="22"/>
        </w:rPr>
        <w:t>观察日和本产品提前到期日对应关系如下，若涉及国家法定节假日有调整，以届时公告为准：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24"/>
        <w:gridCol w:w="3295"/>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第i次观察</w:t>
            </w:r>
          </w:p>
        </w:tc>
        <w:tc>
          <w:tcPr>
            <w:tcW w:w="3295" w:type="dxa"/>
          </w:tcPr>
          <w:p>
            <w:pPr>
              <w:ind w:right="141"/>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观察日</w:t>
            </w:r>
          </w:p>
        </w:tc>
        <w:tc>
          <w:tcPr>
            <w:tcW w:w="3275"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本产品对应提前到期日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i=1</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2024年0</w:t>
            </w:r>
            <w:r>
              <w:rPr>
                <w:rFonts w:hint="eastAsia" w:eastAsia="等线"/>
                <w:color w:val="000000"/>
                <w:szCs w:val="21"/>
              </w:rPr>
              <w:t>9</w:t>
            </w:r>
            <w:r>
              <w:rPr>
                <w:rFonts w:eastAsia="等线"/>
                <w:color w:val="000000"/>
                <w:szCs w:val="21"/>
              </w:rPr>
              <w:t>月</w:t>
            </w:r>
            <w:r>
              <w:rPr>
                <w:rFonts w:hint="eastAsia" w:eastAsia="等线"/>
                <w:color w:val="000000"/>
                <w:szCs w:val="21"/>
              </w:rPr>
              <w:t>09</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eastAsia="等线"/>
                <w:color w:val="000000"/>
                <w:szCs w:val="21"/>
              </w:rPr>
              <w:t>2024年0</w:t>
            </w:r>
            <w:r>
              <w:rPr>
                <w:rFonts w:hint="eastAsia" w:eastAsia="等线"/>
                <w:color w:val="000000"/>
                <w:szCs w:val="21"/>
              </w:rPr>
              <w:t>9</w:t>
            </w:r>
            <w:r>
              <w:rPr>
                <w:rFonts w:eastAsia="等线"/>
                <w:color w:val="000000"/>
                <w:szCs w:val="21"/>
              </w:rPr>
              <w:t>月</w:t>
            </w:r>
            <w:r>
              <w:rPr>
                <w:rFonts w:hint="eastAsia" w:eastAsia="等线"/>
                <w:color w:val="000000"/>
                <w:szCs w:val="21"/>
              </w:rPr>
              <w:t>12</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i=2</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10</w:t>
            </w:r>
            <w:r>
              <w:rPr>
                <w:rFonts w:eastAsia="等线"/>
                <w:color w:val="000000"/>
                <w:szCs w:val="21"/>
              </w:rPr>
              <w:t>月</w:t>
            </w:r>
            <w:r>
              <w:rPr>
                <w:rFonts w:hint="eastAsia" w:eastAsia="等线"/>
                <w:color w:val="000000"/>
                <w:szCs w:val="21"/>
              </w:rPr>
              <w:t>08</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10</w:t>
            </w:r>
            <w:r>
              <w:rPr>
                <w:rFonts w:eastAsia="等线"/>
                <w:color w:val="000000"/>
                <w:szCs w:val="21"/>
              </w:rPr>
              <w:t>月</w:t>
            </w:r>
            <w:r>
              <w:rPr>
                <w:rFonts w:hint="eastAsia" w:eastAsia="等线"/>
                <w:color w:val="000000"/>
                <w:szCs w:val="21"/>
              </w:rPr>
              <w:t>11</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i=3</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11</w:t>
            </w:r>
            <w:r>
              <w:rPr>
                <w:rFonts w:eastAsia="等线"/>
                <w:color w:val="000000"/>
                <w:szCs w:val="21"/>
              </w:rPr>
              <w:t>月</w:t>
            </w:r>
            <w:r>
              <w:rPr>
                <w:rFonts w:hint="eastAsia" w:eastAsia="等线"/>
                <w:color w:val="000000"/>
                <w:szCs w:val="21"/>
              </w:rPr>
              <w:t>11</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11</w:t>
            </w:r>
            <w:r>
              <w:rPr>
                <w:rFonts w:eastAsia="等线"/>
                <w:color w:val="000000"/>
                <w:szCs w:val="21"/>
              </w:rPr>
              <w:t>月</w:t>
            </w:r>
            <w:r>
              <w:rPr>
                <w:rFonts w:hint="eastAsia" w:eastAsia="等线"/>
                <w:color w:val="000000"/>
                <w:szCs w:val="21"/>
              </w:rPr>
              <w:t>14</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i=4</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12</w:t>
            </w:r>
            <w:r>
              <w:rPr>
                <w:rFonts w:eastAsia="等线"/>
                <w:color w:val="000000"/>
                <w:szCs w:val="21"/>
              </w:rPr>
              <w:t>月</w:t>
            </w:r>
            <w:r>
              <w:rPr>
                <w:rFonts w:hint="eastAsia" w:eastAsia="等线"/>
                <w:color w:val="000000"/>
                <w:szCs w:val="21"/>
              </w:rPr>
              <w:t>09</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eastAsia="等线"/>
                <w:color w:val="000000"/>
                <w:szCs w:val="21"/>
              </w:rPr>
              <w:t>2024年1</w:t>
            </w:r>
            <w:r>
              <w:rPr>
                <w:rFonts w:hint="eastAsia" w:eastAsia="等线"/>
                <w:color w:val="000000"/>
                <w:szCs w:val="21"/>
              </w:rPr>
              <w:t>2</w:t>
            </w:r>
            <w:r>
              <w:rPr>
                <w:rFonts w:eastAsia="等线"/>
                <w:color w:val="000000"/>
                <w:szCs w:val="21"/>
              </w:rPr>
              <w:t>月</w:t>
            </w:r>
            <w:r>
              <w:rPr>
                <w:rFonts w:hint="eastAsia" w:eastAsia="等线"/>
                <w:color w:val="000000"/>
                <w:szCs w:val="21"/>
              </w:rPr>
              <w:t>12</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i=5</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01</w:t>
            </w:r>
            <w:r>
              <w:rPr>
                <w:rFonts w:eastAsia="等线"/>
                <w:color w:val="000000"/>
                <w:szCs w:val="21"/>
              </w:rPr>
              <w:t>月</w:t>
            </w:r>
            <w:r>
              <w:rPr>
                <w:rFonts w:hint="eastAsia" w:eastAsia="等线"/>
                <w:color w:val="000000"/>
                <w:szCs w:val="21"/>
              </w:rPr>
              <w:t>06</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01</w:t>
            </w:r>
            <w:r>
              <w:rPr>
                <w:rFonts w:eastAsia="等线"/>
                <w:color w:val="000000"/>
                <w:szCs w:val="21"/>
              </w:rPr>
              <w:t>月</w:t>
            </w:r>
            <w:r>
              <w:rPr>
                <w:rFonts w:hint="eastAsia" w:eastAsia="等线"/>
                <w:color w:val="000000"/>
                <w:szCs w:val="21"/>
              </w:rPr>
              <w:t>09</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6</w:t>
            </w:r>
          </w:p>
        </w:tc>
        <w:tc>
          <w:tcPr>
            <w:tcW w:w="3295"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02</w:t>
            </w:r>
            <w:r>
              <w:rPr>
                <w:rFonts w:eastAsia="等线"/>
                <w:color w:val="000000"/>
                <w:szCs w:val="21"/>
              </w:rPr>
              <w:t>月</w:t>
            </w:r>
            <w:r>
              <w:rPr>
                <w:rFonts w:hint="eastAsia" w:eastAsia="等线"/>
                <w:color w:val="000000"/>
                <w:szCs w:val="21"/>
              </w:rPr>
              <w:t>10</w:t>
            </w:r>
            <w:r>
              <w:rPr>
                <w:rFonts w:eastAsia="等线"/>
                <w:color w:val="000000"/>
                <w:szCs w:val="21"/>
              </w:rPr>
              <w:t>日</w:t>
            </w:r>
          </w:p>
        </w:tc>
        <w:tc>
          <w:tcPr>
            <w:tcW w:w="3275" w:type="dxa"/>
            <w:vAlign w:val="center"/>
          </w:tcPr>
          <w:p>
            <w:pPr>
              <w:ind w:right="141"/>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02</w:t>
            </w:r>
            <w:r>
              <w:rPr>
                <w:rFonts w:eastAsia="等线"/>
                <w:color w:val="000000"/>
                <w:szCs w:val="21"/>
              </w:rPr>
              <w:t>月</w:t>
            </w:r>
            <w:r>
              <w:rPr>
                <w:rFonts w:hint="eastAsia" w:eastAsia="等线"/>
                <w:color w:val="000000"/>
                <w:szCs w:val="21"/>
              </w:rPr>
              <w:t>13</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7</w:t>
            </w:r>
          </w:p>
        </w:tc>
        <w:tc>
          <w:tcPr>
            <w:tcW w:w="3295"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03</w:t>
            </w:r>
            <w:r>
              <w:rPr>
                <w:rFonts w:eastAsia="等线"/>
                <w:color w:val="000000"/>
                <w:szCs w:val="21"/>
              </w:rPr>
              <w:t>月</w:t>
            </w:r>
            <w:r>
              <w:rPr>
                <w:rFonts w:hint="eastAsia" w:eastAsia="等线"/>
                <w:color w:val="000000"/>
                <w:szCs w:val="21"/>
              </w:rPr>
              <w:t>03</w:t>
            </w:r>
            <w:r>
              <w:rPr>
                <w:rFonts w:eastAsia="等线"/>
                <w:color w:val="000000"/>
                <w:szCs w:val="21"/>
              </w:rPr>
              <w:t>日</w:t>
            </w:r>
          </w:p>
        </w:tc>
        <w:tc>
          <w:tcPr>
            <w:tcW w:w="3275" w:type="dxa"/>
            <w:vAlign w:val="center"/>
          </w:tcPr>
          <w:p>
            <w:pPr>
              <w:ind w:right="141"/>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03</w:t>
            </w:r>
            <w:r>
              <w:rPr>
                <w:rFonts w:eastAsia="等线"/>
                <w:color w:val="000000"/>
                <w:szCs w:val="21"/>
              </w:rPr>
              <w:t>月</w:t>
            </w:r>
            <w:r>
              <w:rPr>
                <w:rFonts w:hint="eastAsia" w:eastAsia="等线"/>
                <w:color w:val="000000"/>
                <w:szCs w:val="21"/>
              </w:rPr>
              <w:t>06</w:t>
            </w:r>
            <w:r>
              <w:rPr>
                <w:rFonts w:eastAsia="等线"/>
                <w:color w:val="000000"/>
                <w:szCs w:val="21"/>
              </w:rPr>
              <w:t>日</w:t>
            </w:r>
          </w:p>
        </w:tc>
      </w:tr>
    </w:tbl>
    <w:p>
      <w:pPr>
        <w:pStyle w:val="21"/>
        <w:snapToGrid w:val="0"/>
        <w:spacing w:line="360" w:lineRule="auto"/>
        <w:ind w:left="456" w:right="105" w:rightChars="50" w:firstLine="0" w:firstLineChars="0"/>
        <w:rPr>
          <w:rFonts w:ascii="Arial" w:hAnsi="Arial" w:cs="Arial"/>
          <w:color w:val="000000"/>
          <w:spacing w:val="4"/>
          <w:sz w:val="22"/>
          <w:szCs w:val="22"/>
        </w:rPr>
      </w:pP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14</w:t>
      </w:r>
      <w:r>
        <w:rPr>
          <w:rFonts w:hint="eastAsia" w:ascii="Arial" w:hAnsi="Arial" w:cs="Arial"/>
          <w:color w:val="000000"/>
          <w:spacing w:val="4"/>
          <w:sz w:val="22"/>
          <w:szCs w:val="22"/>
        </w:rPr>
        <w:t>）本产品投资关联了</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表现的资产，</w:t>
      </w:r>
      <w:r>
        <w:rPr>
          <w:rFonts w:hint="eastAsia" w:ascii="Arial" w:hAnsi="Arial" w:cs="Arial"/>
          <w:b/>
          <w:color w:val="000000"/>
          <w:spacing w:val="4"/>
          <w:sz w:val="22"/>
          <w:szCs w:val="22"/>
        </w:rPr>
        <w:t>如</w:t>
      </w:r>
      <w:r>
        <w:rPr>
          <w:rFonts w:ascii="Arial" w:hAnsi="Arial" w:cs="Arial"/>
          <w:b/>
          <w:color w:val="000000"/>
          <w:spacing w:val="4"/>
          <w:sz w:val="22"/>
          <w:szCs w:val="22"/>
        </w:rPr>
        <w:t>7</w:t>
      </w:r>
      <w:r>
        <w:rPr>
          <w:rFonts w:hint="eastAsia" w:ascii="Arial" w:hAnsi="Arial" w:cs="Arial"/>
          <w:b/>
          <w:color w:val="000000"/>
          <w:spacing w:val="4"/>
          <w:sz w:val="22"/>
          <w:szCs w:val="22"/>
        </w:rPr>
        <w:t>个观察日都没有发生敲出</w:t>
      </w:r>
      <w:r>
        <w:rPr>
          <w:rFonts w:hint="eastAsia" w:ascii="Arial" w:hAnsi="Arial" w:cs="Arial"/>
          <w:b/>
          <w:spacing w:val="4"/>
          <w:sz w:val="22"/>
          <w:szCs w:val="22"/>
        </w:rPr>
        <w:t>事件，且观察期内每个交易日关联标的收盘价均≥中间层价格，</w:t>
      </w:r>
      <w:r>
        <w:rPr>
          <w:rFonts w:hint="eastAsia" w:ascii="Arial" w:hAnsi="Arial" w:cs="Arial"/>
          <w:b/>
          <w:color w:val="000000"/>
          <w:spacing w:val="4"/>
          <w:sz w:val="22"/>
          <w:szCs w:val="22"/>
        </w:rPr>
        <w:t>则产品在第</w:t>
      </w:r>
      <w:r>
        <w:rPr>
          <w:rFonts w:ascii="Arial" w:hAnsi="Arial" w:cs="Arial"/>
          <w:b/>
          <w:color w:val="000000"/>
          <w:spacing w:val="4"/>
          <w:sz w:val="22"/>
          <w:szCs w:val="22"/>
        </w:rPr>
        <w:t>7</w:t>
      </w:r>
      <w:r>
        <w:rPr>
          <w:rFonts w:hint="eastAsia" w:ascii="Arial" w:hAnsi="Arial" w:cs="Arial"/>
          <w:b/>
          <w:color w:val="000000"/>
          <w:spacing w:val="4"/>
          <w:sz w:val="22"/>
          <w:szCs w:val="22"/>
        </w:rPr>
        <w:t>个观察日后的第</w:t>
      </w:r>
      <w:r>
        <w:rPr>
          <w:rFonts w:ascii="Arial" w:hAnsi="Arial" w:cs="Arial"/>
          <w:b/>
          <w:color w:val="000000"/>
          <w:spacing w:val="4"/>
          <w:sz w:val="22"/>
          <w:szCs w:val="22"/>
        </w:rPr>
        <w:t>3</w:t>
      </w:r>
      <w:r>
        <w:rPr>
          <w:rFonts w:hint="eastAsia" w:ascii="Arial" w:hAnsi="Arial" w:cs="Arial"/>
          <w:b/>
          <w:color w:val="000000"/>
          <w:spacing w:val="4"/>
          <w:sz w:val="22"/>
          <w:szCs w:val="22"/>
        </w:rPr>
        <w:t>个交易日提前到期，</w:t>
      </w:r>
      <w:r>
        <w:rPr>
          <w:rFonts w:hint="eastAsia" w:ascii="Arial" w:hAnsi="Arial" w:cs="Arial"/>
          <w:color w:val="000000"/>
          <w:spacing w:val="4"/>
          <w:sz w:val="22"/>
          <w:szCs w:val="22"/>
        </w:rPr>
        <w:t>观察日和本产品提前到期日对应关系如下，若涉及国家法定节假日有调整，以届时公告为准：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24"/>
        <w:gridCol w:w="3295"/>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第i次观察</w:t>
            </w:r>
          </w:p>
        </w:tc>
        <w:tc>
          <w:tcPr>
            <w:tcW w:w="3295" w:type="dxa"/>
          </w:tcPr>
          <w:p>
            <w:pPr>
              <w:ind w:right="141"/>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观察日</w:t>
            </w:r>
          </w:p>
        </w:tc>
        <w:tc>
          <w:tcPr>
            <w:tcW w:w="3275"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本产品对应提前到期日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i=1</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2024年0</w:t>
            </w:r>
            <w:r>
              <w:rPr>
                <w:rFonts w:hint="eastAsia" w:eastAsia="等线"/>
                <w:color w:val="000000"/>
                <w:szCs w:val="21"/>
              </w:rPr>
              <w:t>9</w:t>
            </w:r>
            <w:r>
              <w:rPr>
                <w:rFonts w:eastAsia="等线"/>
                <w:color w:val="000000"/>
                <w:szCs w:val="21"/>
              </w:rPr>
              <w:t>月</w:t>
            </w:r>
            <w:r>
              <w:rPr>
                <w:rFonts w:hint="eastAsia" w:eastAsia="等线"/>
                <w:color w:val="000000"/>
                <w:szCs w:val="21"/>
              </w:rPr>
              <w:t>09</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i=2</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10</w:t>
            </w:r>
            <w:r>
              <w:rPr>
                <w:rFonts w:eastAsia="等线"/>
                <w:color w:val="000000"/>
                <w:szCs w:val="21"/>
              </w:rPr>
              <w:t>月</w:t>
            </w:r>
            <w:r>
              <w:rPr>
                <w:rFonts w:hint="eastAsia" w:eastAsia="等线"/>
                <w:color w:val="000000"/>
                <w:szCs w:val="21"/>
              </w:rPr>
              <w:t>08</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i=3</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11</w:t>
            </w:r>
            <w:r>
              <w:rPr>
                <w:rFonts w:eastAsia="等线"/>
                <w:color w:val="000000"/>
                <w:szCs w:val="21"/>
              </w:rPr>
              <w:t>月</w:t>
            </w:r>
            <w:r>
              <w:rPr>
                <w:rFonts w:hint="eastAsia" w:eastAsia="等线"/>
                <w:color w:val="000000"/>
                <w:szCs w:val="21"/>
              </w:rPr>
              <w:t>11</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i=4</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12</w:t>
            </w:r>
            <w:r>
              <w:rPr>
                <w:rFonts w:eastAsia="等线"/>
                <w:color w:val="000000"/>
                <w:szCs w:val="21"/>
              </w:rPr>
              <w:t>月</w:t>
            </w:r>
            <w:r>
              <w:rPr>
                <w:rFonts w:hint="eastAsia" w:eastAsia="等线"/>
                <w:color w:val="000000"/>
                <w:szCs w:val="21"/>
              </w:rPr>
              <w:t>09</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i=5</w:t>
            </w:r>
          </w:p>
        </w:tc>
        <w:tc>
          <w:tcPr>
            <w:tcW w:w="3295"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01</w:t>
            </w:r>
            <w:r>
              <w:rPr>
                <w:rFonts w:eastAsia="等线"/>
                <w:color w:val="000000"/>
                <w:szCs w:val="21"/>
              </w:rPr>
              <w:t>月</w:t>
            </w:r>
            <w:r>
              <w:rPr>
                <w:rFonts w:hint="eastAsia" w:eastAsia="等线"/>
                <w:color w:val="000000"/>
                <w:szCs w:val="21"/>
              </w:rPr>
              <w:t>06</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6</w:t>
            </w:r>
          </w:p>
        </w:tc>
        <w:tc>
          <w:tcPr>
            <w:tcW w:w="3295"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02</w:t>
            </w:r>
            <w:r>
              <w:rPr>
                <w:rFonts w:eastAsia="等线"/>
                <w:color w:val="000000"/>
                <w:szCs w:val="21"/>
              </w:rPr>
              <w:t>月</w:t>
            </w:r>
            <w:r>
              <w:rPr>
                <w:rFonts w:hint="eastAsia" w:eastAsia="等线"/>
                <w:color w:val="000000"/>
                <w:szCs w:val="21"/>
              </w:rPr>
              <w:t>10</w:t>
            </w:r>
            <w:r>
              <w:rPr>
                <w:rFonts w:eastAsia="等线"/>
                <w:color w:val="000000"/>
                <w:szCs w:val="21"/>
              </w:rPr>
              <w:t>日</w:t>
            </w:r>
          </w:p>
        </w:tc>
        <w:tc>
          <w:tcPr>
            <w:tcW w:w="3275" w:type="dxa"/>
            <w:vAlign w:val="center"/>
          </w:tcPr>
          <w:p>
            <w:pPr>
              <w:ind w:right="141"/>
              <w:jc w:val="center"/>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7</w:t>
            </w:r>
          </w:p>
        </w:tc>
        <w:tc>
          <w:tcPr>
            <w:tcW w:w="3295"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03</w:t>
            </w:r>
            <w:r>
              <w:rPr>
                <w:rFonts w:eastAsia="等线"/>
                <w:color w:val="000000"/>
                <w:szCs w:val="21"/>
              </w:rPr>
              <w:t>月</w:t>
            </w:r>
            <w:r>
              <w:rPr>
                <w:rFonts w:hint="eastAsia" w:eastAsia="等线"/>
                <w:color w:val="000000"/>
                <w:szCs w:val="21"/>
              </w:rPr>
              <w:t>03</w:t>
            </w:r>
            <w:r>
              <w:rPr>
                <w:rFonts w:eastAsia="等线"/>
                <w:color w:val="000000"/>
                <w:szCs w:val="21"/>
              </w:rPr>
              <w:t>日</w:t>
            </w:r>
          </w:p>
        </w:tc>
        <w:tc>
          <w:tcPr>
            <w:tcW w:w="3275" w:type="dxa"/>
            <w:vAlign w:val="center"/>
          </w:tcPr>
          <w:p>
            <w:pPr>
              <w:ind w:right="141"/>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03</w:t>
            </w:r>
            <w:r>
              <w:rPr>
                <w:rFonts w:eastAsia="等线"/>
                <w:color w:val="000000"/>
                <w:szCs w:val="21"/>
              </w:rPr>
              <w:t>月</w:t>
            </w:r>
            <w:r>
              <w:rPr>
                <w:rFonts w:hint="eastAsia" w:eastAsia="等线"/>
                <w:color w:val="000000"/>
                <w:szCs w:val="21"/>
              </w:rPr>
              <w:t>06</w:t>
            </w:r>
            <w:r>
              <w:rPr>
                <w:rFonts w:eastAsia="等线"/>
                <w:color w:val="000000"/>
                <w:szCs w:val="21"/>
              </w:rPr>
              <w:t>日</w:t>
            </w:r>
          </w:p>
        </w:tc>
      </w:tr>
    </w:tbl>
    <w:p>
      <w:pPr>
        <w:pStyle w:val="21"/>
        <w:snapToGrid w:val="0"/>
        <w:spacing w:line="360" w:lineRule="auto"/>
        <w:ind w:left="456" w:right="105" w:rightChars="50" w:firstLine="0" w:firstLineChars="0"/>
        <w:rPr>
          <w:rFonts w:ascii="Arial" w:hAnsi="Arial" w:cs="Arial"/>
          <w:color w:val="000000"/>
          <w:spacing w:val="4"/>
          <w:sz w:val="22"/>
          <w:szCs w:val="22"/>
        </w:rPr>
      </w:pP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（五）情景假设下的产品收益测算</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假设产品投资的关联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w:t>
      </w:r>
      <w:r>
        <w:rPr>
          <w:rFonts w:hint="eastAsia" w:ascii="Arial" w:hAnsi="Arial" w:cs="Arial"/>
          <w:spacing w:val="4"/>
          <w:sz w:val="22"/>
          <w:szCs w:val="22"/>
        </w:rPr>
        <w:t>资产的年化</w:t>
      </w:r>
      <w:r>
        <w:rPr>
          <w:rFonts w:hint="eastAsia" w:ascii="Arial" w:hAnsi="Arial" w:cs="Arial"/>
          <w:color w:val="000000"/>
          <w:spacing w:val="4"/>
          <w:sz w:val="22"/>
          <w:szCs w:val="22"/>
        </w:rPr>
        <w:t>成本为【</w:t>
      </w:r>
      <w:r>
        <w:rPr>
          <w:rFonts w:ascii="Arial" w:hAnsi="Arial" w:cs="Arial"/>
          <w:color w:val="000000"/>
          <w:spacing w:val="4"/>
          <w:sz w:val="22"/>
          <w:szCs w:val="22"/>
        </w:rPr>
        <w:t>2</w:t>
      </w:r>
      <w:r>
        <w:rPr>
          <w:rFonts w:hint="eastAsia" w:ascii="Arial" w:hAnsi="Arial" w:cs="Arial"/>
          <w:color w:val="000000"/>
          <w:spacing w:val="4"/>
          <w:sz w:val="22"/>
          <w:szCs w:val="22"/>
        </w:rPr>
        <w:t>.0%】，若所关联的</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初始价格为500，则障碍价=</w:t>
      </w:r>
      <w:r>
        <w:rPr>
          <w:rFonts w:ascii="Arial" w:hAnsi="Arial" w:cs="Arial"/>
          <w:color w:val="000000"/>
          <w:spacing w:val="4"/>
          <w:sz w:val="22"/>
          <w:szCs w:val="22"/>
        </w:rPr>
        <w:t>500</w:t>
      </w:r>
      <w:r>
        <w:rPr>
          <w:rFonts w:hint="eastAsia" w:ascii="宋体" w:hAnsi="宋体" w:cs="Arial"/>
          <w:sz w:val="22"/>
          <w:szCs w:val="22"/>
        </w:rPr>
        <w:t>×</w:t>
      </w:r>
      <w:r>
        <w:rPr>
          <w:rFonts w:ascii="Arial" w:hAnsi="Arial" w:cs="Arial"/>
          <w:sz w:val="22"/>
          <w:szCs w:val="22"/>
        </w:rPr>
        <w:t>101</w:t>
      </w:r>
      <w:r>
        <w:rPr>
          <w:rFonts w:hint="eastAsia" w:ascii="Arial" w:hAnsi="Arial" w:cs="Arial"/>
          <w:sz w:val="22"/>
          <w:szCs w:val="22"/>
        </w:rPr>
        <w:t>%</w:t>
      </w:r>
      <w:r>
        <w:rPr>
          <w:rFonts w:hint="eastAsia" w:ascii="Arial" w:hAnsi="Arial" w:cs="Arial"/>
          <w:color w:val="000000"/>
          <w:spacing w:val="4"/>
          <w:sz w:val="22"/>
          <w:szCs w:val="22"/>
        </w:rPr>
        <w:t>=</w:t>
      </w:r>
      <w:r>
        <w:rPr>
          <w:rFonts w:ascii="Arial" w:hAnsi="Arial" w:cs="Arial"/>
          <w:color w:val="000000"/>
          <w:spacing w:val="4"/>
          <w:sz w:val="22"/>
          <w:szCs w:val="22"/>
        </w:rPr>
        <w:t>505</w:t>
      </w:r>
      <w:r>
        <w:rPr>
          <w:rFonts w:hint="eastAsia" w:ascii="Arial" w:hAnsi="Arial" w:cs="Arial"/>
          <w:color w:val="000000"/>
          <w:spacing w:val="4"/>
          <w:sz w:val="22"/>
          <w:szCs w:val="22"/>
        </w:rPr>
        <w:t>，中间层价格=</w:t>
      </w:r>
      <w:r>
        <w:rPr>
          <w:rFonts w:ascii="Arial" w:hAnsi="Arial" w:cs="Arial"/>
          <w:color w:val="000000"/>
          <w:spacing w:val="4"/>
          <w:sz w:val="22"/>
          <w:szCs w:val="22"/>
        </w:rPr>
        <w:t>500</w:t>
      </w:r>
      <w:r>
        <w:rPr>
          <w:rFonts w:hint="eastAsia" w:ascii="宋体" w:hAnsi="宋体" w:cs="Arial"/>
          <w:sz w:val="22"/>
          <w:szCs w:val="22"/>
        </w:rPr>
        <w:t>×</w:t>
      </w:r>
      <w:r>
        <w:rPr>
          <w:rFonts w:ascii="Arial" w:hAnsi="Arial" w:cs="Arial"/>
          <w:sz w:val="22"/>
          <w:szCs w:val="22"/>
        </w:rPr>
        <w:t>98</w:t>
      </w:r>
      <w:r>
        <w:rPr>
          <w:rFonts w:hint="eastAsia" w:ascii="Arial" w:hAnsi="Arial" w:cs="Arial"/>
          <w:sz w:val="22"/>
          <w:szCs w:val="22"/>
        </w:rPr>
        <w:t>%</w:t>
      </w:r>
      <w:r>
        <w:rPr>
          <w:rFonts w:hint="eastAsia" w:ascii="Arial" w:hAnsi="Arial" w:cs="Arial"/>
          <w:color w:val="000000"/>
          <w:spacing w:val="4"/>
          <w:sz w:val="22"/>
          <w:szCs w:val="22"/>
        </w:rPr>
        <w:t>=</w:t>
      </w:r>
      <w:r>
        <w:rPr>
          <w:rFonts w:ascii="Arial" w:hAnsi="Arial" w:cs="Arial"/>
          <w:color w:val="000000"/>
          <w:spacing w:val="4"/>
          <w:sz w:val="22"/>
          <w:szCs w:val="22"/>
        </w:rPr>
        <w:t>490</w:t>
      </w:r>
      <w:r>
        <w:rPr>
          <w:rFonts w:hint="eastAsia" w:ascii="Arial" w:hAnsi="Arial" w:cs="Arial"/>
          <w:color w:val="000000"/>
          <w:spacing w:val="4"/>
          <w:sz w:val="22"/>
          <w:szCs w:val="22"/>
        </w:rPr>
        <w:t>，在此情况下：</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3"/>
        <w:gridCol w:w="2996"/>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vAlign w:val="center"/>
          </w:tcPr>
          <w:p>
            <w:pPr>
              <w:spacing w:line="360" w:lineRule="auto"/>
              <w:ind w:left="-15" w:leftChars="-7" w:right="141" w:firstLine="15"/>
              <w:jc w:val="center"/>
              <w:rPr>
                <w:b/>
                <w:color w:val="000000"/>
                <w:szCs w:val="21"/>
              </w:rPr>
            </w:pPr>
            <w:r>
              <w:rPr>
                <w:b/>
                <w:color w:val="000000"/>
                <w:szCs w:val="21"/>
              </w:rPr>
              <w:t>情景</w:t>
            </w:r>
          </w:p>
        </w:tc>
        <w:tc>
          <w:tcPr>
            <w:tcW w:w="2996" w:type="dxa"/>
            <w:shd w:val="clear" w:color="auto" w:fill="auto"/>
            <w:vAlign w:val="center"/>
          </w:tcPr>
          <w:p>
            <w:pPr>
              <w:spacing w:line="360" w:lineRule="auto"/>
              <w:ind w:left="-15" w:leftChars="-7" w:right="141" w:firstLine="54"/>
              <w:jc w:val="center"/>
              <w:rPr>
                <w:b/>
                <w:color w:val="000000"/>
                <w:szCs w:val="21"/>
              </w:rPr>
            </w:pPr>
            <w:r>
              <w:rPr>
                <w:rFonts w:hint="eastAsia"/>
                <w:b/>
                <w:color w:val="000000" w:themeColor="text1"/>
                <w:szCs w:val="21"/>
                <w14:textFill>
                  <w14:solidFill>
                    <w14:schemeClr w14:val="tx1"/>
                  </w14:solidFill>
                </w14:textFill>
              </w:rPr>
              <w:t>关联</w:t>
            </w:r>
            <w:r>
              <w:rPr>
                <w:rFonts w:hint="eastAsia" w:ascii="Arial" w:hAnsi="Arial" w:cs="Arial"/>
                <w:b/>
                <w:color w:val="000000"/>
                <w:spacing w:val="4"/>
                <w:szCs w:val="21"/>
              </w:rPr>
              <w:t>黄金现货收盘价</w:t>
            </w:r>
            <w:r>
              <w:rPr>
                <w:rFonts w:hint="eastAsia"/>
                <w:b/>
                <w:color w:val="000000" w:themeColor="text1"/>
                <w:szCs w:val="21"/>
                <w14:textFill>
                  <w14:solidFill>
                    <w14:schemeClr w14:val="tx1"/>
                  </w14:solidFill>
                </w14:textFill>
              </w:rPr>
              <w:t>表现资产的年化收益率</w:t>
            </w:r>
          </w:p>
        </w:tc>
        <w:tc>
          <w:tcPr>
            <w:tcW w:w="3660" w:type="dxa"/>
            <w:vAlign w:val="center"/>
          </w:tcPr>
          <w:p>
            <w:pPr>
              <w:spacing w:line="360" w:lineRule="auto"/>
              <w:ind w:left="-15" w:leftChars="-7" w:right="141" w:firstLine="54"/>
              <w:jc w:val="center"/>
              <w:rPr>
                <w:b/>
                <w:color w:val="000000"/>
                <w:szCs w:val="21"/>
              </w:rPr>
            </w:pPr>
            <w:r>
              <w:rPr>
                <w:b/>
                <w:color w:val="000000"/>
                <w:szCs w:val="21"/>
              </w:rPr>
              <w:t>产品整体年化收益率</w:t>
            </w:r>
          </w:p>
          <w:p>
            <w:pPr>
              <w:spacing w:line="360" w:lineRule="auto"/>
              <w:ind w:left="-15" w:leftChars="-7" w:right="141" w:firstLine="54"/>
              <w:jc w:val="center"/>
              <w:rPr>
                <w:b/>
                <w:color w:val="000000"/>
                <w:szCs w:val="21"/>
              </w:rPr>
            </w:pPr>
            <w:r>
              <w:rPr>
                <w:rFonts w:hint="eastAsia"/>
                <w:b/>
                <w:color w:val="000000"/>
                <w:szCs w:val="21"/>
              </w:rPr>
              <w:t>（近似测算）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tcPr>
          <w:p>
            <w:pPr>
              <w:spacing w:line="360" w:lineRule="auto"/>
              <w:ind w:left="-15" w:leftChars="-7" w:right="141" w:firstLine="15"/>
              <w:rPr>
                <w:color w:val="000000"/>
                <w:szCs w:val="21"/>
              </w:rPr>
            </w:pPr>
            <w:r>
              <w:rPr>
                <w:color w:val="000000"/>
                <w:szCs w:val="21"/>
              </w:rPr>
              <w:t>情景一，</w:t>
            </w:r>
            <w:r>
              <w:rPr>
                <w:rFonts w:hint="eastAsia"/>
                <w:color w:val="000000"/>
                <w:szCs w:val="21"/>
              </w:rPr>
              <w:t>某个观察日黄金现货收盘价为</w:t>
            </w:r>
            <w:r>
              <w:rPr>
                <w:color w:val="000000"/>
                <w:szCs w:val="21"/>
              </w:rPr>
              <w:t>510</w:t>
            </w:r>
          </w:p>
        </w:tc>
        <w:tc>
          <w:tcPr>
            <w:tcW w:w="2996" w:type="dxa"/>
            <w:shd w:val="clear" w:color="auto" w:fill="auto"/>
          </w:tcPr>
          <w:p>
            <w:pPr>
              <w:spacing w:line="360" w:lineRule="auto"/>
              <w:ind w:left="-15" w:leftChars="-7" w:right="141"/>
              <w:rPr>
                <w:color w:val="000000"/>
                <w:szCs w:val="21"/>
              </w:rPr>
            </w:pPr>
            <w:r>
              <w:rPr>
                <w:rFonts w:hint="eastAsia"/>
                <w:color w:val="000000"/>
                <w:szCs w:val="21"/>
              </w:rPr>
              <w:t>标的价格大于等于障碍价格，发生敲出事件，</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p>
        </w:tc>
        <w:tc>
          <w:tcPr>
            <w:tcW w:w="3660" w:type="dxa"/>
            <w:shd w:val="clear" w:color="auto" w:fill="auto"/>
          </w:tcPr>
          <w:p>
            <w:pPr>
              <w:spacing w:line="360" w:lineRule="auto"/>
              <w:ind w:left="-15" w:leftChars="-7" w:right="141" w:firstLine="54"/>
              <w:jc w:val="left"/>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产品提前终止，在该观察日后第</w:t>
            </w:r>
            <w:r>
              <w:rPr>
                <w:b/>
                <w:color w:val="000000" w:themeColor="text1"/>
                <w:szCs w:val="21"/>
                <w14:textFill>
                  <w14:solidFill>
                    <w14:schemeClr w14:val="tx1"/>
                  </w14:solidFill>
                </w14:textFill>
              </w:rPr>
              <w:t>3</w:t>
            </w:r>
            <w:r>
              <w:rPr>
                <w:rFonts w:hint="eastAsia"/>
                <w:b/>
                <w:color w:val="000000" w:themeColor="text1"/>
                <w:szCs w:val="21"/>
                <w14:textFill>
                  <w14:solidFill>
                    <w14:schemeClr w14:val="tx1"/>
                  </w14:solidFill>
                </w14:textFill>
              </w:rPr>
              <w:t>个交易日为提前终止日。</w:t>
            </w:r>
            <w:r>
              <w:rPr>
                <w:rFonts w:hint="eastAsia"/>
                <w:color w:val="000000" w:themeColor="text1"/>
                <w:szCs w:val="21"/>
                <w14:textFill>
                  <w14:solidFill>
                    <w14:schemeClr w14:val="tx1"/>
                  </w14:solidFill>
                </w14:textFill>
              </w:rPr>
              <w:t>假设此时产品投资的固定收益类资产及其他资产的年化收益率为【</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2.9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】（已扣除本产品其他费用），在产品实际存续期内，年化收益率为</w:t>
            </w:r>
          </w:p>
          <w:p>
            <w:pPr>
              <w:spacing w:line="360" w:lineRule="auto"/>
              <w:ind w:left="-15" w:leftChars="-7" w:right="141" w:firstLine="54"/>
              <w:jc w:val="left"/>
              <w:rPr>
                <w:color w:val="000000"/>
                <w:szCs w:val="21"/>
              </w:rPr>
            </w:pPr>
            <w:r>
              <w:rPr>
                <w:rFonts w:hint="eastAsia"/>
                <w:color w:val="000000"/>
                <w:szCs w:val="21"/>
              </w:rPr>
              <w:t>【</w:t>
            </w:r>
            <w:r>
              <w:rPr>
                <w:color w:val="000000"/>
                <w:szCs w:val="21"/>
              </w:rPr>
              <w:t>2</w:t>
            </w:r>
            <w:r>
              <w:rPr>
                <w:rFonts w:hint="eastAsia"/>
                <w:color w:val="000000"/>
                <w:szCs w:val="21"/>
              </w:rPr>
              <w:t>.0%-2.9%】—【</w:t>
            </w:r>
            <w:r>
              <w:rPr>
                <w:color w:val="000000"/>
                <w:szCs w:val="21"/>
              </w:rPr>
              <w:t>2.0%</w:t>
            </w:r>
            <w:r>
              <w:rPr>
                <w:rFonts w:hint="eastAsia"/>
                <w:color w:val="000000"/>
                <w:szCs w:val="21"/>
              </w:rPr>
              <w:t>】+【</w:t>
            </w:r>
            <w:r>
              <w:rPr>
                <w:color w:val="000000"/>
                <w:szCs w:val="21"/>
              </w:rPr>
              <w:t>4</w:t>
            </w:r>
            <w:r>
              <w:rPr>
                <w:rFonts w:hint="eastAsia"/>
                <w:color w:val="000000"/>
                <w:szCs w:val="21"/>
              </w:rPr>
              <w:t>.1%】=【</w:t>
            </w:r>
            <w:r>
              <w:rPr>
                <w:color w:val="000000"/>
                <w:szCs w:val="21"/>
              </w:rPr>
              <w:t>4.</w:t>
            </w:r>
            <w:r>
              <w:rPr>
                <w:rFonts w:hint="eastAsia"/>
                <w:color w:val="000000"/>
                <w:szCs w:val="21"/>
              </w:rPr>
              <w:t>1</w:t>
            </w:r>
            <w:r>
              <w:rPr>
                <w:color w:val="000000"/>
                <w:szCs w:val="21"/>
              </w:rPr>
              <w:t>%-5.</w:t>
            </w:r>
            <w:r>
              <w:rPr>
                <w:rFonts w:hint="eastAsia"/>
                <w:color w:val="000000"/>
                <w:szCs w:val="21"/>
              </w:rPr>
              <w:t>0</w:t>
            </w:r>
            <w:r>
              <w:rPr>
                <w:color w:val="000000"/>
                <w:szCs w:val="21"/>
              </w:rPr>
              <w:t>%</w:t>
            </w: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tcPr>
          <w:p>
            <w:pPr>
              <w:spacing w:line="360" w:lineRule="auto"/>
              <w:ind w:left="-15" w:leftChars="-7" w:right="141" w:firstLine="15"/>
              <w:rPr>
                <w:color w:val="000000"/>
                <w:szCs w:val="21"/>
              </w:rPr>
            </w:pPr>
            <w:r>
              <w:rPr>
                <w:color w:val="000000"/>
                <w:szCs w:val="21"/>
              </w:rPr>
              <w:t>情景二，7</w:t>
            </w:r>
            <w:r>
              <w:rPr>
                <w:rFonts w:hint="eastAsia"/>
                <w:color w:val="000000"/>
                <w:szCs w:val="21"/>
              </w:rPr>
              <w:t>个观察日的</w:t>
            </w:r>
            <w:r>
              <w:rPr>
                <w:rFonts w:hint="eastAsia" w:ascii="Arial" w:hAnsi="Arial" w:cs="Arial"/>
                <w:b/>
                <w:color w:val="000000"/>
                <w:spacing w:val="4"/>
                <w:sz w:val="22"/>
                <w:szCs w:val="22"/>
              </w:rPr>
              <w:t>黄金现货收盘价</w:t>
            </w:r>
            <w:r>
              <w:rPr>
                <w:rFonts w:hint="eastAsia"/>
                <w:color w:val="000000"/>
                <w:szCs w:val="21"/>
              </w:rPr>
              <w:t>都小于</w:t>
            </w:r>
            <w:r>
              <w:rPr>
                <w:color w:val="000000"/>
                <w:szCs w:val="21"/>
              </w:rPr>
              <w:t>505</w:t>
            </w:r>
            <w:r>
              <w:rPr>
                <w:rFonts w:hint="eastAsia"/>
                <w:color w:val="000000"/>
                <w:szCs w:val="21"/>
              </w:rPr>
              <w:t>，且</w:t>
            </w:r>
            <w:r>
              <w:rPr>
                <w:rFonts w:hint="eastAsia"/>
                <w:szCs w:val="21"/>
              </w:rPr>
              <w:t>观察期内</w:t>
            </w:r>
            <w:r>
              <w:rPr>
                <w:rFonts w:hint="eastAsia" w:ascii="Arial" w:hAnsi="Arial" w:cs="Arial"/>
                <w:b/>
                <w:color w:val="000000"/>
                <w:spacing w:val="4"/>
                <w:sz w:val="22"/>
                <w:szCs w:val="22"/>
              </w:rPr>
              <w:t>黄金现货收盘价</w:t>
            </w:r>
            <w:r>
              <w:rPr>
                <w:rFonts w:hint="eastAsia"/>
                <w:szCs w:val="21"/>
              </w:rPr>
              <w:t>始终大于等于</w:t>
            </w:r>
            <w:r>
              <w:rPr>
                <w:szCs w:val="21"/>
              </w:rPr>
              <w:t>490</w:t>
            </w:r>
          </w:p>
        </w:tc>
        <w:tc>
          <w:tcPr>
            <w:tcW w:w="2996" w:type="dxa"/>
            <w:shd w:val="clear" w:color="auto" w:fill="auto"/>
          </w:tcPr>
          <w:p>
            <w:pPr>
              <w:spacing w:line="360" w:lineRule="auto"/>
              <w:ind w:left="-15" w:leftChars="-7" w:right="141"/>
              <w:rPr>
                <w:color w:val="000000"/>
                <w:szCs w:val="21"/>
              </w:rPr>
            </w:pPr>
            <w:r>
              <w:rPr>
                <w:rFonts w:hint="eastAsia" w:ascii="宋体" w:hAnsi="宋体"/>
                <w:color w:val="000000"/>
                <w:szCs w:val="21"/>
              </w:rPr>
              <w:t>未发生敲出事件，</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p>
        </w:tc>
        <w:tc>
          <w:tcPr>
            <w:tcW w:w="3660" w:type="dxa"/>
            <w:shd w:val="clear" w:color="auto" w:fill="auto"/>
          </w:tcPr>
          <w:p>
            <w:pPr>
              <w:spacing w:line="360" w:lineRule="auto"/>
              <w:ind w:left="-15" w:leftChars="-7" w:right="141" w:firstLine="54"/>
              <w:jc w:val="left"/>
              <w:rPr>
                <w:szCs w:val="21"/>
              </w:rPr>
            </w:pPr>
            <w:r>
              <w:rPr>
                <w:rFonts w:hint="eastAsia"/>
                <w:b/>
                <w:szCs w:val="21"/>
              </w:rPr>
              <w:t>产品提前终止，在第</w:t>
            </w:r>
            <w:r>
              <w:rPr>
                <w:b/>
                <w:szCs w:val="21"/>
              </w:rPr>
              <w:t>7</w:t>
            </w:r>
            <w:r>
              <w:rPr>
                <w:rFonts w:hint="eastAsia"/>
                <w:b/>
                <w:szCs w:val="21"/>
              </w:rPr>
              <w:t>个观察日后第</w:t>
            </w:r>
            <w:r>
              <w:rPr>
                <w:b/>
                <w:szCs w:val="21"/>
              </w:rPr>
              <w:t>3</w:t>
            </w:r>
            <w:r>
              <w:rPr>
                <w:rFonts w:hint="eastAsia"/>
                <w:b/>
                <w:szCs w:val="21"/>
              </w:rPr>
              <w:t>个交易日为提前终止日。</w:t>
            </w:r>
            <w:r>
              <w:rPr>
                <w:rFonts w:hint="eastAsia"/>
                <w:color w:val="000000" w:themeColor="text1"/>
                <w:szCs w:val="21"/>
                <w14:textFill>
                  <w14:solidFill>
                    <w14:schemeClr w14:val="tx1"/>
                  </w14:solidFill>
                </w14:textFill>
              </w:rPr>
              <w:t>假设此时产品投资的固定收益类资产及其他资产的年化收益率为【2.0%-2.9%】（已扣除本产品其他费用），</w:t>
            </w:r>
            <w:r>
              <w:rPr>
                <w:rFonts w:hint="eastAsia"/>
                <w:szCs w:val="21"/>
              </w:rPr>
              <w:t>在产品实际存续期内，年化收益率为</w:t>
            </w:r>
          </w:p>
          <w:p>
            <w:pPr>
              <w:spacing w:line="360" w:lineRule="auto"/>
              <w:ind w:left="-15" w:leftChars="-7" w:right="141" w:firstLine="54"/>
              <w:jc w:val="left"/>
              <w:rPr>
                <w:b/>
                <w:color w:val="000000" w:themeColor="text1"/>
                <w:szCs w:val="21"/>
                <w14:textFill>
                  <w14:solidFill>
                    <w14:schemeClr w14:val="tx1"/>
                  </w14:solidFill>
                </w14:textFill>
              </w:rPr>
            </w:pPr>
            <w:r>
              <w:rPr>
                <w:rFonts w:hint="eastAsia"/>
                <w:color w:val="000000"/>
                <w:szCs w:val="21"/>
              </w:rPr>
              <w:t>【</w:t>
            </w:r>
            <w:r>
              <w:rPr>
                <w:color w:val="000000"/>
                <w:szCs w:val="21"/>
              </w:rPr>
              <w:t>2</w:t>
            </w:r>
            <w:r>
              <w:rPr>
                <w:rFonts w:hint="eastAsia"/>
                <w:color w:val="000000"/>
                <w:szCs w:val="21"/>
              </w:rPr>
              <w:t>.0%-2.9%】—【</w:t>
            </w:r>
            <w:r>
              <w:rPr>
                <w:color w:val="000000"/>
                <w:szCs w:val="21"/>
              </w:rPr>
              <w:t>2.0%</w:t>
            </w:r>
            <w:r>
              <w:rPr>
                <w:rFonts w:hint="eastAsia"/>
                <w:color w:val="000000"/>
                <w:szCs w:val="21"/>
              </w:rPr>
              <w:t>】+【</w:t>
            </w:r>
            <w:r>
              <w:rPr>
                <w:color w:val="000000"/>
                <w:szCs w:val="21"/>
              </w:rPr>
              <w:t>4</w:t>
            </w:r>
            <w:r>
              <w:rPr>
                <w:rFonts w:hint="eastAsia"/>
                <w:color w:val="000000"/>
                <w:szCs w:val="21"/>
              </w:rPr>
              <w:t>.1%】=【</w:t>
            </w:r>
            <w:r>
              <w:rPr>
                <w:color w:val="000000"/>
                <w:szCs w:val="21"/>
              </w:rPr>
              <w:t>4</w:t>
            </w:r>
            <w:r>
              <w:rPr>
                <w:rFonts w:hint="eastAsia"/>
                <w:color w:val="000000"/>
                <w:szCs w:val="21"/>
              </w:rPr>
              <w:t>.1%-</w:t>
            </w:r>
            <w:r>
              <w:rPr>
                <w:color w:val="000000"/>
                <w:szCs w:val="21"/>
              </w:rPr>
              <w:t>5.</w:t>
            </w:r>
            <w:r>
              <w:rPr>
                <w:rFonts w:hint="eastAsia"/>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tcPr>
          <w:p>
            <w:pPr>
              <w:spacing w:line="360" w:lineRule="auto"/>
              <w:ind w:left="-15" w:leftChars="-7" w:right="141" w:firstLine="15"/>
              <w:rPr>
                <w:color w:val="000000"/>
                <w:szCs w:val="21"/>
              </w:rPr>
            </w:pPr>
            <w:r>
              <w:rPr>
                <w:color w:val="000000"/>
                <w:szCs w:val="21"/>
              </w:rPr>
              <w:t>情景</w:t>
            </w:r>
            <w:r>
              <w:rPr>
                <w:rFonts w:hint="eastAsia"/>
                <w:color w:val="000000"/>
                <w:szCs w:val="21"/>
              </w:rPr>
              <w:t>三</w:t>
            </w:r>
            <w:r>
              <w:rPr>
                <w:color w:val="000000"/>
                <w:szCs w:val="21"/>
              </w:rPr>
              <w:t>，7</w:t>
            </w:r>
            <w:r>
              <w:rPr>
                <w:rFonts w:hint="eastAsia"/>
                <w:color w:val="000000"/>
                <w:szCs w:val="21"/>
              </w:rPr>
              <w:t>个观察日的</w:t>
            </w:r>
            <w:r>
              <w:rPr>
                <w:rFonts w:hint="eastAsia" w:ascii="Arial" w:hAnsi="Arial" w:cs="Arial"/>
                <w:b/>
                <w:color w:val="000000"/>
                <w:spacing w:val="4"/>
                <w:sz w:val="22"/>
                <w:szCs w:val="22"/>
              </w:rPr>
              <w:t>黄金现货收盘价</w:t>
            </w:r>
            <w:r>
              <w:rPr>
                <w:rFonts w:hint="eastAsia"/>
                <w:color w:val="000000"/>
                <w:szCs w:val="21"/>
              </w:rPr>
              <w:t>都小于</w:t>
            </w:r>
            <w:r>
              <w:rPr>
                <w:color w:val="000000"/>
                <w:szCs w:val="21"/>
              </w:rPr>
              <w:t>505</w:t>
            </w:r>
            <w:r>
              <w:rPr>
                <w:rFonts w:hint="eastAsia"/>
                <w:color w:val="000000"/>
                <w:szCs w:val="21"/>
              </w:rPr>
              <w:t>，且</w:t>
            </w:r>
            <w:r>
              <w:rPr>
                <w:rFonts w:hint="eastAsia"/>
                <w:szCs w:val="21"/>
              </w:rPr>
              <w:t>观察期内</w:t>
            </w:r>
            <w:r>
              <w:rPr>
                <w:rFonts w:hint="eastAsia" w:ascii="Arial" w:hAnsi="Arial" w:cs="Arial"/>
                <w:b/>
                <w:color w:val="000000"/>
                <w:spacing w:val="4"/>
                <w:sz w:val="22"/>
                <w:szCs w:val="22"/>
              </w:rPr>
              <w:t>黄金现货收盘价</w:t>
            </w:r>
            <w:r>
              <w:rPr>
                <w:rFonts w:hint="eastAsia"/>
                <w:szCs w:val="21"/>
              </w:rPr>
              <w:t>曾经小于</w:t>
            </w:r>
            <w:r>
              <w:rPr>
                <w:color w:val="000000"/>
                <w:szCs w:val="21"/>
              </w:rPr>
              <w:t>490</w:t>
            </w:r>
          </w:p>
        </w:tc>
        <w:tc>
          <w:tcPr>
            <w:tcW w:w="2996" w:type="dxa"/>
            <w:shd w:val="clear" w:color="auto" w:fill="auto"/>
          </w:tcPr>
          <w:p>
            <w:pPr>
              <w:spacing w:line="360" w:lineRule="auto"/>
              <w:ind w:left="-15" w:leftChars="-7" w:right="141"/>
              <w:rPr>
                <w:color w:val="000000"/>
                <w:szCs w:val="21"/>
              </w:rPr>
            </w:pPr>
            <w:r>
              <w:rPr>
                <w:rFonts w:hint="eastAsia" w:ascii="宋体" w:hAnsi="宋体"/>
                <w:color w:val="000000"/>
                <w:szCs w:val="21"/>
              </w:rPr>
              <w:t>未发生敲出事件，</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szCs w:val="21"/>
              </w:rPr>
              <w:t>0.0%</w:t>
            </w:r>
            <w:r>
              <w:rPr>
                <w:rFonts w:hint="eastAsia"/>
                <w:color w:val="000000"/>
                <w:szCs w:val="21"/>
              </w:rPr>
              <w:t>】</w:t>
            </w:r>
          </w:p>
        </w:tc>
        <w:tc>
          <w:tcPr>
            <w:tcW w:w="3660" w:type="dxa"/>
          </w:tcPr>
          <w:p>
            <w:pPr>
              <w:spacing w:line="360" w:lineRule="auto"/>
              <w:ind w:left="-15" w:leftChars="-7" w:right="141" w:firstLine="54"/>
              <w:rPr>
                <w:color w:val="000000"/>
                <w:szCs w:val="21"/>
              </w:rPr>
            </w:pPr>
            <w:r>
              <w:rPr>
                <w:rFonts w:hint="eastAsia"/>
                <w:b/>
                <w:color w:val="000000"/>
                <w:szCs w:val="21"/>
              </w:rPr>
              <w:t>产品正常到期，</w:t>
            </w:r>
            <w:r>
              <w:rPr>
                <w:rFonts w:hint="eastAsia"/>
                <w:color w:val="000000" w:themeColor="text1"/>
                <w:szCs w:val="21"/>
                <w14:textFill>
                  <w14:solidFill>
                    <w14:schemeClr w14:val="tx1"/>
                  </w14:solidFill>
                </w14:textFill>
              </w:rPr>
              <w:t>假设此时产品前</w:t>
            </w:r>
            <w:r>
              <w:rPr>
                <w:color w:val="000000" w:themeColor="text1"/>
                <w:szCs w:val="21"/>
                <w14:textFill>
                  <w14:solidFill>
                    <w14:schemeClr w14:val="tx1"/>
                  </w14:solidFill>
                </w14:textFill>
              </w:rPr>
              <w:t>9</w:t>
            </w:r>
            <w:r>
              <w:rPr>
                <w:rFonts w:hint="eastAsia"/>
                <w:color w:val="000000" w:themeColor="text1"/>
                <w:szCs w:val="21"/>
                <w14:textFill>
                  <w14:solidFill>
                    <w14:schemeClr w14:val="tx1"/>
                  </w14:solidFill>
                </w14:textFill>
              </w:rPr>
              <w:t>个月投资的固定收益类资产及其他资产的年化收益率为【2.0%-</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.2%】，后</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个月投资的固定收益类资产及其他资产的年化收益率为【</w:t>
            </w:r>
            <w:r>
              <w:rPr>
                <w:color w:val="000000" w:themeColor="text1"/>
                <w:szCs w:val="21"/>
                <w14:textFill>
                  <w14:solidFill>
                    <w14:schemeClr w14:val="tx1"/>
                  </w14:solidFill>
                </w14:textFill>
              </w:rPr>
              <w:t>0</w:t>
            </w:r>
            <w:r>
              <w:rPr>
                <w:rFonts w:hint="eastAsia"/>
                <w:color w:val="000000" w:themeColor="text1"/>
                <w:szCs w:val="21"/>
                <w14:textFill>
                  <w14:solidFill>
                    <w14:schemeClr w14:val="tx1"/>
                  </w14:solidFill>
                </w14:textFill>
              </w:rPr>
              <w:t>.05%-</w:t>
            </w: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.2%】（已扣除本产品其他费用），</w:t>
            </w:r>
            <w:r>
              <w:rPr>
                <w:rFonts w:hint="eastAsia"/>
                <w:szCs w:val="21"/>
              </w:rPr>
              <w:t>在产品实际存续期内，年化收益率为｛【</w:t>
            </w:r>
            <w:r>
              <w:rPr>
                <w:szCs w:val="21"/>
              </w:rPr>
              <w:t>2</w:t>
            </w:r>
            <w:r>
              <w:rPr>
                <w:rFonts w:hint="eastAsia"/>
                <w:szCs w:val="21"/>
              </w:rPr>
              <w:t>.0%-</w:t>
            </w:r>
            <w:r>
              <w:rPr>
                <w:szCs w:val="21"/>
              </w:rPr>
              <w:t>2</w:t>
            </w:r>
            <w:r>
              <w:rPr>
                <w:rFonts w:hint="eastAsia"/>
                <w:szCs w:val="21"/>
              </w:rPr>
              <w:t>.2%】</w:t>
            </w:r>
            <w:r>
              <w:rPr>
                <w:rFonts w:hint="eastAsia"/>
                <w:color w:val="000000"/>
                <w:szCs w:val="21"/>
              </w:rPr>
              <w:t>—</w:t>
            </w:r>
            <w:r>
              <w:rPr>
                <w:rFonts w:hint="eastAsia"/>
                <w:szCs w:val="21"/>
              </w:rPr>
              <w:t>【</w:t>
            </w:r>
            <w:r>
              <w:rPr>
                <w:szCs w:val="21"/>
              </w:rPr>
              <w:t>2.0%</w:t>
            </w:r>
            <w:r>
              <w:rPr>
                <w:rFonts w:hint="eastAsia"/>
                <w:szCs w:val="21"/>
              </w:rPr>
              <w:t>】+【</w:t>
            </w:r>
            <w:r>
              <w:rPr>
                <w:szCs w:val="21"/>
              </w:rPr>
              <w:t>0.0</w:t>
            </w:r>
            <w:r>
              <w:rPr>
                <w:rFonts w:hint="eastAsia"/>
                <w:szCs w:val="21"/>
              </w:rPr>
              <w:t>%】｝×9/12+【0.05%-</w:t>
            </w:r>
            <w:r>
              <w:rPr>
                <w:szCs w:val="21"/>
              </w:rPr>
              <w:t>1</w:t>
            </w:r>
            <w:r>
              <w:rPr>
                <w:rFonts w:hint="eastAsia"/>
                <w:szCs w:val="21"/>
              </w:rPr>
              <w:t>.2%】×3/12=【</w:t>
            </w:r>
            <w:r>
              <w:rPr>
                <w:szCs w:val="21"/>
              </w:rPr>
              <w:t>0.</w:t>
            </w:r>
            <w:r>
              <w:rPr>
                <w:rFonts w:hint="eastAsia"/>
                <w:szCs w:val="21"/>
              </w:rPr>
              <w:t>01</w:t>
            </w:r>
            <w:r>
              <w:rPr>
                <w:szCs w:val="21"/>
              </w:rPr>
              <w:t>%-0.</w:t>
            </w:r>
            <w:r>
              <w:rPr>
                <w:rFonts w:hint="eastAsia"/>
                <w:szCs w:val="21"/>
              </w:rPr>
              <w:t>45</w:t>
            </w:r>
            <w:r>
              <w:rPr>
                <w:szCs w:val="21"/>
              </w:rPr>
              <w:t>%</w:t>
            </w:r>
            <w:r>
              <w:rPr>
                <w:rFonts w:hint="eastAsia"/>
                <w:szCs w:val="21"/>
              </w:rPr>
              <w:t>】</w:t>
            </w:r>
          </w:p>
        </w:tc>
      </w:tr>
    </w:tbl>
    <w:p>
      <w:pPr>
        <w:snapToGrid w:val="0"/>
        <w:spacing w:line="360" w:lineRule="auto"/>
        <w:ind w:firstLine="418" w:firstLineChars="200"/>
        <w:rPr>
          <w:rFonts w:ascii="Arial" w:hAnsi="Arial" w:cs="Arial"/>
          <w:b/>
          <w:color w:val="000000"/>
          <w:spacing w:val="4"/>
          <w:sz w:val="20"/>
          <w:szCs w:val="20"/>
        </w:rPr>
      </w:pPr>
    </w:p>
    <w:p>
      <w:pPr>
        <w:snapToGrid w:val="0"/>
        <w:spacing w:line="360" w:lineRule="auto"/>
        <w:ind w:firstLine="418" w:firstLineChars="200"/>
        <w:rPr>
          <w:rFonts w:ascii="Arial" w:hAnsi="Arial" w:cs="Arial"/>
          <w:b/>
          <w:color w:val="000000"/>
          <w:spacing w:val="4"/>
          <w:sz w:val="20"/>
          <w:szCs w:val="20"/>
        </w:rPr>
      </w:pPr>
      <w:r>
        <w:rPr>
          <w:rFonts w:hint="eastAsia" w:ascii="Arial" w:hAnsi="Arial" w:cs="Arial"/>
          <w:b/>
          <w:color w:val="000000"/>
          <w:spacing w:val="4"/>
          <w:sz w:val="20"/>
          <w:szCs w:val="20"/>
        </w:rPr>
        <w:t>注：本部分仅为测算示例，不构成产品管理人对各类资产投资不受损失或者取得最低或任何其它投资收益的承诺，投资者自愿承担投资本产品所带来的一切风险。关联资产实际投资天数与本产品实际存续期限存在差异，该差异会导致基于上述示例测算的关联资产年化收益率与实际年化收益率有所不同。</w:t>
      </w:r>
    </w:p>
    <w:p>
      <w:pPr>
        <w:snapToGrid w:val="0"/>
        <w:spacing w:line="360" w:lineRule="auto"/>
        <w:ind w:firstLine="456" w:firstLineChars="200"/>
        <w:rPr>
          <w:rFonts w:ascii="Arial" w:hAnsi="Arial" w:cs="Arial"/>
          <w:color w:val="000000"/>
          <w:spacing w:val="4"/>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spacing w:line="360" w:lineRule="auto"/>
        <w:ind w:left="442"/>
        <w:rPr>
          <w:rFonts w:ascii="Arial" w:hAnsi="Arial" w:cs="Arial"/>
          <w:b/>
          <w:bCs/>
          <w:color w:val="000000"/>
          <w:sz w:val="22"/>
          <w:szCs w:val="22"/>
        </w:rPr>
      </w:pPr>
      <w:r>
        <w:rPr>
          <w:rFonts w:hint="eastAsia" w:ascii="Arial" w:hAnsi="Arial" w:cs="Arial"/>
          <w:b/>
          <w:bCs/>
          <w:color w:val="000000"/>
          <w:sz w:val="22"/>
          <w:szCs w:val="22"/>
        </w:rPr>
        <w:t>1.</w:t>
      </w:r>
      <w:r>
        <w:rPr>
          <w:rFonts w:ascii="Arial" w:hAnsi="Arial" w:cs="Arial"/>
          <w:b/>
          <w:bCs/>
          <w:color w:val="000000"/>
          <w:sz w:val="22"/>
          <w:szCs w:val="22"/>
        </w:rPr>
        <w:t xml:space="preserve"> 产品管理人：平安理财有限责任公司。</w:t>
      </w:r>
      <w:r>
        <w:rPr>
          <w:rFonts w:ascii="Arial" w:hAnsi="Arial" w:cs="Arial"/>
          <w:sz w:val="22"/>
          <w:szCs w:val="22"/>
        </w:rPr>
        <w:t>平安理财负责本理财产品的投资运作和产品管理，投资者在此授权并同意平安理财享有以下权利：</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按照本理财产品文件的约定，管理、运用和处分理财产品资金；</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按照本理财产品文件的约定，及时、足额获得管理费和本理财产品说明书约定的其他费用（如有）；管理人以其固有财产先行垫付因处理本理财产品相关事务所支出的理财产品费用及税费的，对理财产品资金享有优先受偿的权利；</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管理人有权根据本理财产品文件的约定提前终止本理财产品或延长本理财产品的期限；</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管理人有权调整本理财产品的认购起点、单笔认购上限等要素；</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以理财产品管理人的名义，依照法律法规相关规定、理财产品</w:t>
      </w:r>
      <w:r>
        <w:rPr>
          <w:rFonts w:hint="eastAsia" w:ascii="Arial" w:hAnsi="Arial" w:cs="Arial"/>
          <w:sz w:val="22"/>
          <w:szCs w:val="22"/>
        </w:rPr>
        <w:t>销售文件</w:t>
      </w:r>
      <w:r>
        <w:rPr>
          <w:rFonts w:ascii="Arial" w:hAnsi="Arial" w:cs="Arial"/>
          <w:sz w:val="22"/>
          <w:szCs w:val="22"/>
        </w:rPr>
        <w:t>的约定以及为理财产品的利益，对被投资的资管计划/产品、各类基金、公司/企业等行使出资人/投资者权利（包括但不限于表决投票的权利）以及行使因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以理财产品管理人的名义，依照法律法规相关规定、理财产品</w:t>
      </w:r>
      <w:r>
        <w:rPr>
          <w:rFonts w:hint="eastAsia" w:ascii="Arial" w:hAnsi="Arial" w:cs="Arial"/>
          <w:sz w:val="22"/>
          <w:szCs w:val="22"/>
        </w:rPr>
        <w:t>销售文件</w:t>
      </w:r>
      <w:r>
        <w:rPr>
          <w:rFonts w:ascii="Arial" w:hAnsi="Arial" w:cs="Arial"/>
          <w:sz w:val="22"/>
          <w:szCs w:val="22"/>
        </w:rPr>
        <w:t>的约定以及代表理财产品份额持有人的利益行使代为追索的权利（包括但不限于提起诉讼/仲裁、申请保全/执行的权利）或者实施其他风险处置，行使、放弃、变更相关权利义务等法律行为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spacing w:line="360" w:lineRule="auto"/>
        <w:ind w:left="442"/>
        <w:rPr>
          <w:rFonts w:ascii="Arial" w:hAnsi="Arial" w:cs="Arial"/>
          <w:color w:val="000000" w:themeColor="text1"/>
          <w:sz w:val="22"/>
          <w:szCs w:val="22"/>
          <w14:textFill>
            <w14:solidFill>
              <w14:schemeClr w14:val="tx1"/>
            </w14:solidFill>
          </w14:textFill>
        </w:rPr>
      </w:pPr>
      <w:r>
        <w:rPr>
          <w:rFonts w:hint="eastAsia" w:ascii="Arial" w:hAnsi="Arial" w:cs="Arial"/>
          <w:b/>
          <w:bCs/>
          <w:color w:val="000000"/>
          <w:sz w:val="22"/>
          <w:szCs w:val="22"/>
        </w:rPr>
        <w:t>2.</w:t>
      </w:r>
      <w:r>
        <w:rPr>
          <w:rFonts w:ascii="Arial" w:hAnsi="Arial" w:cs="Arial"/>
          <w:b/>
          <w:bCs/>
          <w:color w:val="000000"/>
          <w:sz w:val="22"/>
          <w:szCs w:val="22"/>
        </w:rPr>
        <w:t xml:space="preserve"> 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color w:val="000000" w:themeColor="text1"/>
          <w:sz w:val="22"/>
          <w:szCs w:val="22"/>
          <w14:textFill>
            <w14:solidFill>
              <w14:schemeClr w14:val="tx1"/>
            </w14:solidFill>
          </w14:textFill>
        </w:rPr>
        <w:t>产品托管人基本信息及主要职责如下：</w:t>
      </w:r>
    </w:p>
    <w:tbl>
      <w:tblPr>
        <w:tblStyle w:val="10"/>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产品托管人</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6656" w:type="dxa"/>
          </w:tcPr>
          <w:p>
            <w:pPr>
              <w:widowControl/>
              <w:spacing w:line="360" w:lineRule="auto"/>
              <w:rPr>
                <w:rFonts w:ascii="Arial" w:hAnsi="Arial" w:cs="Arial"/>
                <w:kern w:val="0"/>
                <w:sz w:val="22"/>
                <w:szCs w:val="22"/>
              </w:rPr>
            </w:pPr>
            <w:r>
              <w:rPr>
                <w:rFonts w:ascii="Arial" w:hAnsi="Arial" w:cs="Arial"/>
                <w:kern w:val="0"/>
                <w:sz w:val="22"/>
                <w:szCs w:val="22"/>
              </w:rPr>
              <w:t>1987</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主要职责</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提供包括账户开立、资金保管、资金清算、估值核算等本理财产品托管服务。</w:t>
            </w:r>
          </w:p>
        </w:tc>
      </w:tr>
    </w:tbl>
    <w:p>
      <w:pPr>
        <w:widowControl/>
        <w:spacing w:line="360" w:lineRule="auto"/>
        <w:ind w:firstLine="220" w:firstLineChars="100"/>
        <w:rPr>
          <w:rFonts w:ascii="Arial" w:hAnsi="Arial" w:cs="Arial"/>
          <w:sz w:val="22"/>
          <w:szCs w:val="22"/>
        </w:rPr>
      </w:pPr>
      <w:r>
        <w:rPr>
          <w:rFonts w:ascii="Arial" w:hAnsi="Arial" w:cs="Arial"/>
          <w:sz w:val="22"/>
          <w:szCs w:val="22"/>
        </w:rPr>
        <w:t>管理人为理财产品资金管理之目的，以本理财产品的名义在托管人处单独开立资金账户，理财产品资金的一切收支活动，包括但不限于接收募集资金、划付对外投资资金、缴纳理财产品税费、接收理财产品回收资金、支付理财产品费用以及向份额持有人划付理财产品利益分配款项，均必须通过该账户进行。</w:t>
      </w:r>
    </w:p>
    <w:p>
      <w:pPr>
        <w:widowControl/>
        <w:spacing w:line="360" w:lineRule="auto"/>
        <w:ind w:firstLine="221" w:firstLineChars="100"/>
        <w:rPr>
          <w:rFonts w:ascii="Arial" w:hAnsi="Arial" w:cs="Arial"/>
          <w:sz w:val="22"/>
          <w:szCs w:val="22"/>
        </w:rPr>
      </w:pPr>
      <w:r>
        <w:rPr>
          <w:rFonts w:hint="eastAsia" w:ascii="Arial" w:hAnsi="Arial" w:cs="Arial"/>
          <w:b/>
          <w:bCs/>
          <w:color w:val="000000"/>
          <w:sz w:val="22"/>
          <w:szCs w:val="22"/>
        </w:rPr>
        <w:t>3.</w:t>
      </w:r>
      <w:r>
        <w:rPr>
          <w:rFonts w:ascii="Arial" w:hAnsi="Arial" w:cs="Arial"/>
          <w:b/>
          <w:bCs/>
          <w:color w:val="000000"/>
          <w:sz w:val="22"/>
          <w:szCs w:val="22"/>
        </w:rPr>
        <w:t xml:space="preserve"> 销售服务机构：</w:t>
      </w:r>
      <w:r>
        <w:rPr>
          <w:rFonts w:hint="eastAsia" w:ascii="Arial" w:hAnsi="Arial" w:cs="Arial"/>
          <w:b/>
          <w:sz w:val="22"/>
          <w:szCs w:val="22"/>
        </w:rPr>
        <w:t>指产品管理人以及符合《理财公司理财产品销售管理暂行办法》和国家金融监督管理总局规定，办理理财产品销售业务的机构。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widowControl/>
        <w:spacing w:line="360" w:lineRule="auto"/>
        <w:ind w:firstLine="440" w:firstLineChars="200"/>
        <w:rPr>
          <w:rFonts w:ascii="Arial" w:hAnsi="Arial" w:cs="Arial"/>
          <w:sz w:val="22"/>
          <w:szCs w:val="22"/>
        </w:rPr>
      </w:pPr>
      <w:r>
        <w:rPr>
          <w:rFonts w:hint="eastAsia" w:ascii="Arial" w:hAnsi="Arial" w:cs="Arial"/>
          <w:sz w:val="22"/>
          <w:szCs w:val="22"/>
        </w:rPr>
        <w:t>本理财产品销售服务机构的基本信息如下：</w:t>
      </w:r>
    </w:p>
    <w:tbl>
      <w:tblPr>
        <w:tblStyle w:val="10"/>
        <w:tblW w:w="7777" w:type="dxa"/>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596"/>
        <w:gridCol w:w="5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1" w:type="dxa"/>
            <w:vMerge w:val="restart"/>
          </w:tcPr>
          <w:p>
            <w:pPr>
              <w:spacing w:line="360" w:lineRule="auto"/>
              <w:rPr>
                <w:rFonts w:ascii="Arial" w:hAnsi="Arial" w:cs="Arial"/>
                <w:b/>
                <w:kern w:val="0"/>
                <w:sz w:val="22"/>
                <w:szCs w:val="22"/>
              </w:rPr>
            </w:pPr>
            <w:r>
              <w:rPr>
                <w:rFonts w:hint="eastAsia" w:ascii="Arial" w:hAnsi="Arial" w:cs="Arial"/>
                <w:b/>
                <w:kern w:val="0"/>
                <w:sz w:val="22"/>
                <w:szCs w:val="22"/>
              </w:rPr>
              <w:t>1</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350" w:type="dxa"/>
          </w:tcPr>
          <w:p>
            <w:pPr>
              <w:widowControl/>
              <w:spacing w:line="360" w:lineRule="auto"/>
              <w:rPr>
                <w:rFonts w:ascii="Arial" w:hAnsi="Arial" w:cs="Arial"/>
                <w:kern w:val="0"/>
                <w:sz w:val="22"/>
                <w:szCs w:val="22"/>
              </w:rPr>
            </w:pPr>
            <w:r>
              <w:rPr>
                <w:rFonts w:ascii="Arial" w:hAnsi="Arial" w:cs="Arial"/>
                <w:kern w:val="0"/>
                <w:sz w:val="22"/>
                <w:szCs w:val="22"/>
              </w:rPr>
              <w:t>1987</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w:t>
            </w:r>
            <w:r>
              <w:rPr>
                <w:rFonts w:ascii="Arial" w:hAnsi="Arial" w:cs="Arial"/>
                <w:kern w:val="0"/>
                <w:sz w:val="22"/>
                <w:szCs w:val="22"/>
              </w:rPr>
              <w:t>5047</w:t>
            </w:r>
            <w:r>
              <w:rPr>
                <w:rFonts w:hint="eastAsia" w:ascii="Arial" w:hAnsi="Arial" w:cs="Arial"/>
                <w:kern w:val="0"/>
                <w:sz w:val="22"/>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350" w:type="dxa"/>
          </w:tcPr>
          <w:p>
            <w:pPr>
              <w:widowControl/>
              <w:spacing w:line="360" w:lineRule="auto"/>
              <w:rPr>
                <w:rFonts w:ascii="Arial" w:hAnsi="Arial" w:cs="Arial"/>
                <w:kern w:val="0"/>
                <w:sz w:val="22"/>
                <w:szCs w:val="22"/>
              </w:rPr>
            </w:pPr>
            <w:r>
              <w:rPr>
                <w:rFonts w:ascii="Arial" w:hAnsi="Arial" w:cs="Arial"/>
                <w:kern w:val="0"/>
                <w:sz w:val="22"/>
                <w:szCs w:val="22"/>
              </w:rPr>
              <w:t>95511</w:t>
            </w:r>
            <w:r>
              <w:rPr>
                <w:rFonts w:hint="eastAsia" w:ascii="Arial" w:hAnsi="Arial" w:cs="Arial"/>
                <w:kern w:val="0"/>
                <w:sz w:val="22"/>
                <w:szCs w:val="22"/>
              </w:rPr>
              <w:t>转</w:t>
            </w:r>
            <w:r>
              <w:rPr>
                <w:rFonts w:ascii="Arial" w:hAnsi="Arial" w:cs="Arial"/>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spacing w:line="360" w:lineRule="auto"/>
              <w:rPr>
                <w:rFonts w:ascii="Arial" w:hAnsi="Arial" w:cs="Arial"/>
                <w:b/>
                <w:kern w:val="0"/>
                <w:sz w:val="22"/>
                <w:szCs w:val="22"/>
              </w:rPr>
            </w:pPr>
            <w:r>
              <w:rPr>
                <w:rFonts w:ascii="Arial" w:hAnsi="Arial" w:cs="Arial"/>
                <w:b/>
                <w:kern w:val="0"/>
                <w:sz w:val="22"/>
                <w:szCs w:val="22"/>
              </w:rPr>
              <w:t>2</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350" w:type="dxa"/>
          </w:tcPr>
          <w:p>
            <w:pPr>
              <w:widowControl/>
              <w:spacing w:line="360" w:lineRule="auto"/>
              <w:rPr>
                <w:kern w:val="0"/>
                <w:sz w:val="20"/>
              </w:rPr>
            </w:pPr>
            <w:r>
              <w:rPr>
                <w:rFonts w:hint="eastAsia" w:ascii="Arial" w:hAnsi="Arial" w:cs="Arial"/>
                <w:kern w:val="0"/>
                <w:sz w:val="22"/>
                <w:szCs w:val="22"/>
              </w:rPr>
              <w:t>宁波银行股份有限公司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350" w:type="dxa"/>
          </w:tcPr>
          <w:p>
            <w:pPr>
              <w:widowControl/>
              <w:spacing w:line="360" w:lineRule="auto"/>
              <w:rPr>
                <w:kern w:val="0"/>
                <w:sz w:val="20"/>
              </w:rPr>
            </w:pPr>
            <w:r>
              <w:rPr>
                <w:rFonts w:ascii="Arial" w:hAnsi="Arial" w:cs="Arial"/>
                <w:kern w:val="0"/>
                <w:sz w:val="22"/>
                <w:szCs w:val="22"/>
              </w:rPr>
              <w:t>1997</w:t>
            </w:r>
            <w:r>
              <w:rPr>
                <w:rFonts w:hint="eastAsia" w:ascii="Arial" w:hAnsi="Arial" w:cs="Arial"/>
                <w:kern w:val="0"/>
                <w:sz w:val="22"/>
                <w:szCs w:val="22"/>
              </w:rPr>
              <w:t>年</w:t>
            </w:r>
            <w:r>
              <w:rPr>
                <w:rFonts w:ascii="Arial" w:hAnsi="Arial" w:cs="Arial"/>
                <w:kern w:val="0"/>
                <w:sz w:val="22"/>
                <w:szCs w:val="22"/>
              </w:rPr>
              <w:t>4</w:t>
            </w:r>
            <w:r>
              <w:rPr>
                <w:rFonts w:hint="eastAsia" w:ascii="Arial" w:hAnsi="Arial" w:cs="Arial"/>
                <w:kern w:val="0"/>
                <w:sz w:val="22"/>
                <w:szCs w:val="22"/>
              </w:rPr>
              <w:t>月</w:t>
            </w:r>
            <w:r>
              <w:rPr>
                <w:rFonts w:ascii="Arial" w:hAnsi="Arial" w:cs="Arial"/>
                <w:kern w:val="0"/>
                <w:sz w:val="22"/>
                <w:szCs w:val="22"/>
              </w:rPr>
              <w:t>10</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5350" w:type="dxa"/>
          </w:tcPr>
          <w:p>
            <w:pPr>
              <w:widowControl/>
              <w:spacing w:line="360" w:lineRule="auto"/>
              <w:rPr>
                <w:kern w:val="0"/>
                <w:sz w:val="20"/>
              </w:rPr>
            </w:pPr>
            <w:r>
              <w:rPr>
                <w:rFonts w:hint="eastAsia" w:ascii="Arial" w:hAnsi="Arial" w:cs="Arial"/>
                <w:kern w:val="0"/>
                <w:sz w:val="22"/>
                <w:szCs w:val="22"/>
              </w:rPr>
              <w:t>浙江省宁波市鄞州区宁东路345号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350" w:type="dxa"/>
          </w:tcPr>
          <w:p>
            <w:pPr>
              <w:widowControl/>
              <w:spacing w:line="360" w:lineRule="auto"/>
              <w:rPr>
                <w:kern w:val="0"/>
                <w:sz w:val="20"/>
              </w:rPr>
            </w:pPr>
            <w:r>
              <w:rPr>
                <w:rFonts w:ascii="Arial" w:hAnsi="Arial" w:cs="Arial"/>
                <w:kern w:val="0"/>
                <w:sz w:val="22"/>
                <w:szCs w:val="22"/>
              </w:rPr>
              <w:t>95574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ascii="Arial" w:hAnsi="Arial" w:cs="Arial"/>
                <w:b/>
                <w:kern w:val="0"/>
                <w:sz w:val="22"/>
                <w:szCs w:val="22"/>
              </w:rPr>
              <w:t>3</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北京银行股份有限公司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1996年1月29日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北京西城区金融大街丙17号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350" w:type="dxa"/>
          </w:tcPr>
          <w:p>
            <w:pPr>
              <w:widowControl/>
              <w:spacing w:line="360" w:lineRule="auto"/>
              <w:rPr>
                <w:rFonts w:ascii="Arial" w:hAnsi="Arial" w:cs="Arial"/>
                <w:kern w:val="0"/>
                <w:sz w:val="22"/>
                <w:szCs w:val="22"/>
              </w:rPr>
            </w:pPr>
            <w:r>
              <w:rPr>
                <w:rFonts w:ascii="Arial" w:hAnsi="Arial" w:cs="Arial"/>
                <w:kern w:val="0"/>
                <w:sz w:val="22"/>
                <w:szCs w:val="22"/>
              </w:rPr>
              <w:t>95526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4</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渤海银行股份有限公司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2</w:t>
            </w:r>
            <w:r>
              <w:rPr>
                <w:rFonts w:ascii="Arial" w:hAnsi="Arial" w:cs="Arial"/>
                <w:kern w:val="0"/>
                <w:sz w:val="22"/>
                <w:szCs w:val="22"/>
              </w:rPr>
              <w:t>005</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31</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天津市河东区海河东路218号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350" w:type="dxa"/>
          </w:tcPr>
          <w:p>
            <w:pPr>
              <w:widowControl/>
              <w:spacing w:line="360" w:lineRule="auto"/>
              <w:rPr>
                <w:rFonts w:ascii="Arial" w:hAnsi="Arial" w:cs="Arial"/>
                <w:kern w:val="0"/>
                <w:sz w:val="22"/>
                <w:szCs w:val="22"/>
              </w:rPr>
            </w:pPr>
            <w:r>
              <w:rPr>
                <w:rFonts w:ascii="Arial" w:hAnsi="Arial" w:cs="Arial"/>
                <w:kern w:val="0"/>
                <w:sz w:val="22"/>
                <w:szCs w:val="22"/>
              </w:rPr>
              <w:t>95541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5</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华夏银行股份有限公司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350" w:type="dxa"/>
            <w:vAlign w:val="center"/>
          </w:tcPr>
          <w:p>
            <w:pPr>
              <w:widowControl/>
              <w:spacing w:line="360" w:lineRule="auto"/>
              <w:rPr>
                <w:rFonts w:ascii="Arial" w:hAnsi="Arial" w:cs="Arial"/>
                <w:kern w:val="0"/>
                <w:sz w:val="22"/>
                <w:szCs w:val="22"/>
              </w:rPr>
            </w:pPr>
            <w:r>
              <w:rPr>
                <w:rFonts w:ascii="Arial" w:hAnsi="Arial" w:cs="Arial"/>
                <w:sz w:val="22"/>
                <w:szCs w:val="22"/>
              </w:rPr>
              <w:t>1992</w:t>
            </w:r>
            <w:r>
              <w:rPr>
                <w:rFonts w:hint="eastAsia" w:ascii="Arial" w:hAnsi="Arial" w:cs="Arial"/>
                <w:sz w:val="22"/>
                <w:szCs w:val="22"/>
              </w:rPr>
              <w:t>年</w:t>
            </w:r>
            <w:r>
              <w:rPr>
                <w:rFonts w:ascii="Arial" w:hAnsi="Arial" w:cs="Arial"/>
                <w:sz w:val="22"/>
                <w:szCs w:val="22"/>
              </w:rPr>
              <w:t>10</w:t>
            </w:r>
            <w:r>
              <w:rPr>
                <w:rFonts w:hint="eastAsia" w:ascii="Arial" w:hAnsi="Arial" w:cs="Arial"/>
                <w:sz w:val="22"/>
                <w:szCs w:val="22"/>
              </w:rPr>
              <w:t>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350" w:type="dxa"/>
            <w:vAlign w:val="center"/>
          </w:tcPr>
          <w:p>
            <w:pPr>
              <w:widowControl/>
              <w:spacing w:line="360" w:lineRule="auto"/>
              <w:rPr>
                <w:rFonts w:ascii="Arial" w:hAnsi="Arial" w:cs="Arial"/>
                <w:kern w:val="0"/>
                <w:sz w:val="22"/>
                <w:szCs w:val="22"/>
              </w:rPr>
            </w:pPr>
            <w:r>
              <w:rPr>
                <w:rFonts w:hint="eastAsia" w:ascii="Arial" w:hAnsi="Arial" w:cs="Arial"/>
                <w:sz w:val="22"/>
                <w:szCs w:val="22"/>
              </w:rPr>
              <w:t>北京市东城区建国门内大街</w:t>
            </w:r>
            <w:r>
              <w:rPr>
                <w:rFonts w:ascii="Arial" w:hAnsi="Arial" w:cs="Arial"/>
                <w:sz w:val="22"/>
                <w:szCs w:val="22"/>
              </w:rPr>
              <w:t>22</w:t>
            </w:r>
            <w:r>
              <w:rPr>
                <w:rFonts w:hint="eastAsia" w:ascii="Arial" w:hAnsi="Arial" w:cs="Arial"/>
                <w:sz w:val="22"/>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350" w:type="dxa"/>
            <w:vAlign w:val="center"/>
          </w:tcPr>
          <w:p>
            <w:pPr>
              <w:widowControl/>
              <w:spacing w:line="360" w:lineRule="auto"/>
              <w:rPr>
                <w:rFonts w:ascii="Arial" w:hAnsi="Arial" w:cs="Arial"/>
                <w:kern w:val="0"/>
                <w:sz w:val="22"/>
                <w:szCs w:val="22"/>
              </w:rPr>
            </w:pPr>
            <w:r>
              <w:rPr>
                <w:rFonts w:ascii="Arial" w:hAnsi="Arial" w:cs="Arial"/>
                <w:sz w:val="22"/>
                <w:szCs w:val="22"/>
              </w:rPr>
              <w:t>95577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6</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上海浦东发展银行股份有限公司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1992年10月19日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350" w:type="dxa"/>
          </w:tcPr>
          <w:p>
            <w:pPr>
              <w:widowControl/>
              <w:spacing w:line="360" w:lineRule="auto"/>
              <w:rPr>
                <w:rFonts w:ascii="Arial" w:hAnsi="Arial" w:cs="Arial"/>
                <w:kern w:val="0"/>
                <w:sz w:val="22"/>
                <w:szCs w:val="22"/>
              </w:rPr>
            </w:pPr>
            <w:r>
              <w:rPr>
                <w:rFonts w:hint="eastAsia" w:ascii="Arial" w:hAnsi="Arial" w:cs="Arial"/>
                <w:kern w:val="0"/>
                <w:sz w:val="22"/>
                <w:szCs w:val="22"/>
              </w:rPr>
              <w:t>上海市中山东一路12号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350" w:type="dxa"/>
          </w:tcPr>
          <w:p>
            <w:pPr>
              <w:widowControl/>
              <w:spacing w:line="360" w:lineRule="auto"/>
              <w:rPr>
                <w:rFonts w:ascii="Arial" w:hAnsi="Arial" w:cs="Arial"/>
                <w:kern w:val="0"/>
                <w:sz w:val="22"/>
                <w:szCs w:val="22"/>
              </w:rPr>
            </w:pPr>
            <w:r>
              <w:rPr>
                <w:rFonts w:ascii="Arial" w:hAnsi="Arial" w:cs="Arial"/>
                <w:kern w:val="0"/>
                <w:sz w:val="22"/>
                <w:szCs w:val="22"/>
              </w:rPr>
              <w:t>95528</w:t>
            </w:r>
          </w:p>
        </w:tc>
      </w:tr>
    </w:tbl>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4"/>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sz w:val="22"/>
          <w:szCs w:val="22"/>
        </w:rPr>
        <w:t>2024年【5】月【24】日09:30（含）-2024年【6】月【3】日17:00(不含)</w:t>
      </w:r>
      <w:r>
        <w:rPr>
          <w:rFonts w:hint="eastAsia" w:ascii="Arial" w:hAnsi="Arial" w:cs="Arial"/>
          <w:snapToGrid w:val="0"/>
          <w:color w:val="000000"/>
          <w:sz w:val="22"/>
          <w:szCs w:val="22"/>
        </w:rPr>
        <w:t>，</w:t>
      </w:r>
      <w:r>
        <w:rPr>
          <w:rFonts w:hint="eastAsia" w:ascii="宋体" w:hAnsi="宋体"/>
          <w:sz w:val="22"/>
          <w:szCs w:val="22"/>
        </w:rPr>
        <w:t>管理人保留延长或提前终止产品认购期的权利。如有变动，产品实际认购期以管理人公告为准。</w:t>
      </w:r>
      <w:r>
        <w:rPr>
          <w:rFonts w:hint="eastAsia" w:ascii="Arial" w:hAnsi="Arial" w:cs="Arial"/>
          <w:snapToGrid w:val="0"/>
          <w:color w:val="000000"/>
          <w:sz w:val="22"/>
          <w:szCs w:val="22"/>
        </w:rPr>
        <w:t>投资者可通过销售服务机构手机银行APP或者管理人认可的其他方式参与认购</w:t>
      </w:r>
      <w:r>
        <w:rPr>
          <w:rFonts w:ascii="Arial" w:hAnsi="Arial" w:cs="Arial"/>
          <w:snapToGrid w:val="0"/>
          <w:color w:val="000000"/>
          <w:sz w:val="22"/>
          <w:szCs w:val="22"/>
        </w:rPr>
        <w:t>。</w:t>
      </w:r>
      <w:r>
        <w:rPr>
          <w:rFonts w:hint="eastAsia" w:ascii="Arial" w:hAnsi="Arial" w:cs="Arial"/>
          <w:b/>
          <w:color w:val="000000" w:themeColor="text1"/>
          <w:sz w:val="22"/>
          <w:szCs w:val="22"/>
          <w14:textFill>
            <w14:solidFill>
              <w14:schemeClr w14:val="tx1"/>
            </w14:solidFill>
          </w14:textFill>
        </w:rPr>
        <w:t>投资者通过销售服务机构认购理财产品的，且销售服务机构在管理人设置的认购期内对于产品认购时间有特殊安排的，还应依照销售服务机构的认购规则执行，具体以销售服务机构披露的规则为准。</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金额</w:t>
      </w:r>
      <w:r>
        <w:rPr>
          <w:rFonts w:ascii="Arial" w:hAnsi="Arial" w:cs="Arial"/>
          <w:snapToGrid w:val="0"/>
          <w:color w:val="000000"/>
          <w:sz w:val="22"/>
          <w:szCs w:val="22"/>
        </w:rPr>
        <w:t>：在认购期内，</w:t>
      </w:r>
      <w:r>
        <w:rPr>
          <w:rFonts w:hint="eastAsia" w:ascii="Arial" w:hAnsi="Arial" w:cs="Arial"/>
          <w:sz w:val="22"/>
          <w:szCs w:val="22"/>
        </w:rPr>
        <w:t>A</w:t>
      </w:r>
      <w:r>
        <w:rPr>
          <w:rFonts w:ascii="Arial" w:hAnsi="Arial" w:cs="Arial"/>
          <w:sz w:val="22"/>
          <w:szCs w:val="22"/>
        </w:rPr>
        <w:t>/B</w:t>
      </w:r>
      <w:r>
        <w:rPr>
          <w:rFonts w:hint="eastAsia" w:ascii="Arial" w:hAnsi="Arial" w:cs="Arial"/>
          <w:sz w:val="22"/>
          <w:szCs w:val="22"/>
        </w:rPr>
        <w:t>类份额</w:t>
      </w:r>
      <w:r>
        <w:rPr>
          <w:rFonts w:hint="eastAsia" w:ascii="Arial" w:hAnsi="Arial" w:cs="Arial"/>
          <w:snapToGrid w:val="0"/>
          <w:color w:val="000000"/>
          <w:sz w:val="22"/>
          <w:szCs w:val="22"/>
        </w:rPr>
        <w:t>认购起点金额为1元，超过认购起点部分应为1元的整数倍。上述认购起点、追加金额均包含认购费（如有）。管理人有权以公告形式调整上述规则。</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z w:val="22"/>
          <w:szCs w:val="22"/>
        </w:rPr>
        <w:t>A</w:t>
      </w:r>
      <w:r>
        <w:rPr>
          <w:rFonts w:ascii="Arial" w:hAnsi="Arial" w:cs="Arial"/>
          <w:sz w:val="22"/>
          <w:szCs w:val="22"/>
        </w:rPr>
        <w:t>/B</w:t>
      </w:r>
      <w:r>
        <w:rPr>
          <w:rFonts w:hint="eastAsia" w:ascii="Arial" w:hAnsi="Arial" w:cs="Arial"/>
          <w:sz w:val="22"/>
          <w:szCs w:val="22"/>
        </w:rPr>
        <w:t>类份额</w:t>
      </w:r>
      <w:r>
        <w:rPr>
          <w:rFonts w:ascii="Arial" w:hAnsi="Arial" w:cs="Arial"/>
          <w:snapToGrid w:val="0"/>
          <w:color w:val="000000"/>
          <w:sz w:val="22"/>
          <w:szCs w:val="22"/>
        </w:rPr>
        <w:t>投资者单笔认购上限为</w:t>
      </w:r>
      <w:r>
        <w:rPr>
          <w:rFonts w:hint="eastAsia" w:ascii="Arial" w:hAnsi="Arial" w:cs="Arial"/>
          <w:snapToGrid w:val="0"/>
          <w:color w:val="000000"/>
          <w:sz w:val="22"/>
          <w:szCs w:val="22"/>
        </w:rPr>
        <w:t>4亿</w:t>
      </w:r>
      <w:r>
        <w:rPr>
          <w:rFonts w:ascii="Arial" w:hAnsi="Arial" w:cs="Arial"/>
          <w:snapToGrid w:val="0"/>
          <w:color w:val="000000"/>
          <w:sz w:val="22"/>
          <w:szCs w:val="22"/>
        </w:rPr>
        <w:t>元</w:t>
      </w:r>
      <w:r>
        <w:rPr>
          <w:rFonts w:hint="eastAsia" w:ascii="Arial" w:hAnsi="Arial" w:cs="Arial"/>
          <w:snapToGrid w:val="0"/>
          <w:color w:val="000000"/>
          <w:sz w:val="22"/>
          <w:szCs w:val="22"/>
        </w:rPr>
        <w:t>（含认购费）。如发生超额申请，管理人有权根据实际情况决定拒绝或受理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5"/>
        </w:numPr>
        <w:tabs>
          <w:tab w:val="left" w:pos="851"/>
        </w:tabs>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A</w:t>
      </w:r>
      <w:r>
        <w:rPr>
          <w:rFonts w:ascii="Arial" w:hAnsi="Arial" w:cs="Arial"/>
          <w:sz w:val="22"/>
          <w:szCs w:val="22"/>
        </w:rPr>
        <w:t>/B</w:t>
      </w:r>
      <w:r>
        <w:rPr>
          <w:rFonts w:hint="eastAsia" w:ascii="Arial" w:hAnsi="Arial" w:cs="Arial"/>
          <w:sz w:val="22"/>
          <w:szCs w:val="22"/>
        </w:rPr>
        <w:t>类份额</w:t>
      </w:r>
      <w:r>
        <w:rPr>
          <w:rFonts w:ascii="Arial" w:hAnsi="Arial" w:cs="Arial"/>
          <w:snapToGrid w:val="0"/>
          <w:color w:val="000000"/>
          <w:sz w:val="22"/>
          <w:szCs w:val="22"/>
        </w:rPr>
        <w:t>单一投资者持有上限为</w:t>
      </w:r>
      <w:r>
        <w:rPr>
          <w:rFonts w:hint="eastAsia" w:ascii="Arial" w:hAnsi="Arial" w:cs="Arial"/>
          <w:snapToGrid w:val="0"/>
          <w:color w:val="000000"/>
          <w:sz w:val="22"/>
          <w:szCs w:val="22"/>
        </w:rPr>
        <w:t>4亿</w:t>
      </w:r>
      <w:r>
        <w:rPr>
          <w:rFonts w:ascii="Arial" w:hAnsi="Arial" w:cs="Arial"/>
          <w:snapToGrid w:val="0"/>
          <w:color w:val="000000"/>
          <w:sz w:val="22"/>
          <w:szCs w:val="22"/>
        </w:rPr>
        <w:t>元</w:t>
      </w:r>
      <w:r>
        <w:rPr>
          <w:rFonts w:hint="eastAsia" w:ascii="Arial" w:hAnsi="Arial" w:cs="Arial"/>
          <w:snapToGrid w:val="0"/>
          <w:color w:val="000000"/>
          <w:sz w:val="22"/>
          <w:szCs w:val="22"/>
        </w:rPr>
        <w:t>（含认购费，</w:t>
      </w:r>
      <w:r>
        <w:rPr>
          <w:rFonts w:ascii="Arial" w:hAnsi="Arial" w:cs="Arial"/>
          <w:snapToGrid w:val="0"/>
          <w:color w:val="000000"/>
          <w:sz w:val="22"/>
          <w:szCs w:val="22"/>
        </w:rPr>
        <w:t>在产品运作过程中因收益分配、净值波动等被动超上限的情形除外</w:t>
      </w:r>
      <w:r>
        <w:rPr>
          <w:rFonts w:hint="eastAsia" w:ascii="Arial" w:hAnsi="Arial" w:cs="Arial"/>
          <w:snapToGrid w:val="0"/>
          <w:color w:val="000000"/>
          <w:sz w:val="22"/>
          <w:szCs w:val="22"/>
        </w:rPr>
        <w:t>）。</w:t>
      </w:r>
      <w:r>
        <w:rPr>
          <w:rFonts w:ascii="Arial" w:hAnsi="Arial" w:cs="Arial"/>
          <w:snapToGrid w:val="0"/>
          <w:color w:val="000000"/>
          <w:sz w:val="22"/>
          <w:szCs w:val="22"/>
        </w:rPr>
        <w:t>管理人有权以公告形式调整单一投资者持有上限。</w:t>
      </w:r>
      <w:r>
        <w:rPr>
          <w:rFonts w:hint="eastAsia" w:ascii="Arial" w:hAnsi="Arial" w:cs="Arial"/>
          <w:snapToGrid w:val="0"/>
          <w:color w:val="000000"/>
          <w:sz w:val="22"/>
          <w:szCs w:val="22"/>
        </w:rPr>
        <w:t>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w:t>
      </w:r>
      <w:r>
        <w:rPr>
          <w:rFonts w:hint="eastAsia" w:ascii="Arial" w:hAnsi="Arial" w:cs="Arial"/>
          <w:sz w:val="22"/>
          <w:szCs w:val="22"/>
        </w:rPr>
        <w:t>不得接受单一投资者</w:t>
      </w:r>
      <w:r>
        <w:rPr>
          <w:rFonts w:hint="eastAsia" w:ascii="Arial" w:hAnsi="Arial" w:cs="Arial"/>
          <w:snapToGrid w:val="0"/>
          <w:color w:val="000000"/>
          <w:sz w:val="22"/>
          <w:szCs w:val="22"/>
        </w:rPr>
        <w:t>购买超过产品份额总数50%的申请（在产品运作过程中因收益结转等情形导致持有份额被动超过此规则的情形除外）。</w:t>
      </w:r>
    </w:p>
    <w:p>
      <w:pPr>
        <w:numPr>
          <w:ilvl w:val="0"/>
          <w:numId w:val="5"/>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不收取认购费</w:t>
      </w:r>
      <w:r>
        <w:rPr>
          <w:rFonts w:ascii="Arial" w:hAnsi="Arial" w:cs="Arial"/>
          <w:sz w:val="22"/>
          <w:szCs w:val="22"/>
        </w:rPr>
        <w:t>。</w:t>
      </w:r>
      <w:r>
        <w:rPr>
          <w:rFonts w:hint="eastAsia" w:ascii="Arial" w:hAnsi="Arial" w:cs="Arial"/>
          <w:sz w:val="22"/>
          <w:szCs w:val="22"/>
        </w:rPr>
        <w:t>若费率发生调整，以管理人公告为准。</w:t>
      </w:r>
      <w:r>
        <w:rPr>
          <w:rFonts w:ascii="Arial" w:hAnsi="Arial" w:cs="Arial"/>
          <w:b/>
          <w:sz w:val="22"/>
          <w:szCs w:val="22"/>
        </w:rPr>
        <w:t>认购费不属于理财产品费用，不由理财产品承担，由投资者在认购时承担。</w:t>
      </w:r>
    </w:p>
    <w:p>
      <w:pPr>
        <w:numPr>
          <w:ilvl w:val="0"/>
          <w:numId w:val="5"/>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认购份额的计算</w:t>
      </w:r>
    </w:p>
    <w:p>
      <w:pPr>
        <w:tabs>
          <w:tab w:val="left" w:pos="851"/>
        </w:tabs>
        <w:autoSpaceDE w:val="0"/>
        <w:autoSpaceDN w:val="0"/>
        <w:adjustRightInd w:val="0"/>
        <w:spacing w:line="360" w:lineRule="auto"/>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本理财产品认购份额的具体计算方法如下：</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认购费=认购金额-认购金额</w:t>
      </w:r>
      <w:r>
        <w:rPr>
          <w:rFonts w:ascii="Arial" w:hAnsi="Arial" w:cs="Arial"/>
          <w:color w:val="0D0D0D" w:themeColor="text1" w:themeTint="F2"/>
          <w:sz w:val="22"/>
          <w:szCs w:val="22"/>
          <w14:textFill>
            <w14:solidFill>
              <w14:schemeClr w14:val="tx1">
                <w14:lumMod w14:val="95000"/>
                <w14:lumOff w14:val="5000"/>
              </w14:schemeClr>
            </w14:solidFill>
          </w14:textFill>
        </w:rPr>
        <w:t>×</w:t>
      </w:r>
      <w:r>
        <w:rPr>
          <w:rFonts w:hint="eastAsia"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14:textFill>
            <w14:solidFill>
              <w14:schemeClr w14:val="tx1"/>
            </w14:solidFill>
          </w14:textFill>
        </w:rPr>
        <w:t>1/（1+认购费率</w:t>
      </w:r>
      <w:r>
        <w:rPr>
          <w:rFonts w:hint="eastAsia"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14:textFill>
            <w14:solidFill>
              <w14:schemeClr w14:val="tx1"/>
            </w14:solidFill>
          </w14:textFill>
        </w:rPr>
        <w:t>）</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净认购金额=认购金额-认购费</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认购份额=净认购金额/份额净值，在认购期份额净值为1元/份</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认购费、认购份额精确到小数点后2位，小数点2位以后四舍五入。</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Arial" w:hAnsi="Arial" w:cs="Arial"/>
          <w:snapToGrid w:val="0"/>
          <w:color w:val="000000"/>
          <w:sz w:val="22"/>
          <w:szCs w:val="22"/>
        </w:rPr>
        <w:t>管理人</w:t>
      </w:r>
      <w:r>
        <w:rPr>
          <w:rFonts w:ascii="宋体" w:hAnsi="宋体"/>
          <w:sz w:val="22"/>
          <w:szCs w:val="22"/>
        </w:rPr>
        <w:t>的确认为准。如</w:t>
      </w:r>
      <w:r>
        <w:rPr>
          <w:rFonts w:hint="eastAsia" w:ascii="Arial" w:hAnsi="Arial" w:cs="Arial"/>
          <w:snapToGrid w:val="0"/>
          <w:color w:val="000000"/>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Arial" w:hAnsi="Arial" w:cs="Arial"/>
          <w:snapToGrid w:val="0"/>
          <w:color w:val="000000"/>
          <w:sz w:val="22"/>
          <w:szCs w:val="22"/>
        </w:rPr>
        <w:t>管理人</w:t>
      </w:r>
      <w:r>
        <w:rPr>
          <w:rFonts w:ascii="宋体" w:hAnsi="宋体"/>
          <w:sz w:val="22"/>
          <w:szCs w:val="22"/>
        </w:rPr>
        <w:t>的登记结果为准。</w:t>
      </w:r>
      <w:r>
        <w:rPr>
          <w:rFonts w:hint="eastAsia" w:ascii="宋体" w:hAnsi="宋体"/>
          <w:sz w:val="22"/>
          <w:szCs w:val="22"/>
        </w:rPr>
        <w:t>认购期间，认购资金扣款及计息方式以各销售服务机构为准。</w:t>
      </w:r>
      <w:r>
        <w:rPr>
          <w:rFonts w:ascii="宋体" w:hAnsi="宋体"/>
          <w:sz w:val="22"/>
          <w:szCs w:val="22"/>
        </w:rPr>
        <w:t>投资者应在本理财产品成立后及时查询最终成交确认情况及认购的份额</w:t>
      </w:r>
      <w:r>
        <w:rPr>
          <w:rFonts w:hint="eastAsia" w:ascii="宋体" w:hAnsi="宋体"/>
          <w:sz w:val="22"/>
          <w:szCs w:val="22"/>
        </w:rPr>
        <w:t>。</w:t>
      </w:r>
    </w:p>
    <w:p>
      <w:pPr>
        <w:tabs>
          <w:tab w:val="left" w:pos="2542"/>
        </w:tabs>
        <w:spacing w:line="360" w:lineRule="auto"/>
        <w:ind w:left="-15" w:leftChars="-7" w:right="141" w:firstLine="414" w:firstLineChars="200"/>
        <w:rPr>
          <w:rFonts w:eastAsiaTheme="majorEastAsia"/>
          <w:b/>
          <w:color w:val="000000"/>
          <w:spacing w:val="-7"/>
          <w:sz w:val="22"/>
        </w:rPr>
      </w:pPr>
      <w:r>
        <w:rPr>
          <w:rFonts w:eastAsiaTheme="majorEastAsia"/>
          <w:b/>
          <w:color w:val="000000"/>
          <w:spacing w:val="-7"/>
          <w:sz w:val="22"/>
        </w:rPr>
        <w:t>2. 理财产品到期日和收益分配</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本产品的</w:t>
      </w:r>
      <w:r>
        <w:rPr>
          <w:rFonts w:hint="eastAsia" w:ascii="宋体" w:hAnsi="宋体"/>
          <w:sz w:val="22"/>
          <w:szCs w:val="22"/>
        </w:rPr>
        <w:t>预计</w:t>
      </w:r>
      <w:r>
        <w:rPr>
          <w:rFonts w:ascii="宋体" w:hAnsi="宋体"/>
          <w:sz w:val="22"/>
          <w:szCs w:val="22"/>
        </w:rPr>
        <w:t>到期日为</w:t>
      </w:r>
      <w:r>
        <w:rPr>
          <w:rFonts w:hint="eastAsia" w:ascii="宋体" w:hAnsi="宋体"/>
          <w:sz w:val="22"/>
          <w:szCs w:val="22"/>
        </w:rPr>
        <w:t>【</w:t>
      </w:r>
      <w:r>
        <w:rPr>
          <w:rFonts w:ascii="Arial" w:hAnsi="Arial" w:cs="Arial"/>
          <w:snapToGrid w:val="0"/>
          <w:color w:val="000000"/>
          <w:sz w:val="22"/>
          <w:szCs w:val="22"/>
        </w:rPr>
        <w:t>2025</w:t>
      </w:r>
      <w:r>
        <w:rPr>
          <w:rFonts w:hint="eastAsia" w:ascii="宋体" w:hAnsi="宋体"/>
          <w:sz w:val="22"/>
          <w:szCs w:val="22"/>
        </w:rPr>
        <w:t>】年【6】月</w:t>
      </w:r>
      <w:r>
        <w:rPr>
          <w:rFonts w:hint="eastAsia" w:ascii="Arial" w:hAnsi="Arial" w:cs="Arial"/>
          <w:snapToGrid w:val="0"/>
          <w:color w:val="000000"/>
          <w:sz w:val="22"/>
          <w:szCs w:val="22"/>
        </w:rPr>
        <w:t>【19】日</w:t>
      </w:r>
      <w:r>
        <w:rPr>
          <w:rFonts w:ascii="宋体" w:hAnsi="宋体"/>
          <w:sz w:val="22"/>
          <w:szCs w:val="22"/>
        </w:rPr>
        <w:t>，逢非工作日顺延至下一工作日（如产品管理人公告本产品提前到期的，以公告的提前到期日为准）。</w:t>
      </w:r>
      <w:r>
        <w:rPr>
          <w:rFonts w:hint="eastAsia" w:ascii="Arial" w:hAnsi="Arial" w:cs="Arial"/>
          <w:b/>
          <w:sz w:val="22"/>
          <w:szCs w:val="22"/>
        </w:rPr>
        <w:t>本产品投资关联黄金现货收盘价（AU</w:t>
      </w:r>
      <w:r>
        <w:rPr>
          <w:rFonts w:ascii="Arial" w:hAnsi="Arial" w:cs="Arial"/>
          <w:b/>
          <w:sz w:val="22"/>
          <w:szCs w:val="22"/>
        </w:rPr>
        <w:t>9999.SGE</w:t>
      </w:r>
      <w:r>
        <w:rPr>
          <w:rFonts w:hint="eastAsia" w:ascii="Arial" w:hAnsi="Arial" w:cs="Arial"/>
          <w:b/>
          <w:sz w:val="22"/>
          <w:szCs w:val="22"/>
        </w:rPr>
        <w:t>）表现的资产，如在观察期内本产品所投资关联黄金现货收盘价表现</w:t>
      </w:r>
      <w:r>
        <w:rPr>
          <w:rFonts w:hint="eastAsia" w:ascii="Arial" w:hAnsi="Arial" w:cs="Arial"/>
          <w:b/>
          <w:bCs/>
          <w:color w:val="000000"/>
          <w:sz w:val="22"/>
          <w:szCs w:val="22"/>
        </w:rPr>
        <w:t>的</w:t>
      </w:r>
      <w:r>
        <w:rPr>
          <w:rFonts w:hint="eastAsia" w:ascii="Arial" w:hAnsi="Arial" w:cs="Arial"/>
          <w:b/>
          <w:sz w:val="22"/>
          <w:szCs w:val="22"/>
        </w:rPr>
        <w:t>资产符合相关条件，则产品可能</w:t>
      </w:r>
      <w:r>
        <w:rPr>
          <w:rFonts w:hint="eastAsia" w:ascii="Arial" w:hAnsi="Arial" w:cs="Arial"/>
          <w:b/>
          <w:bCs/>
          <w:color w:val="000000"/>
          <w:sz w:val="22"/>
          <w:szCs w:val="22"/>
        </w:rPr>
        <w:t>根据具体规则</w:t>
      </w:r>
      <w:r>
        <w:rPr>
          <w:rFonts w:hint="eastAsia" w:ascii="Arial" w:hAnsi="Arial" w:cs="Arial"/>
          <w:b/>
          <w:sz w:val="22"/>
          <w:szCs w:val="22"/>
        </w:rPr>
        <w:t>提前到期。</w:t>
      </w:r>
      <w:r>
        <w:rPr>
          <w:rFonts w:hint="eastAsia" w:ascii="Arial" w:hAnsi="Arial" w:cs="Arial"/>
          <w:sz w:val="22"/>
          <w:szCs w:val="22"/>
        </w:rPr>
        <w:t>如产品提前终止或延长，实际到期日以产品管理人实际公告为准。</w:t>
      </w:r>
      <w:r>
        <w:rPr>
          <w:rFonts w:ascii="宋体" w:hAnsi="宋体"/>
          <w:sz w:val="22"/>
          <w:szCs w:val="22"/>
        </w:rPr>
        <w:t>如本产品所投资的标的资产因信用风险、市场风险、流动性风险、交易对手风险等原因造成本产品不能按时变现资产的，本产品期限将相应延长。</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投资者持有本产品期间及到期时，产品管理人</w:t>
      </w:r>
      <w:r>
        <w:rPr>
          <w:rFonts w:ascii="宋体" w:hAnsi="宋体"/>
          <w:b/>
          <w:sz w:val="22"/>
          <w:szCs w:val="22"/>
        </w:rPr>
        <w:t>不承诺保证本金安全且不保证理财收益，投资者在到期日的应得收益（如有）随投资盈亏水平浮动。</w:t>
      </w:r>
    </w:p>
    <w:p>
      <w:pPr>
        <w:numPr>
          <w:ilvl w:val="0"/>
          <w:numId w:val="6"/>
        </w:numPr>
        <w:spacing w:line="360" w:lineRule="auto"/>
        <w:ind w:left="0" w:firstLine="440" w:firstLineChars="200"/>
        <w:rPr>
          <w:rFonts w:ascii="宋体" w:hAnsi="宋体"/>
          <w:sz w:val="22"/>
          <w:szCs w:val="22"/>
        </w:rPr>
      </w:pPr>
      <w:r>
        <w:rPr>
          <w:rFonts w:ascii="宋体" w:hAnsi="宋体"/>
          <w:sz w:val="22"/>
          <w:szCs w:val="22"/>
        </w:rPr>
        <w:t>如因</w:t>
      </w:r>
      <w:r>
        <w:rPr>
          <w:rFonts w:hint="eastAsia" w:ascii="宋体" w:hAnsi="宋体"/>
          <w:sz w:val="22"/>
          <w:szCs w:val="22"/>
        </w:rPr>
        <w:t>本产品项下债券、非标准化债权类资产等资产</w:t>
      </w:r>
      <w:r>
        <w:rPr>
          <w:rFonts w:ascii="宋体" w:hAnsi="宋体"/>
          <w:sz w:val="22"/>
          <w:szCs w:val="22"/>
        </w:rPr>
        <w:t>违约等原因，导致资产无法在本产品到期日内变现，则投资者应得资金为产品管理人实际资产变现金额扣除应由本产品承担的费用、税费后的剩余金额。</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本产品在到期日到期时，如本产品项下财产全部变现，产品管理人在到期日后5个</w:t>
      </w:r>
      <w:r>
        <w:rPr>
          <w:rFonts w:hint="eastAsia" w:ascii="宋体" w:hAnsi="宋体"/>
          <w:sz w:val="22"/>
          <w:szCs w:val="22"/>
        </w:rPr>
        <w:t>工作日</w:t>
      </w:r>
      <w:r>
        <w:rPr>
          <w:rFonts w:ascii="宋体" w:hAnsi="宋体"/>
          <w:sz w:val="22"/>
          <w:szCs w:val="22"/>
        </w:rPr>
        <w:t>内将投资者应得资金划转至投资者账户。清算期超过5个</w:t>
      </w:r>
      <w:r>
        <w:rPr>
          <w:rFonts w:hint="eastAsia" w:ascii="宋体" w:hAnsi="宋体"/>
          <w:sz w:val="22"/>
          <w:szCs w:val="22"/>
        </w:rPr>
        <w:t>工作日</w:t>
      </w:r>
      <w:r>
        <w:rPr>
          <w:rFonts w:ascii="宋体" w:hAnsi="宋体"/>
          <w:sz w:val="22"/>
          <w:szCs w:val="22"/>
        </w:rPr>
        <w:t>的，产品管理人将提前2个工作日根据本产品说明书约定的方式进行信息披露。</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本产品在到期日到期时，如本产品项下资产管理计划不能全部变现，则产品管理人将现金类资产扣除应由理财计划承担的费用、税款（如有）后向投资者分配。对于未变现资产部分，产品管理人以投资者利益最大化的原则，寻求未变现资产变现方式，在资产变现后5个工作日内，扣除应由理财计划承担的费用、税费后向投资者分配。</w:t>
      </w:r>
    </w:p>
    <w:p>
      <w:pPr>
        <w:tabs>
          <w:tab w:val="left" w:pos="2542"/>
        </w:tabs>
        <w:spacing w:line="360" w:lineRule="auto"/>
        <w:ind w:left="-15" w:leftChars="-7" w:right="141" w:firstLine="414" w:firstLineChars="200"/>
        <w:rPr>
          <w:rFonts w:eastAsiaTheme="majorEastAsia"/>
          <w:b/>
          <w:color w:val="000000"/>
          <w:spacing w:val="-7"/>
          <w:sz w:val="22"/>
        </w:rPr>
      </w:pPr>
      <w:r>
        <w:rPr>
          <w:rFonts w:hint="eastAsia" w:eastAsiaTheme="majorEastAsia"/>
          <w:b/>
          <w:color w:val="000000"/>
          <w:spacing w:val="-7"/>
          <w:sz w:val="22"/>
        </w:rPr>
        <w:t>3.</w:t>
      </w:r>
      <w:r>
        <w:rPr>
          <w:rFonts w:eastAsiaTheme="majorEastAsia"/>
          <w:b/>
          <w:color w:val="000000"/>
          <w:spacing w:val="-7"/>
          <w:sz w:val="22"/>
        </w:rPr>
        <w:t xml:space="preserve"> </w:t>
      </w:r>
      <w:r>
        <w:rPr>
          <w:rFonts w:hint="eastAsia" w:eastAsiaTheme="majorEastAsia"/>
          <w:b/>
          <w:color w:val="000000"/>
          <w:spacing w:val="-7"/>
          <w:sz w:val="22"/>
        </w:rPr>
        <w:t>份额净值的计算</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本理财产品</w:t>
      </w:r>
      <w:r>
        <w:rPr>
          <w:rFonts w:hint="eastAsia" w:ascii="Arial" w:hAnsi="Arial" w:cs="Arial"/>
          <w:color w:val="000000"/>
          <w:sz w:val="22"/>
          <w:szCs w:val="22"/>
        </w:rPr>
        <w:t>某一类份额的</w:t>
      </w:r>
      <w:r>
        <w:rPr>
          <w:rFonts w:hint="eastAsia" w:cs="Arial" w:asciiTheme="minorEastAsia" w:hAnsiTheme="minorEastAsia" w:eastAsiaTheme="minorEastAsia"/>
          <w:color w:val="000000" w:themeColor="text1"/>
          <w:spacing w:val="4"/>
          <w:sz w:val="22"/>
          <w:szCs w:val="22"/>
          <w14:textFill>
            <w14:solidFill>
              <w14:schemeClr w14:val="tx1"/>
            </w14:solidFill>
          </w14:textFill>
        </w:rPr>
        <w:t>份额净值=本理财产品</w:t>
      </w:r>
      <w:r>
        <w:rPr>
          <w:rFonts w:hint="eastAsia" w:ascii="Arial" w:hAnsi="Arial" w:cs="Arial"/>
          <w:color w:val="000000"/>
          <w:sz w:val="22"/>
          <w:szCs w:val="22"/>
        </w:rPr>
        <w:t>该类份额</w:t>
      </w:r>
      <w:r>
        <w:rPr>
          <w:rFonts w:hint="eastAsia" w:cs="Arial" w:asciiTheme="minorEastAsia" w:hAnsiTheme="minorEastAsia" w:eastAsiaTheme="minorEastAsia"/>
          <w:color w:val="000000" w:themeColor="text1"/>
          <w:spacing w:val="4"/>
          <w:sz w:val="22"/>
          <w:szCs w:val="22"/>
          <w14:textFill>
            <w14:solidFill>
              <w14:schemeClr w14:val="tx1"/>
            </w14:solidFill>
          </w14:textFill>
        </w:rPr>
        <w:t>资产净值÷本理财产品</w:t>
      </w:r>
      <w:r>
        <w:rPr>
          <w:rFonts w:hint="eastAsia" w:ascii="Arial" w:hAnsi="Arial" w:cs="Arial"/>
          <w:color w:val="000000"/>
          <w:sz w:val="22"/>
          <w:szCs w:val="22"/>
        </w:rPr>
        <w:t>该类份额</w:t>
      </w:r>
      <w:r>
        <w:rPr>
          <w:rFonts w:hint="eastAsia" w:cs="Arial" w:asciiTheme="minorEastAsia" w:hAnsiTheme="minorEastAsia" w:eastAsiaTheme="minorEastAsia"/>
          <w:color w:val="000000" w:themeColor="text1"/>
          <w:spacing w:val="4"/>
          <w:sz w:val="22"/>
          <w:szCs w:val="22"/>
          <w14:textFill>
            <w14:solidFill>
              <w14:schemeClr w14:val="tx1"/>
            </w14:solidFill>
          </w14:textFill>
        </w:rPr>
        <w:t xml:space="preserve">份额数 </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本理财产品份额净值的计算，按四舍五入法保留到小数点后4位，由此误差产生的收益或损失由本理财产品财产承担。</w:t>
      </w:r>
      <w:r>
        <w:rPr>
          <w:rFonts w:hint="eastAsia" w:ascii="Arial" w:hAnsi="Arial" w:cs="Arial"/>
          <w:color w:val="000000"/>
          <w:sz w:val="22"/>
          <w:szCs w:val="22"/>
        </w:rPr>
        <w:t>为保护理财份额持有人利益或理财产品运作管理需要，管理人有权调整或临时调整份额净值保留位数，如对产品份额净值保留位数进行调整，管理人将以公告形式公布调整事宜。</w:t>
      </w:r>
    </w:p>
    <w:p>
      <w:pPr>
        <w:tabs>
          <w:tab w:val="left" w:pos="2542"/>
        </w:tabs>
        <w:spacing w:line="360" w:lineRule="auto"/>
        <w:ind w:left="-15" w:leftChars="-7" w:right="141" w:firstLine="414" w:firstLineChars="200"/>
        <w:rPr>
          <w:rFonts w:eastAsiaTheme="majorEastAsia"/>
          <w:b/>
          <w:color w:val="000000"/>
          <w:spacing w:val="-7"/>
          <w:sz w:val="22"/>
        </w:rPr>
      </w:pPr>
      <w:r>
        <w:rPr>
          <w:rFonts w:hint="eastAsia" w:eastAsiaTheme="majorEastAsia"/>
          <w:b/>
          <w:color w:val="000000"/>
          <w:spacing w:val="-7"/>
          <w:sz w:val="22"/>
        </w:rPr>
        <w:t>4.</w:t>
      </w:r>
      <w:r>
        <w:rPr>
          <w:rFonts w:eastAsiaTheme="majorEastAsia"/>
          <w:b/>
          <w:color w:val="000000"/>
          <w:spacing w:val="-7"/>
          <w:sz w:val="22"/>
        </w:rPr>
        <w:t xml:space="preserve"> </w:t>
      </w:r>
      <w:r>
        <w:rPr>
          <w:rFonts w:hint="eastAsia" w:eastAsiaTheme="majorEastAsia"/>
          <w:b/>
          <w:color w:val="000000"/>
          <w:spacing w:val="-7"/>
          <w:sz w:val="22"/>
        </w:rPr>
        <w:t>拒绝或暂停接受认购申请的情形及处理方式</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发生下列情况时，管理人有权拒绝或暂停接受、办理投资者的认购申请：</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（1）因战争、自然灾害等不可抗力导致本理财产品无法正常运作。</w:t>
      </w:r>
    </w:p>
    <w:p>
      <w:pPr>
        <w:spacing w:line="360" w:lineRule="auto"/>
        <w:ind w:firstLine="456" w:firstLineChars="200"/>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（2）银行间市场交易所或证券交易所交易时间非正常停市，导致管理人无法计算当日本理财产品资产净值。</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（3）发生本理财产品说明书约定的暂停本理财产品资产估值情况。</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（4）投资者认购超过本产品说明书约定的发行规模上限、单笔认购上限、单一投资者持有上限等。</w:t>
      </w:r>
    </w:p>
    <w:p>
      <w:pPr>
        <w:pStyle w:val="21"/>
        <w:spacing w:line="360" w:lineRule="auto"/>
        <w:ind w:firstLine="424" w:firstLineChars="186"/>
        <w:jc w:val="left"/>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（5）理财产品管理人接受某笔或者某些认购申请有可能导致单一投资者持有理财产品份额的比例达到或者超过50%。</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（6）当本理财产品规模过大，管理人无法找到合适的投资品种，或存在其他可能对本理财产品投资业绩产生负面影响的情形时。</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（7）法律法规规定或国家金融监督管理总局等监管机构认定的其他情形。</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发生上述暂停认购等情形时，管理人应于3个交易日内按照产品说明书约定的信息披露方式进行公告</w:t>
      </w:r>
      <w:r>
        <w:rPr>
          <w:rFonts w:hint="eastAsia" w:ascii="Arial" w:hAnsi="Arial" w:cs="Arial"/>
          <w:color w:val="000000" w:themeColor="text1"/>
          <w:spacing w:val="4"/>
          <w:sz w:val="22"/>
          <w:szCs w:val="22"/>
          <w14:textFill>
            <w14:solidFill>
              <w14:schemeClr w14:val="tx1"/>
            </w14:solidFill>
          </w14:textFill>
        </w:rPr>
        <w:t>，并说明原因及应对安排</w:t>
      </w:r>
      <w:r>
        <w:rPr>
          <w:rFonts w:hint="eastAsia" w:cs="Arial" w:asciiTheme="minorEastAsia" w:hAnsiTheme="minorEastAsia" w:eastAsiaTheme="minorEastAsia"/>
          <w:color w:val="000000" w:themeColor="text1"/>
          <w:spacing w:val="4"/>
          <w:sz w:val="22"/>
          <w:szCs w:val="22"/>
          <w14:textFill>
            <w14:solidFill>
              <w14:schemeClr w14:val="tx1"/>
            </w14:solidFill>
          </w14:textFill>
        </w:rPr>
        <w:t>。如果投资者的认购申请被拒绝，被拒绝的认购款项将退还给投资者，管理人不承担投资者由此产生的利息等损失。在暂停认购的情况消除时，管理人应及时公告并恢复认购业务的办理。</w:t>
      </w:r>
    </w:p>
    <w:p>
      <w:pPr>
        <w:tabs>
          <w:tab w:val="left" w:pos="851"/>
        </w:tabs>
        <w:autoSpaceDE w:val="0"/>
        <w:autoSpaceDN w:val="0"/>
        <w:adjustRightInd w:val="0"/>
        <w:spacing w:line="360" w:lineRule="auto"/>
        <w:rPr>
          <w:rFonts w:ascii="Arial" w:hAnsi="Arial" w:cs="Arial"/>
          <w:snapToGrid w:val="0"/>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1.</w:t>
      </w:r>
      <w:r>
        <w:rPr>
          <w:rFonts w:cs="宋体" w:asciiTheme="minorEastAsia" w:hAnsiTheme="minorEastAsia" w:eastAsiaTheme="minorEastAsia"/>
          <w:b/>
          <w:kern w:val="0"/>
          <w:sz w:val="22"/>
          <w:szCs w:val="22"/>
        </w:rPr>
        <w:t xml:space="preserve"> 估值对象</w:t>
      </w:r>
    </w:p>
    <w:p>
      <w:pPr>
        <w:snapToGrid w:val="0"/>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2.</w:t>
      </w:r>
      <w:r>
        <w:rPr>
          <w:rFonts w:cs="宋体" w:asciiTheme="minorEastAsia" w:hAnsiTheme="minorEastAsia" w:eastAsiaTheme="minorEastAsia"/>
          <w:b/>
          <w:kern w:val="0"/>
          <w:sz w:val="22"/>
          <w:szCs w:val="22"/>
        </w:rPr>
        <w:t xml:space="preserve"> 估值日</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本理财</w:t>
      </w:r>
      <w:r>
        <w:rPr>
          <w:rFonts w:hint="eastAsia" w:cs="宋体" w:asciiTheme="minorEastAsia" w:hAnsiTheme="minorEastAsia" w:eastAsiaTheme="minorEastAsia"/>
          <w:kern w:val="0"/>
          <w:sz w:val="22"/>
          <w:szCs w:val="22"/>
        </w:rPr>
        <w:t>产品</w:t>
      </w:r>
      <w:r>
        <w:rPr>
          <w:rFonts w:cs="宋体" w:asciiTheme="minorEastAsia" w:hAnsiTheme="minorEastAsia" w:eastAsiaTheme="minorEastAsia"/>
          <w:kern w:val="0"/>
          <w:sz w:val="22"/>
          <w:szCs w:val="22"/>
        </w:rPr>
        <w:t>的估值日为存续期内的每个交易日</w:t>
      </w:r>
      <w:r>
        <w:rPr>
          <w:rFonts w:hint="eastAsia" w:cs="宋体" w:asciiTheme="minorEastAsia" w:hAnsiTheme="minorEastAsia" w:eastAsiaTheme="minorEastAsia"/>
          <w:kern w:val="0"/>
          <w:sz w:val="22"/>
          <w:szCs w:val="22"/>
        </w:rPr>
        <w:t>，平安理财</w:t>
      </w:r>
      <w:r>
        <w:rPr>
          <w:rFonts w:cs="宋体" w:asciiTheme="minorEastAsia" w:hAnsiTheme="minorEastAsia" w:eastAsiaTheme="minorEastAsia"/>
          <w:kern w:val="0"/>
          <w:sz w:val="22"/>
          <w:szCs w:val="22"/>
        </w:rPr>
        <w:t>于估值日后</w:t>
      </w:r>
      <w:r>
        <w:rPr>
          <w:rFonts w:hint="eastAsia" w:cs="宋体" w:asciiTheme="minorEastAsia" w:hAnsiTheme="minorEastAsia" w:eastAsiaTheme="minorEastAsia"/>
          <w:kern w:val="0"/>
          <w:sz w:val="22"/>
          <w:szCs w:val="22"/>
        </w:rPr>
        <w:t>2</w:t>
      </w:r>
      <w:r>
        <w:rPr>
          <w:rFonts w:cs="宋体" w:asciiTheme="minorEastAsia" w:hAnsiTheme="minorEastAsia" w:eastAsiaTheme="minorEastAsia"/>
          <w:kern w:val="0"/>
          <w:sz w:val="22"/>
          <w:szCs w:val="22"/>
        </w:rPr>
        <w:t>个</w:t>
      </w:r>
      <w:r>
        <w:rPr>
          <w:rFonts w:hint="eastAsia" w:cs="宋体" w:asciiTheme="minorEastAsia" w:hAnsiTheme="minorEastAsia" w:eastAsiaTheme="minorEastAsia"/>
          <w:kern w:val="0"/>
          <w:sz w:val="22"/>
          <w:szCs w:val="22"/>
        </w:rPr>
        <w:t>交易日</w:t>
      </w:r>
      <w:r>
        <w:rPr>
          <w:rFonts w:cs="宋体" w:asciiTheme="minorEastAsia" w:hAnsiTheme="minorEastAsia" w:eastAsiaTheme="minorEastAsia"/>
          <w:kern w:val="0"/>
          <w:sz w:val="22"/>
          <w:szCs w:val="22"/>
        </w:rPr>
        <w:t>内对该估值日的</w:t>
      </w:r>
      <w:r>
        <w:rPr>
          <w:rFonts w:hint="eastAsia" w:cs="宋体" w:asciiTheme="minorEastAsia" w:hAnsiTheme="minorEastAsia" w:eastAsiaTheme="minorEastAsia"/>
          <w:kern w:val="0"/>
          <w:sz w:val="22"/>
          <w:szCs w:val="22"/>
        </w:rPr>
        <w:t>理财产品</w:t>
      </w:r>
      <w:r>
        <w:rPr>
          <w:rFonts w:cs="宋体" w:asciiTheme="minorEastAsia" w:hAnsiTheme="minorEastAsia" w:eastAsiaTheme="minorEastAsia"/>
          <w:kern w:val="0"/>
          <w:sz w:val="22"/>
          <w:szCs w:val="22"/>
        </w:rPr>
        <w:t>进行估值</w:t>
      </w:r>
      <w:r>
        <w:rPr>
          <w:rFonts w:hint="eastAsia" w:cs="宋体" w:asciiTheme="minorEastAsia" w:hAnsiTheme="minorEastAsia" w:eastAsiaTheme="minorEastAsia"/>
          <w:kern w:val="0"/>
          <w:sz w:val="22"/>
          <w:szCs w:val="22"/>
        </w:rPr>
        <w:t>。平安理财至少每周公布一次产品资产净值和份额净值，原则上于每周五公布产品份额净值。如遇非交易日则顺延到最近一个交易日披露。产品份额净值</w:t>
      </w:r>
      <w:r>
        <w:rPr>
          <w:rFonts w:cs="宋体" w:asciiTheme="minorEastAsia" w:hAnsiTheme="minorEastAsia" w:eastAsiaTheme="minorEastAsia"/>
          <w:kern w:val="0"/>
          <w:sz w:val="22"/>
          <w:szCs w:val="22"/>
        </w:rPr>
        <w:t>精确到小数点后4位，小数点4位以后</w:t>
      </w:r>
      <w:r>
        <w:rPr>
          <w:rFonts w:hint="eastAsia" w:cs="宋体" w:asciiTheme="minorEastAsia" w:hAnsiTheme="minorEastAsia" w:eastAsiaTheme="minorEastAsia"/>
          <w:kern w:val="0"/>
          <w:sz w:val="22"/>
          <w:szCs w:val="22"/>
        </w:rPr>
        <w:t>四舍五入</w:t>
      </w:r>
      <w:r>
        <w:rPr>
          <w:rFonts w:cs="宋体" w:asciiTheme="minorEastAsia" w:hAnsiTheme="minorEastAsia" w:eastAsiaTheme="minorEastAsia"/>
          <w:kern w:val="0"/>
          <w:sz w:val="22"/>
          <w:szCs w:val="22"/>
        </w:rPr>
        <w:t>。</w:t>
      </w:r>
      <w:r>
        <w:rPr>
          <w:rFonts w:hint="eastAsia" w:cs="宋体" w:asciiTheme="minorEastAsia" w:hAnsiTheme="minorEastAsia" w:eastAsiaTheme="minorEastAsia"/>
          <w:kern w:val="0"/>
          <w:sz w:val="22"/>
          <w:szCs w:val="22"/>
        </w:rPr>
        <w:t>平安理财有权根据实际情况调整上述规则并公告。</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3.</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估值方法</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具体估值方法如下：</w:t>
      </w:r>
    </w:p>
    <w:p>
      <w:pPr>
        <w:pStyle w:val="21"/>
        <w:numPr>
          <w:ilvl w:val="0"/>
          <w:numId w:val="7"/>
        </w:numPr>
        <w:spacing w:line="360" w:lineRule="auto"/>
        <w:ind w:left="0"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货币市场工具类资产的估值：</w:t>
      </w:r>
    </w:p>
    <w:p>
      <w:pPr>
        <w:pStyle w:val="21"/>
        <w:numPr>
          <w:ilvl w:val="0"/>
          <w:numId w:val="8"/>
        </w:numPr>
        <w:spacing w:line="360" w:lineRule="auto"/>
        <w:ind w:left="425" w:firstLine="1"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一般性存款按其适用利率逐日计提利息；</w:t>
      </w:r>
    </w:p>
    <w:p>
      <w:pPr>
        <w:pStyle w:val="21"/>
        <w:numPr>
          <w:ilvl w:val="0"/>
          <w:numId w:val="8"/>
        </w:numPr>
        <w:spacing w:line="360" w:lineRule="auto"/>
        <w:ind w:left="425" w:firstLine="1"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债券回购和拆借、同业存款按其约定利率逐日计提利息。</w:t>
      </w:r>
    </w:p>
    <w:p>
      <w:pPr>
        <w:pStyle w:val="21"/>
        <w:numPr>
          <w:ilvl w:val="0"/>
          <w:numId w:val="7"/>
        </w:numPr>
        <w:spacing w:line="360" w:lineRule="auto"/>
        <w:ind w:left="-2" w:leftChars="-1"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以摊余成本计量的资产：</w:t>
      </w:r>
    </w:p>
    <w:p>
      <w:pPr>
        <w:pStyle w:val="21"/>
        <w:numPr>
          <w:ilvl w:val="0"/>
          <w:numId w:val="9"/>
        </w:numPr>
        <w:spacing w:line="360" w:lineRule="auto"/>
        <w:ind w:left="0"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1"/>
        <w:numPr>
          <w:ilvl w:val="0"/>
          <w:numId w:val="9"/>
        </w:numPr>
        <w:spacing w:line="360" w:lineRule="auto"/>
        <w:ind w:left="0"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1"/>
        <w:numPr>
          <w:ilvl w:val="0"/>
          <w:numId w:val="7"/>
        </w:numPr>
        <w:spacing w:line="360" w:lineRule="auto"/>
        <w:ind w:left="-2" w:leftChars="-1"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以公允价值计量且其变动计入当期损益的资产：</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在证券交易所和全国银行间市场交易的债券类资产的估值：</w:t>
      </w:r>
    </w:p>
    <w:p>
      <w:pPr>
        <w:pStyle w:val="21"/>
        <w:numPr>
          <w:ilvl w:val="0"/>
          <w:numId w:val="11"/>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不含转股权的债券，按第三方估值机构（中债、中证等）提供的估值数据，对本理财产品持有的债券进行估值，具体第三方估值机构及取值方法由管理人和托管人具体协商确定；</w:t>
      </w:r>
    </w:p>
    <w:p>
      <w:pPr>
        <w:pStyle w:val="21"/>
        <w:numPr>
          <w:ilvl w:val="0"/>
          <w:numId w:val="11"/>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 xml:space="preserve">含转股权的债券（如可转换债券、可交换债券等），实行全价交易的，按照估值日收盘价减去收盘价中所含债券应收利息后得到的净价进行估值；实行净价交易的，采用估值日收盘价估值； </w:t>
      </w:r>
    </w:p>
    <w:p>
      <w:pPr>
        <w:pStyle w:val="21"/>
        <w:numPr>
          <w:ilvl w:val="0"/>
          <w:numId w:val="11"/>
        </w:numPr>
        <w:spacing w:line="360" w:lineRule="auto"/>
        <w:ind w:left="0" w:firstLine="567" w:firstLineChars="0"/>
        <w:rPr>
          <w:rFonts w:cs="Arial" w:asciiTheme="minorEastAsia" w:hAnsiTheme="minorEastAsia" w:eastAsiaTheme="minorEastAsia"/>
          <w:color w:val="000000"/>
          <w:sz w:val="22"/>
          <w:szCs w:val="22"/>
        </w:rPr>
      </w:pPr>
      <w:r>
        <w:rPr>
          <w:rFonts w:hint="eastAsia" w:cs="Arial" w:asciiTheme="minorEastAsia" w:hAnsiTheme="minorEastAsia" w:eastAsiaTheme="minorEastAsia"/>
          <w:color w:val="000000"/>
          <w:sz w:val="22"/>
          <w:szCs w:val="22"/>
        </w:rPr>
        <w:t>同一债券同时在两个或两个以上市场交易的，按债券所处的市场分别估值。</w:t>
      </w:r>
    </w:p>
    <w:p>
      <w:pPr>
        <w:pStyle w:val="21"/>
        <w:numPr>
          <w:ilvl w:val="0"/>
          <w:numId w:val="11"/>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如监管对此另有规定的，按照监管的最新规定进行调整。</w:t>
      </w:r>
    </w:p>
    <w:p>
      <w:pPr>
        <w:pStyle w:val="21"/>
        <w:numPr>
          <w:ilvl w:val="0"/>
          <w:numId w:val="10"/>
        </w:numPr>
        <w:spacing w:line="360" w:lineRule="auto"/>
        <w:ind w:left="0" w:firstLine="426" w:firstLineChars="0"/>
        <w:rPr>
          <w:rFonts w:asciiTheme="minorEastAsia" w:hAnsiTheme="minorEastAsia" w:eastAsiaTheme="minorEastAsia"/>
          <w:sz w:val="22"/>
          <w:szCs w:val="22"/>
        </w:rPr>
      </w:pPr>
      <w:r>
        <w:rPr>
          <w:rFonts w:hint="eastAsia" w:asciiTheme="minorEastAsia" w:hAnsiTheme="minorEastAsia" w:eastAsiaTheme="minorEastAsia"/>
          <w:sz w:val="22"/>
          <w:szCs w:val="22"/>
        </w:rPr>
        <w:t>证券投资基金的估值</w:t>
      </w:r>
    </w:p>
    <w:p>
      <w:pPr>
        <w:pStyle w:val="21"/>
        <w:numPr>
          <w:ilvl w:val="0"/>
          <w:numId w:val="12"/>
        </w:numPr>
        <w:spacing w:line="360" w:lineRule="auto"/>
        <w:ind w:hanging="278"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非上市基金估值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境内非货币市场基金，按所投资基金估值日的份额净值估值；境内货币市场基金，按所投资基金前一估值日后至估值日期间（含节假日）的万份收益计提估值日基金收益。</w:t>
      </w:r>
    </w:p>
    <w:p>
      <w:pPr>
        <w:pStyle w:val="21"/>
        <w:numPr>
          <w:ilvl w:val="0"/>
          <w:numId w:val="12"/>
        </w:numPr>
        <w:spacing w:line="360" w:lineRule="auto"/>
        <w:ind w:hanging="278"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上市基金估值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交易所上市流通的基金，按估值日其所在证券交易所的收盘价估值</w:t>
      </w:r>
      <w:r>
        <w:rPr>
          <w:rFonts w:cs="宋体" w:asciiTheme="minorEastAsia" w:hAnsiTheme="minorEastAsia" w:eastAsiaTheme="minorEastAsia"/>
          <w:kern w:val="0"/>
          <w:sz w:val="22"/>
          <w:szCs w:val="22"/>
        </w:rPr>
        <w:t>,</w:t>
      </w:r>
      <w:r>
        <w:rPr>
          <w:rFonts w:hint="eastAsia" w:cs="宋体" w:asciiTheme="minorEastAsia" w:hAnsiTheme="minorEastAsia" w:eastAsiaTheme="minorEastAsia"/>
          <w:kern w:val="0"/>
          <w:sz w:val="22"/>
          <w:szCs w:val="22"/>
        </w:rPr>
        <w:t xml:space="preserve"> 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LOF），按所投资基金估值日的份额净值估值；公募</w:t>
      </w:r>
      <w:r>
        <w:rPr>
          <w:rFonts w:cs="宋体" w:asciiTheme="minorEastAsia" w:hAnsiTheme="minorEastAsia" w:eastAsiaTheme="minorEastAsia"/>
          <w:kern w:val="0"/>
          <w:sz w:val="22"/>
          <w:szCs w:val="22"/>
        </w:rPr>
        <w:t xml:space="preserve"> </w:t>
      </w:r>
      <w:r>
        <w:rPr>
          <w:rFonts w:hint="eastAsia" w:cs="宋体" w:asciiTheme="minorEastAsia" w:hAnsiTheme="minorEastAsia" w:eastAsiaTheme="minorEastAsia"/>
          <w:kern w:val="0"/>
          <w:sz w:val="22"/>
          <w:szCs w:val="22"/>
        </w:rPr>
        <w:t>REITs，按监管机构或行业协会有关规定确定公允价值。</w:t>
      </w:r>
    </w:p>
    <w:p>
      <w:pPr>
        <w:pStyle w:val="21"/>
        <w:numPr>
          <w:ilvl w:val="0"/>
          <w:numId w:val="12"/>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如遇所投资基金不公布基金份额净值、进行折算或拆分、估值日无交易等特殊情况，按照以下原则进行估值：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①以所投基金的基金份额净值估值的，若所投资基金管理人未公布估值日基金份额净值，按其最近公布的基金份额净值为基础估值。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其他资产管理产品的估值：</w:t>
      </w:r>
    </w:p>
    <w:p>
      <w:pPr>
        <w:pStyle w:val="21"/>
        <w:numPr>
          <w:ilvl w:val="0"/>
          <w:numId w:val="13"/>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以估值日截止时点能够获得的、由所投资产管理产品的管理人和资产托管人共同确认的最新份额净值或投资收益情况进行估值；</w:t>
      </w:r>
    </w:p>
    <w:p>
      <w:pPr>
        <w:pStyle w:val="21"/>
        <w:numPr>
          <w:ilvl w:val="0"/>
          <w:numId w:val="13"/>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如所投资产管理产品的产品合同未约定估值方案或其管理人提供的估值数据不公允，由管理人和托管人根据合理判断按反映产品公允价值的计量方案进行估值。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衍生品金融工具估值，包括但不限于利率互换等：</w:t>
      </w:r>
    </w:p>
    <w:p>
      <w:pPr>
        <w:pStyle w:val="21"/>
        <w:numPr>
          <w:ilvl w:val="0"/>
          <w:numId w:val="14"/>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场内交易的衍生品金融工具，以交易所最近交易日结算价或收盘价进行估值；</w:t>
      </w:r>
    </w:p>
    <w:p>
      <w:pPr>
        <w:pStyle w:val="21"/>
        <w:numPr>
          <w:ilvl w:val="0"/>
          <w:numId w:val="14"/>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场外交易的衍生品金融工具，采用估值技术确定其公允价值，按照管理人和托管人认可的估值模型或第三方数据进行估值。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优先股的估值：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优先股按第三方估值机构（中债、中证等）提供的估值数据进行估值；无第三方估值的，由管理人和托管人根据合理判断按反映产品公允价值的计量方案进行估值。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结构性产品的估值：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结构性产品以发行人提供的最新估值价格或管理人与托管人认可的估值技术进行估值。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非标准化债权类资产的估值：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非标准化债权类资产按照管理人和托管人认可的估值方式进行估值。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证券交易所上市的权益类有价证券的估值：</w:t>
      </w:r>
    </w:p>
    <w:p>
      <w:pPr>
        <w:pStyle w:val="21"/>
        <w:spacing w:line="360" w:lineRule="auto"/>
        <w:ind w:firstLine="424" w:firstLineChars="193"/>
        <w:rPr>
          <w:rFonts w:asciiTheme="minorEastAsia" w:hAnsiTheme="minorEastAsia" w:eastAsiaTheme="minorEastAsia"/>
          <w:spacing w:val="4"/>
          <w:sz w:val="22"/>
          <w:szCs w:val="22"/>
        </w:rPr>
      </w:pPr>
      <w:r>
        <w:rPr>
          <w:rFonts w:hint="eastAsia" w:cs="宋体" w:asciiTheme="minorEastAsia" w:hAnsiTheme="minorEastAsia" w:eastAsiaTheme="minorEastAsia"/>
          <w:kern w:val="0"/>
          <w:sz w:val="22"/>
          <w:szCs w:val="22"/>
        </w:rPr>
        <w:t>交易所上市的权益类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Pr>
          <w:rFonts w:hint="eastAsia" w:asciiTheme="minorEastAsia" w:hAnsiTheme="minorEastAsia" w:eastAsiaTheme="minorEastAsia"/>
          <w:spacing w:val="4"/>
          <w:sz w:val="22"/>
          <w:szCs w:val="22"/>
        </w:rPr>
        <w:t>港股通投资持有外币证券资产估值涉及到港币对人民币汇率的，可参考当日中国人民银行或其授权机构公布的人民币汇率中间价，或其他可以反映公允价值的汇率进行估值。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其他类资产的估值：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若本理财产品存续期间持有其他投资品种，以管理人和托管人共同认可的方法估值。</w:t>
      </w:r>
    </w:p>
    <w:p>
      <w:pPr>
        <w:spacing w:line="360" w:lineRule="auto"/>
        <w:ind w:firstLine="424" w:firstLineChars="193"/>
        <w:rPr>
          <w:rFonts w:ascii="Arial" w:hAnsi="Arial" w:cs="Arial"/>
          <w:color w:val="000000" w:themeColor="text1"/>
          <w:sz w:val="22"/>
          <w:szCs w:val="22"/>
          <w14:textFill>
            <w14:solidFill>
              <w14:schemeClr w14:val="tx1"/>
            </w14:solidFill>
          </w14:textFill>
        </w:rPr>
      </w:pPr>
      <w:r>
        <w:rPr>
          <w:rFonts w:hint="eastAsia" w:cs="宋体" w:asciiTheme="minorEastAsia" w:hAnsiTheme="minorEastAsia" w:eastAsiaTheme="minorEastAsia"/>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相关法律法规以及监管部门、自律规则另有规定的，从其规定。如有新增事项，按国家最新规定估值。</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4.</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暂停估值的情形</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根据本理财产品投资所涉及的交易场所遇法定假日或因其它原因暂停营业时；</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因其他任何不可抗力致使产品管理人（或其授权人）、产品托管人无法准确评估理财所投资产价值时；</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占本理财产品所投资产相当比例的投资品种的估值出现重大转变，而产品管理人（或其授权人）为保障资产委托人的利益，决定延迟估值并征得产品托管人同意的；</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监管部门认定的其他情形。</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5.</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估值错误的处理</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（1）估值错误处理原则</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 xml:space="preserve"> </w:t>
      </w:r>
      <w:r>
        <w:rPr>
          <w:rFonts w:hint="eastAsia" w:cs="宋体" w:asciiTheme="minorEastAsia" w:hAnsiTheme="minorEastAsia" w:eastAsiaTheme="minorEastAsia"/>
          <w:kern w:val="0"/>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4</w:t>
      </w:r>
      <w:r>
        <w:rPr>
          <w:rFonts w:hint="eastAsia" w:cs="宋体" w:asciiTheme="minorEastAsia" w:hAnsiTheme="minorEastAsia" w:eastAsiaTheme="minorEastAsia"/>
          <w:kern w:val="0"/>
          <w:sz w:val="22"/>
          <w:szCs w:val="22"/>
        </w:rPr>
        <w:t>）当估值出现错误时，因估值错误而获得不当得利的投资者负有及时返还不当得利的义务。</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5</w:t>
      </w:r>
      <w:r>
        <w:rPr>
          <w:rFonts w:hint="eastAsia" w:cs="宋体" w:asciiTheme="minorEastAsia" w:hAnsiTheme="minorEastAsia" w:eastAsiaTheme="minorEastAsia"/>
          <w:kern w:val="0"/>
          <w:sz w:val="22"/>
          <w:szCs w:val="22"/>
        </w:rPr>
        <w:t>）按法律法规规定的其他原则处理估值错误。</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）估值错误处理程序</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估值错误被发现后，有关的当事人应当及时进行处理，处理的程序如下：</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）查明估值错误发生的原因，列明所有的当事人，并根据估值错误发生的原因确定估值错误的责任方；</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）根据估值错误处理原则或当事人协商的方法对因估值错误造成的损失进行评估；</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）根据估值错误处理原则或当事人协商的方法由估值错误的责任方进行更正和赔偿损失；</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4</w:t>
      </w:r>
      <w:r>
        <w:rPr>
          <w:rFonts w:hint="eastAsia" w:cs="宋体" w:asciiTheme="minorEastAsia" w:hAnsiTheme="minorEastAsia" w:eastAsiaTheme="minorEastAsia"/>
          <w:kern w:val="0"/>
          <w:sz w:val="22"/>
          <w:szCs w:val="22"/>
        </w:rPr>
        <w:t>）根据估值错误处理的方法，需要修改理财产品登记机构交易数据的，由理财产品管理人进行更正，并就估值错误的更正向有关当事人进行确认。</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）特殊情况的处理</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6.</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其他</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若因国家规定或有确凿证据表明按上述方法进行计价不能客观反映公允价值的，产品管理人有权按照最能反映其公允价值的方法计价，并及时向投资者公告。</w:t>
      </w:r>
    </w:p>
    <w:p>
      <w:pPr>
        <w:snapToGrid w:val="0"/>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1"/>
        <w:widowControl/>
        <w:numPr>
          <w:ilvl w:val="0"/>
          <w:numId w:val="16"/>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费用按本产品说明书及</w:t>
      </w:r>
      <w:r>
        <w:rPr>
          <w:rFonts w:hint="eastAsia" w:ascii="Arial" w:hAnsi="Arial" w:cs="Arial"/>
          <w:color w:val="000000"/>
          <w:sz w:val="22"/>
          <w:szCs w:val="22"/>
        </w:rPr>
        <w:t>产品</w:t>
      </w:r>
      <w:r>
        <w:rPr>
          <w:rFonts w:ascii="Arial" w:hAnsi="Arial" w:cs="Arial"/>
          <w:color w:val="000000"/>
          <w:sz w:val="22"/>
          <w:szCs w:val="22"/>
        </w:rPr>
        <w:t>管理人与费用收取方之间的协议约定从理财产品资产中支付。</w:t>
      </w:r>
      <w:r>
        <w:rPr>
          <w:rFonts w:hint="eastAsia" w:ascii="Arial" w:hAnsi="Arial" w:cs="Arial"/>
          <w:color w:val="000000"/>
          <w:sz w:val="22"/>
          <w:szCs w:val="22"/>
        </w:rPr>
        <w:t>产品</w:t>
      </w:r>
      <w:r>
        <w:rPr>
          <w:rFonts w:ascii="Arial" w:hAnsi="Arial" w:cs="Arial"/>
          <w:color w:val="000000"/>
          <w:sz w:val="22"/>
          <w:szCs w:val="22"/>
        </w:rPr>
        <w:t>管理人或理财产品参与方以固有财产先行垫付的，有权从理财产品资产中优先受偿。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w:t>
      </w:r>
      <w:r>
        <w:rPr>
          <w:rFonts w:ascii="Arial" w:hAnsi="Arial" w:cs="Arial"/>
          <w:color w:val="000000"/>
          <w:sz w:val="22"/>
          <w:szCs w:val="22"/>
        </w:rPr>
        <w:t>/B</w:t>
      </w:r>
      <w:r>
        <w:rPr>
          <w:rFonts w:hint="eastAsia" w:ascii="Arial" w:hAnsi="Arial" w:cs="Arial"/>
          <w:color w:val="000000"/>
          <w:sz w:val="22"/>
          <w:szCs w:val="22"/>
        </w:rPr>
        <w:t>类份额</w:t>
      </w:r>
      <w:r>
        <w:rPr>
          <w:rFonts w:ascii="Arial" w:hAnsi="Arial" w:cs="Arial"/>
          <w:color w:val="000000"/>
          <w:sz w:val="22"/>
          <w:szCs w:val="22"/>
        </w:rPr>
        <w:t>固定管理费按前一</w:t>
      </w:r>
      <w:r>
        <w:rPr>
          <w:rFonts w:hint="eastAsia" w:ascii="Arial" w:hAnsi="Arial" w:cs="Arial"/>
          <w:color w:val="000000"/>
          <w:sz w:val="22"/>
          <w:szCs w:val="22"/>
        </w:rPr>
        <w:t>日</w:t>
      </w:r>
      <w:r>
        <w:rPr>
          <w:rFonts w:ascii="Arial" w:hAnsi="Arial" w:cs="Arial"/>
          <w:color w:val="000000"/>
          <w:sz w:val="22"/>
          <w:szCs w:val="22"/>
        </w:rPr>
        <w:t>理财产品资产净值的</w:t>
      </w:r>
      <w:r>
        <w:rPr>
          <w:rFonts w:hint="eastAsia" w:ascii="Arial" w:hAnsi="Arial" w:cs="Arial"/>
          <w:color w:val="000000"/>
          <w:sz w:val="22"/>
          <w:szCs w:val="22"/>
        </w:rPr>
        <w:t>0.2</w:t>
      </w:r>
      <w:r>
        <w:rPr>
          <w:rFonts w:ascii="Arial" w:hAnsi="Arial" w:cs="Arial"/>
          <w:color w:val="000000"/>
          <w:sz w:val="22"/>
          <w:szCs w:val="22"/>
        </w:rPr>
        <w:t>0%</w:t>
      </w:r>
      <w:r>
        <w:rPr>
          <w:rFonts w:hint="eastAsia" w:ascii="Arial" w:hAnsi="Arial" w:cs="Arial"/>
          <w:sz w:val="22"/>
          <w:szCs w:val="22"/>
        </w:rPr>
        <w:t>（含）/</w:t>
      </w:r>
      <w:r>
        <w:rPr>
          <w:rFonts w:ascii="Arial" w:hAnsi="Arial" w:cs="Arial"/>
          <w:color w:val="000000"/>
          <w:sz w:val="22"/>
          <w:szCs w:val="22"/>
        </w:rPr>
        <w:t>年费率计提。计算方法如下：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×固定管理费率÷365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产品固定管理费每日计提，按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w:t>
      </w:r>
      <w:r>
        <w:rPr>
          <w:rFonts w:ascii="Arial" w:hAnsi="Arial" w:cs="Arial"/>
          <w:color w:val="000000"/>
          <w:sz w:val="22"/>
          <w:szCs w:val="22"/>
        </w:rPr>
        <w:t>/B</w:t>
      </w:r>
      <w:r>
        <w:rPr>
          <w:rFonts w:hint="eastAsia" w:ascii="Arial" w:hAnsi="Arial" w:cs="Arial"/>
          <w:color w:val="000000"/>
          <w:sz w:val="22"/>
          <w:szCs w:val="22"/>
        </w:rPr>
        <w:t>类份额</w:t>
      </w:r>
      <w:r>
        <w:rPr>
          <w:rFonts w:ascii="Arial" w:hAnsi="Arial" w:cs="Arial"/>
          <w:color w:val="000000"/>
          <w:sz w:val="22"/>
          <w:szCs w:val="22"/>
        </w:rPr>
        <w:t>托管费按前一日理财产品资产净值的</w:t>
      </w:r>
      <w:r>
        <w:rPr>
          <w:rFonts w:hint="eastAsia" w:ascii="Arial" w:hAnsi="Arial" w:cs="Arial"/>
          <w:color w:val="000000"/>
          <w:sz w:val="22"/>
          <w:szCs w:val="22"/>
        </w:rPr>
        <w:t>0.03</w:t>
      </w:r>
      <w:r>
        <w:rPr>
          <w:rFonts w:ascii="Arial" w:hAnsi="Arial" w:cs="Arial"/>
          <w:color w:val="000000"/>
          <w:sz w:val="22"/>
          <w:szCs w:val="22"/>
        </w:rPr>
        <w:t>%</w:t>
      </w:r>
      <w:r>
        <w:rPr>
          <w:rFonts w:hint="eastAsia" w:ascii="Arial" w:hAnsi="Arial" w:cs="Arial"/>
          <w:sz w:val="22"/>
          <w:szCs w:val="22"/>
        </w:rPr>
        <w:t>（含）/</w:t>
      </w:r>
      <w:r>
        <w:rPr>
          <w:rFonts w:ascii="Arial" w:hAnsi="Arial" w:cs="Arial"/>
          <w:color w:val="000000"/>
          <w:sz w:val="22"/>
          <w:szCs w:val="22"/>
        </w:rPr>
        <w:t>年费率计提。计算方法如下：</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×产品托管费率÷365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bookmarkStart w:id="4" w:name="_GoBack"/>
      <w:bookmarkEnd w:id="4"/>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0.2</w:t>
      </w:r>
      <w:r>
        <w:rPr>
          <w:rFonts w:ascii="Arial" w:hAnsi="Arial" w:cs="Arial"/>
          <w:color w:val="000000"/>
          <w:sz w:val="22"/>
          <w:szCs w:val="22"/>
        </w:rPr>
        <w:t>0%</w:t>
      </w:r>
      <w:r>
        <w:rPr>
          <w:rFonts w:hint="eastAsia" w:ascii="Arial" w:hAnsi="Arial" w:cs="Arial"/>
          <w:sz w:val="22"/>
          <w:szCs w:val="22"/>
        </w:rPr>
        <w:t>（含）/</w:t>
      </w:r>
      <w:r>
        <w:rPr>
          <w:rFonts w:ascii="Arial" w:hAnsi="Arial" w:cs="Arial"/>
          <w:color w:val="000000"/>
          <w:sz w:val="22"/>
          <w:szCs w:val="22"/>
        </w:rPr>
        <w:t>年费率计提</w:t>
      </w:r>
      <w:r>
        <w:rPr>
          <w:rFonts w:hint="eastAsia" w:ascii="Arial" w:hAnsi="Arial" w:cs="Arial"/>
          <w:color w:val="000000"/>
          <w:sz w:val="22"/>
          <w:szCs w:val="22"/>
        </w:rPr>
        <w:t>，</w:t>
      </w:r>
      <w:r>
        <w:rPr>
          <w:rFonts w:ascii="Arial" w:hAnsi="Arial" w:cs="Arial"/>
          <w:color w:val="000000"/>
          <w:sz w:val="22"/>
          <w:szCs w:val="22"/>
        </w:rPr>
        <w:t>B</w:t>
      </w:r>
      <w:r>
        <w:rPr>
          <w:rFonts w:hint="eastAsia" w:ascii="Arial" w:hAnsi="Arial" w:cs="Arial"/>
          <w:color w:val="000000"/>
          <w:sz w:val="22"/>
          <w:szCs w:val="22"/>
        </w:rPr>
        <w:t>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0.25</w:t>
      </w:r>
      <w:r>
        <w:rPr>
          <w:rFonts w:ascii="Arial" w:hAnsi="Arial" w:cs="Arial"/>
          <w:color w:val="000000"/>
          <w:sz w:val="22"/>
          <w:szCs w:val="22"/>
        </w:rPr>
        <w:t>%</w:t>
      </w:r>
      <w:r>
        <w:rPr>
          <w:rFonts w:hint="eastAsia" w:ascii="Arial" w:hAnsi="Arial" w:cs="Arial"/>
          <w:sz w:val="22"/>
          <w:szCs w:val="22"/>
        </w:rPr>
        <w:t>（含）/</w:t>
      </w:r>
      <w:r>
        <w:rPr>
          <w:rFonts w:ascii="Arial" w:hAnsi="Arial" w:cs="Arial"/>
          <w:color w:val="000000"/>
          <w:sz w:val="22"/>
          <w:szCs w:val="22"/>
        </w:rPr>
        <w:t>年费率计提。计算方法如下：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×销售服务费率÷365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产品销售服务费每日计提，按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p>
      <w:pPr>
        <w:widowControl/>
        <w:numPr>
          <w:ilvl w:val="0"/>
          <w:numId w:val="17"/>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本理财产品的产品成立日不计提</w:t>
      </w:r>
      <w:r>
        <w:rPr>
          <w:rFonts w:hint="eastAsia" w:ascii="Arial" w:hAnsi="Arial" w:cs="Arial"/>
          <w:b/>
          <w:color w:val="000000"/>
          <w:sz w:val="22"/>
          <w:szCs w:val="22"/>
        </w:rPr>
        <w:t>固定</w:t>
      </w:r>
      <w:r>
        <w:rPr>
          <w:rFonts w:ascii="Arial" w:hAnsi="Arial" w:cs="Arial"/>
          <w:b/>
          <w:color w:val="000000"/>
          <w:sz w:val="22"/>
          <w:szCs w:val="22"/>
        </w:rPr>
        <w:t>费用。</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hint="eastAsia" w:ascii="Arial" w:hAnsi="Arial" w:cs="Arial"/>
          <w:b/>
          <w:color w:val="000000"/>
          <w:sz w:val="22"/>
          <w:szCs w:val="22"/>
        </w:rPr>
        <w:t>如本理财产品的某类份额发生全部赎回，自该份额全部赎回确认之日起不再计提相关费用。</w:t>
      </w:r>
    </w:p>
    <w:p>
      <w:pPr>
        <w:pStyle w:val="21"/>
        <w:widowControl/>
        <w:numPr>
          <w:ilvl w:val="0"/>
          <w:numId w:val="16"/>
        </w:numPr>
        <w:spacing w:line="360" w:lineRule="auto"/>
        <w:ind w:left="0" w:firstLine="510" w:firstLineChars="0"/>
        <w:jc w:val="left"/>
        <w:rPr>
          <w:rFonts w:ascii="Arial" w:hAnsi="Arial" w:cs="Arial"/>
          <w:color w:val="000000"/>
          <w:sz w:val="22"/>
          <w:szCs w:val="22"/>
        </w:rPr>
      </w:pPr>
      <w:r>
        <w:rPr>
          <w:rFonts w:ascii="Arial" w:hAnsi="Arial" w:cs="Arial"/>
          <w:sz w:val="22"/>
          <w:szCs w:val="22"/>
        </w:rPr>
        <w:t>认购费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w:t>
      </w:r>
      <w:r>
        <w:rPr>
          <w:rFonts w:ascii="Arial" w:hAnsi="Arial" w:cs="Arial"/>
          <w:sz w:val="22"/>
          <w:szCs w:val="22"/>
        </w:rPr>
        <w:t>认购费</w:t>
      </w:r>
      <w:r>
        <w:rPr>
          <w:rFonts w:hint="eastAsia" w:ascii="Arial" w:hAnsi="Arial" w:cs="Arial"/>
          <w:sz w:val="22"/>
          <w:szCs w:val="22"/>
        </w:rPr>
        <w:t>。若费率发生调整，以管理人公告为准。</w:t>
      </w:r>
    </w:p>
    <w:p>
      <w:pPr>
        <w:pStyle w:val="21"/>
        <w:widowControl/>
        <w:numPr>
          <w:ilvl w:val="0"/>
          <w:numId w:val="16"/>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Day"/>
      <w:bookmarkEnd w:id="0"/>
      <w:bookmarkStart w:id="1" w:name="TCSignMonth"/>
      <w:bookmarkEnd w:id="1"/>
      <w:bookmarkStart w:id="2" w:name="TAttachment"/>
      <w:bookmarkEnd w:id="2"/>
      <w:bookmarkStart w:id="3" w:name="TCSignYear"/>
      <w:bookmarkEnd w:id="3"/>
      <w:r>
        <w:rPr>
          <w:rFonts w:hint="eastAsia" w:ascii="Arial" w:hAnsi="Arial" w:cs="Arial"/>
          <w:sz w:val="22"/>
          <w:szCs w:val="22"/>
        </w:rPr>
        <w:t>管理人有权根据国家政策和适用法律法规的规定，对本理财产品收费项目、收费条件、计算方法、收取方式及费率等在约定范围内进行调整，具体以管理人当期公告为准。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产品说明书变动自信息披露期结束后自动生效。投资者如不同意调整的，可在</w:t>
      </w:r>
      <w:r>
        <w:rPr>
          <w:rFonts w:hint="eastAsia" w:ascii="宋体" w:hAnsi="宋体"/>
          <w:sz w:val="22"/>
          <w:szCs w:val="22"/>
        </w:rPr>
        <w:t>管理人</w:t>
      </w:r>
      <w:r>
        <w:rPr>
          <w:rFonts w:ascii="Arial" w:hAnsi="Arial" w:cs="Arial"/>
          <w:sz w:val="22"/>
          <w:szCs w:val="22"/>
        </w:rPr>
        <w:t>信息披露的补充或修改后的相关业务调整生效前赎回本理财产品</w:t>
      </w:r>
      <w:r>
        <w:rPr>
          <w:rFonts w:hint="eastAsia" w:ascii="Arial" w:hAnsi="Arial" w:cs="Arial"/>
          <w:sz w:val="22"/>
          <w:szCs w:val="22"/>
        </w:rPr>
        <w:t>，</w:t>
      </w:r>
      <w:r>
        <w:rPr>
          <w:rFonts w:ascii="Arial" w:hAnsi="Arial" w:cs="Arial"/>
          <w:sz w:val="22"/>
          <w:szCs w:val="22"/>
        </w:rPr>
        <w:t>此种情况下</w:t>
      </w:r>
      <w:r>
        <w:rPr>
          <w:rFonts w:hint="eastAsia" w:ascii="宋体" w:hAnsi="宋体"/>
          <w:sz w:val="22"/>
          <w:szCs w:val="22"/>
        </w:rPr>
        <w:t>管理人</w:t>
      </w:r>
      <w:r>
        <w:rPr>
          <w:rFonts w:ascii="Arial" w:hAnsi="Arial" w:cs="Arial"/>
          <w:sz w:val="22"/>
          <w:szCs w:val="22"/>
        </w:rPr>
        <w:t>将可能单独开放特殊赎回期间，具体以届时</w:t>
      </w:r>
      <w:r>
        <w:rPr>
          <w:rFonts w:hint="eastAsia" w:ascii="宋体" w:hAnsi="宋体"/>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18"/>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18"/>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widowControl/>
        <w:numPr>
          <w:ilvl w:val="0"/>
          <w:numId w:val="19"/>
        </w:numPr>
        <w:autoSpaceDE w:val="0"/>
        <w:autoSpaceDN w:val="0"/>
        <w:adjustRightInd w:val="0"/>
        <w:spacing w:line="360" w:lineRule="auto"/>
        <w:rPr>
          <w:rFonts w:ascii="Arial" w:hAnsi="Arial" w:cs="Arial"/>
          <w:color w:val="000000"/>
          <w:sz w:val="22"/>
          <w:szCs w:val="22"/>
        </w:rPr>
      </w:pPr>
      <w:r>
        <w:rPr>
          <w:rFonts w:ascii="Arial" w:hAnsi="Arial" w:cs="Arial"/>
          <w:color w:val="000000"/>
          <w:sz w:val="22"/>
          <w:szCs w:val="22"/>
        </w:rPr>
        <w:t>收益采用现金分配方式；</w:t>
      </w:r>
    </w:p>
    <w:p>
      <w:pPr>
        <w:widowControl/>
        <w:numPr>
          <w:ilvl w:val="0"/>
          <w:numId w:val="19"/>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每一份额享有同等分配权。</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如投资周期内涉及收益分配的，具体分配规则以本理财产品管理人的公告为准。</w:t>
      </w:r>
    </w:p>
    <w:p>
      <w:pPr>
        <w:numPr>
          <w:ilvl w:val="1"/>
          <w:numId w:val="18"/>
        </w:numPr>
        <w:spacing w:line="360" w:lineRule="auto"/>
        <w:ind w:left="0" w:firstLine="442" w:firstLineChars="200"/>
        <w:rPr>
          <w:rFonts w:ascii="Arial" w:hAnsi="Arial" w:cs="Arial"/>
          <w:b/>
          <w:color w:val="000000"/>
          <w:sz w:val="22"/>
          <w:szCs w:val="22"/>
        </w:rPr>
      </w:pPr>
      <w:r>
        <w:rPr>
          <w:rFonts w:hint="eastAsia" w:ascii="Arial" w:hAnsi="Arial" w:cs="Arial"/>
          <w:b/>
          <w:color w:val="000000"/>
          <w:sz w:val="22"/>
          <w:szCs w:val="22"/>
        </w:rPr>
        <w:t>期间分配</w:t>
      </w:r>
    </w:p>
    <w:p>
      <w:pPr>
        <w:pStyle w:val="25"/>
        <w:spacing w:line="360" w:lineRule="auto"/>
        <w:ind w:right="141" w:firstLine="440" w:firstLineChars="200"/>
        <w:jc w:val="both"/>
        <w:rPr>
          <w:rFonts w:ascii="Arial" w:hAnsi="Arial" w:cs="Arial"/>
          <w:color w:val="auto"/>
          <w:kern w:val="2"/>
          <w:sz w:val="22"/>
          <w:szCs w:val="22"/>
        </w:rPr>
      </w:pPr>
      <w:r>
        <w:rPr>
          <w:rFonts w:hint="eastAsia"/>
          <w:sz w:val="22"/>
          <w:szCs w:val="22"/>
        </w:rPr>
        <w:t>就期间分配而言，本理财产品存续期内，在满足收益分配基准日（以管理人确定的为准）本理财产品份额净值大于本理财产品份额面值的条件下，本理财产品管理人有权在存续期内进行一次及以上的收益分配，分配方式为现金分配。本理财产品管理人将于收益分配基准日前5个工作日（不含分配基准日）以收益分配预公告形式，通过本《产品说明书》“信息披露”约定的方式，披露分配基准日、权益登记日、除息日等信息。</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期间分配原则及方式：</w:t>
      </w:r>
    </w:p>
    <w:p>
      <w:pPr>
        <w:pStyle w:val="21"/>
        <w:numPr>
          <w:ilvl w:val="0"/>
          <w:numId w:val="20"/>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同一类别的每一本产品份额享有同等分配权；</w:t>
      </w:r>
    </w:p>
    <w:p>
      <w:pPr>
        <w:pStyle w:val="21"/>
        <w:numPr>
          <w:ilvl w:val="0"/>
          <w:numId w:val="20"/>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sz w:val="22"/>
          <w:szCs w:val="22"/>
        </w:rPr>
        <w:t>如需进行收益分配，管理人应至少在权益登记日后</w:t>
      </w: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sz w:val="22"/>
          <w:szCs w:val="22"/>
        </w:rPr>
        <w:t>个工作日内对通过本《产品说明书》“信息披露”约定的方式，向投资者披露收益分配方案，包括但不限于收益分配基准日、除息日、权益登记日、收益分配对象、收益分配方式、分配金额等内容。</w:t>
      </w:r>
    </w:p>
    <w:p>
      <w:pPr>
        <w:pStyle w:val="21"/>
        <w:numPr>
          <w:ilvl w:val="0"/>
          <w:numId w:val="20"/>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原则上，管理人在本理财产品权益登记日后</w:t>
      </w:r>
      <w:r>
        <w:rPr>
          <w:rFonts w:ascii="Arial" w:hAnsi="Arial" w:cs="Arial"/>
          <w:color w:val="0D0D0D" w:themeColor="text1" w:themeTint="F2"/>
          <w:sz w:val="22"/>
          <w:szCs w:val="22"/>
          <w14:textFill>
            <w14:solidFill>
              <w14:schemeClr w14:val="tx1">
                <w14:lumMod w14:val="95000"/>
                <w14:lumOff w14:val="5000"/>
              </w14:schemeClr>
            </w14:solidFill>
          </w14:textFill>
        </w:rPr>
        <w:t>3</w:t>
      </w:r>
      <w:r>
        <w:rPr>
          <w:rFonts w:hint="eastAsia" w:ascii="Arial" w:hAnsi="Arial" w:cs="Arial"/>
          <w:color w:val="0D0D0D" w:themeColor="text1" w:themeTint="F2"/>
          <w:sz w:val="22"/>
          <w:szCs w:val="22"/>
          <w14:textFill>
            <w14:solidFill>
              <w14:schemeClr w14:val="tx1">
                <w14:lumMod w14:val="95000"/>
                <w14:lumOff w14:val="5000"/>
              </w14:schemeClr>
            </w14:solidFill>
          </w14:textFill>
        </w:rPr>
        <w:t>个工作日内将投资者可得资金划转至投资者账户。超过</w:t>
      </w:r>
      <w:r>
        <w:rPr>
          <w:rFonts w:ascii="Arial" w:hAnsi="Arial" w:cs="Arial"/>
          <w:color w:val="0D0D0D" w:themeColor="text1" w:themeTint="F2"/>
          <w:sz w:val="22"/>
          <w:szCs w:val="22"/>
          <w14:textFill>
            <w14:solidFill>
              <w14:schemeClr w14:val="tx1">
                <w14:lumMod w14:val="95000"/>
                <w14:lumOff w14:val="5000"/>
              </w14:schemeClr>
            </w14:solidFill>
          </w14:textFill>
        </w:rPr>
        <w:t>3</w:t>
      </w:r>
      <w:r>
        <w:rPr>
          <w:rFonts w:hint="eastAsia" w:ascii="Arial" w:hAnsi="Arial" w:cs="Arial"/>
          <w:color w:val="0D0D0D" w:themeColor="text1" w:themeTint="F2"/>
          <w:sz w:val="22"/>
          <w:szCs w:val="22"/>
          <w14:textFill>
            <w14:solidFill>
              <w14:schemeClr w14:val="tx1">
                <w14:lumMod w14:val="95000"/>
                <w14:lumOff w14:val="5000"/>
              </w14:schemeClr>
            </w14:solidFill>
          </w14:textFill>
        </w:rPr>
        <w:t>日的，管理人将提前</w:t>
      </w: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个工作日通过本《产品说明书》“信息披露”约定的方式，向投资者进行披露。</w:t>
      </w:r>
    </w:p>
    <w:p>
      <w:pPr>
        <w:pStyle w:val="21"/>
        <w:numPr>
          <w:ilvl w:val="0"/>
          <w:numId w:val="20"/>
        </w:numPr>
        <w:snapToGrid w:val="0"/>
        <w:spacing w:line="360" w:lineRule="auto"/>
        <w:ind w:left="0" w:firstLine="422" w:firstLineChars="0"/>
        <w:rPr>
          <w:rFonts w:ascii="Arial" w:hAnsi="Arial" w:cs="Arial"/>
          <w:snapToGrid w:val="0"/>
          <w:color w:val="000000"/>
          <w:sz w:val="22"/>
          <w:szCs w:val="22"/>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在符合法律法规及本理财产品销售文件约定，并对本理财产品份额持有人利益无实质不利影响的前提下，本理财产品管理人可通过公告形式对本理财产品期间收益分配原则及方式进行调整。</w:t>
      </w:r>
    </w:p>
    <w:p>
      <w:pPr>
        <w:numPr>
          <w:ilvl w:val="1"/>
          <w:numId w:val="18"/>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spacing w:line="360" w:lineRule="auto"/>
        <w:ind w:firstLine="440" w:firstLineChars="200"/>
        <w:rPr>
          <w:rFonts w:ascii="Arial" w:hAnsi="Arial" w:cs="Arial"/>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1"/>
        <w:numPr>
          <w:ilvl w:val="0"/>
          <w:numId w:val="21"/>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出现以下情况</w:t>
      </w:r>
      <w:r>
        <w:rPr>
          <w:rFonts w:hint="eastAsia" w:ascii="Arial" w:hAnsi="Arial" w:cs="Arial"/>
          <w:color w:val="000000"/>
          <w:kern w:val="0"/>
          <w:sz w:val="22"/>
          <w:szCs w:val="22"/>
        </w:rPr>
        <w:t>之一的</w:t>
      </w:r>
      <w:r>
        <w:rPr>
          <w:rFonts w:ascii="Arial" w:hAnsi="Arial" w:cs="Arial"/>
          <w:color w:val="000000"/>
          <w:kern w:val="0"/>
          <w:sz w:val="22"/>
          <w:szCs w:val="22"/>
        </w:rPr>
        <w:t>，管理人有权终止本理财产品：</w:t>
      </w:r>
    </w:p>
    <w:p>
      <w:pPr>
        <w:pStyle w:val="21"/>
        <w:numPr>
          <w:ilvl w:val="0"/>
          <w:numId w:val="22"/>
        </w:numPr>
        <w:autoSpaceDE w:val="0"/>
        <w:autoSpaceDN w:val="0"/>
        <w:adjustRightInd w:val="0"/>
        <w:spacing w:line="360" w:lineRule="auto"/>
        <w:ind w:left="0" w:firstLine="440" w:firstLineChars="0"/>
        <w:rPr>
          <w:rFonts w:ascii="Arial" w:hAnsi="Arial" w:cs="Arial"/>
          <w:color w:val="000000" w:themeColor="text1"/>
          <w:kern w:val="0"/>
          <w:sz w:val="22"/>
          <w:szCs w:val="22"/>
          <w14:textFill>
            <w14:solidFill>
              <w14:schemeClr w14:val="tx1"/>
            </w14:solidFill>
          </w14:textFill>
        </w:rPr>
      </w:pPr>
      <w:r>
        <w:rPr>
          <w:rFonts w:hint="eastAsia" w:ascii="Arial" w:hAnsi="Arial" w:cs="Arial"/>
          <w:color w:val="000000" w:themeColor="text1"/>
          <w:kern w:val="0"/>
          <w:sz w:val="22"/>
          <w:szCs w:val="22"/>
          <w14:textFill>
            <w14:solidFill>
              <w14:schemeClr w14:val="tx1"/>
            </w14:solidFill>
          </w14:textFill>
        </w:rPr>
        <w:t>本理财产品期限届满的；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约定等需要终止产品的；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因不可抗力或意外事件导致产品管理人无法继续履行产品</w:t>
      </w:r>
      <w:r>
        <w:rPr>
          <w:rFonts w:hint="eastAsia" w:ascii="Arial" w:hAnsi="Arial" w:cs="Arial"/>
          <w:color w:val="000000"/>
          <w:kern w:val="0"/>
          <w:sz w:val="22"/>
          <w:szCs w:val="22"/>
        </w:rPr>
        <w:t>销售文件</w:t>
      </w:r>
      <w:r>
        <w:rPr>
          <w:rFonts w:ascii="Arial" w:hAnsi="Arial" w:cs="Arial"/>
          <w:color w:val="000000"/>
          <w:kern w:val="0"/>
          <w:sz w:val="22"/>
          <w:szCs w:val="22"/>
        </w:rPr>
        <w:t>约定事项的；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认为需要终止产品的。</w:t>
      </w:r>
    </w:p>
    <w:p>
      <w:pPr>
        <w:pStyle w:val="21"/>
        <w:numPr>
          <w:ilvl w:val="0"/>
          <w:numId w:val="22"/>
        </w:numPr>
        <w:autoSpaceDE w:val="0"/>
        <w:autoSpaceDN w:val="0"/>
        <w:adjustRightInd w:val="0"/>
        <w:spacing w:line="360" w:lineRule="auto"/>
        <w:ind w:firstLineChars="0"/>
        <w:rPr>
          <w:rFonts w:ascii="Arial" w:hAnsi="Arial" w:cs="Arial"/>
          <w:b/>
          <w:color w:val="000000"/>
          <w:kern w:val="0"/>
          <w:sz w:val="22"/>
          <w:szCs w:val="22"/>
        </w:rPr>
      </w:pPr>
      <w:r>
        <w:rPr>
          <w:rFonts w:hint="eastAsia" w:ascii="Arial" w:hAnsi="Arial" w:cs="Arial"/>
          <w:b/>
          <w:color w:val="000000"/>
          <w:kern w:val="0"/>
          <w:sz w:val="22"/>
          <w:szCs w:val="22"/>
        </w:rPr>
        <w:t>本理财产品投资的关联标的资产符合相关条件，本理财产品依据相关约定提前到期的。</w:t>
      </w:r>
    </w:p>
    <w:p>
      <w:pPr>
        <w:pStyle w:val="21"/>
        <w:numPr>
          <w:ilvl w:val="0"/>
          <w:numId w:val="21"/>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理财产品清算程序：</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理财产品终止情形出现时，由管理人及托管人对产品进行清算；</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对理财产品财产和债权债务进行清理和确认；</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对理财产品财产进行估值和变现；</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制作理财产品到期报告；</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对理财产品剩余财产进行分配。</w:t>
      </w:r>
    </w:p>
    <w:p>
      <w:pPr>
        <w:pStyle w:val="21"/>
        <w:numPr>
          <w:ilvl w:val="0"/>
          <w:numId w:val="21"/>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理财产品财产清算剩余资产的分配</w:t>
      </w:r>
    </w:p>
    <w:p>
      <w:pPr>
        <w:spacing w:line="360" w:lineRule="auto"/>
        <w:ind w:firstLine="440" w:firstLineChars="200"/>
        <w:contextualSpacing/>
        <w:rPr>
          <w:rFonts w:ascii="Arial" w:hAnsi="Arial" w:cs="Arial"/>
          <w:color w:val="000000"/>
          <w:sz w:val="22"/>
          <w:szCs w:val="22"/>
        </w:rPr>
      </w:pPr>
      <w:r>
        <w:rPr>
          <w:rFonts w:ascii="Arial" w:hAnsi="Arial" w:cs="Arial"/>
          <w:color w:val="000000"/>
          <w:sz w:val="22"/>
          <w:szCs w:val="22"/>
        </w:rPr>
        <w:t>依据理财产品财产清算的分配方案，在理财产品终止日如理财产品项下财产全部变现，将理财产品财产清算后的全部剩余资产扣除理财产品财产清算费用、交纳所欠税款并清偿理财产品债务后，按照各投资者持有理财产品份额比例在5个工作日内向投资者分配。如理财产品项下所投资的标的资产因市场风险、信用风险等原因不能全部变现，则</w:t>
      </w:r>
      <w:r>
        <w:rPr>
          <w:rFonts w:hint="eastAsia" w:ascii="宋体" w:hAnsi="宋体"/>
          <w:sz w:val="22"/>
          <w:szCs w:val="22"/>
        </w:rPr>
        <w:t>管理人</w:t>
      </w:r>
      <w:r>
        <w:rPr>
          <w:rFonts w:ascii="Arial" w:hAnsi="Arial" w:cs="Arial"/>
          <w:color w:val="000000"/>
          <w:sz w:val="22"/>
          <w:szCs w:val="22"/>
        </w:rPr>
        <w:t>将现金类资产扣除</w:t>
      </w:r>
      <w:r>
        <w:rPr>
          <w:rFonts w:hint="eastAsia" w:ascii="Arial" w:hAnsi="Arial" w:cs="Arial"/>
          <w:color w:val="000000"/>
          <w:sz w:val="22"/>
          <w:szCs w:val="22"/>
        </w:rPr>
        <w:t>应有本</w:t>
      </w:r>
      <w:r>
        <w:rPr>
          <w:rFonts w:ascii="Arial" w:hAnsi="Arial" w:cs="Arial"/>
          <w:color w:val="000000"/>
          <w:sz w:val="22"/>
          <w:szCs w:val="22"/>
        </w:rPr>
        <w:t>理财产品</w:t>
      </w:r>
      <w:r>
        <w:rPr>
          <w:rFonts w:hint="eastAsia" w:ascii="Arial" w:hAnsi="Arial" w:cs="Arial"/>
          <w:color w:val="000000"/>
          <w:sz w:val="22"/>
          <w:szCs w:val="22"/>
        </w:rPr>
        <w:t>清算承担的</w:t>
      </w:r>
      <w:r>
        <w:rPr>
          <w:rFonts w:hint="eastAsia" w:ascii="Arial" w:hAnsi="Arial" w:cs="Arial"/>
          <w:sz w:val="22"/>
          <w:szCs w:val="22"/>
        </w:rPr>
        <w:t>税费及费用</w:t>
      </w:r>
      <w:r>
        <w:rPr>
          <w:rFonts w:hint="eastAsia" w:ascii="Arial" w:hAnsi="Arial" w:cs="Arial"/>
          <w:color w:val="000000"/>
          <w:sz w:val="22"/>
          <w:szCs w:val="22"/>
        </w:rPr>
        <w:t>（包括但不限于固定管理费、销售服务费、托管费、由管理人或第三方垫付的费用等，下同）</w:t>
      </w:r>
      <w:r>
        <w:rPr>
          <w:rFonts w:ascii="Arial" w:hAnsi="Arial" w:cs="Arial"/>
          <w:color w:val="000000"/>
          <w:sz w:val="22"/>
          <w:szCs w:val="22"/>
        </w:rPr>
        <w:t>后，按照各投资者持有理财产品份额比例在5个工作日内向投资者分配。对于未变现资产部分，管理人以投资者利益最大化的原则，寻求未变现资产变现方式，在资产变现后，扣除</w:t>
      </w:r>
      <w:r>
        <w:rPr>
          <w:rFonts w:hint="eastAsia" w:ascii="Arial" w:hAnsi="Arial" w:cs="Arial"/>
          <w:color w:val="000000"/>
          <w:sz w:val="22"/>
          <w:szCs w:val="22"/>
        </w:rPr>
        <w:t>应有本</w:t>
      </w:r>
      <w:r>
        <w:rPr>
          <w:rFonts w:ascii="Arial" w:hAnsi="Arial" w:cs="Arial"/>
          <w:color w:val="000000"/>
          <w:sz w:val="22"/>
          <w:szCs w:val="22"/>
        </w:rPr>
        <w:t>理财产品</w:t>
      </w:r>
      <w:r>
        <w:rPr>
          <w:rFonts w:hint="eastAsia" w:ascii="Arial" w:hAnsi="Arial" w:cs="Arial"/>
          <w:color w:val="000000"/>
          <w:sz w:val="22"/>
          <w:szCs w:val="22"/>
        </w:rPr>
        <w:t>清算承担的</w:t>
      </w:r>
      <w:r>
        <w:rPr>
          <w:rFonts w:hint="eastAsia" w:ascii="Arial" w:hAnsi="Arial" w:cs="Arial"/>
          <w:sz w:val="22"/>
          <w:szCs w:val="22"/>
        </w:rPr>
        <w:t>税费及费用</w:t>
      </w:r>
      <w:r>
        <w:rPr>
          <w:rFonts w:ascii="Arial" w:hAnsi="Arial" w:cs="Arial"/>
          <w:color w:val="000000"/>
          <w:sz w:val="22"/>
          <w:szCs w:val="22"/>
        </w:rPr>
        <w:t>后，按照各投资者持有理财产品份额比例在5个工作日内向投资者分配。</w:t>
      </w:r>
      <w:r>
        <w:rPr>
          <w:rFonts w:hint="eastAsia" w:ascii="Arial" w:hAnsi="Arial" w:cs="Arial"/>
          <w:color w:val="000000" w:themeColor="text1"/>
          <w:kern w:val="0"/>
          <w:sz w:val="22"/>
          <w:szCs w:val="22"/>
          <w14:textFill>
            <w14:solidFill>
              <w14:schemeClr w14:val="tx1"/>
            </w14:solidFill>
          </w14:textFill>
        </w:rPr>
        <w:t>自终止日起资金不计付收益。</w:t>
      </w:r>
    </w:p>
    <w:p>
      <w:pPr>
        <w:spacing w:line="360" w:lineRule="auto"/>
        <w:ind w:firstLine="440" w:firstLineChars="200"/>
        <w:contextualSpacing/>
        <w:rPr>
          <w:rFonts w:ascii="Arial" w:hAnsi="Arial" w:cs="Arial"/>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本理财产品的公开信息将按照产品说明书约定通过平安理财授权的场所进行披露。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4"/>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本理财产品管理人官方网站（https://wm.pingan.com）及</w:t>
      </w:r>
      <w:r>
        <w:rPr>
          <w:rFonts w:hint="eastAsia" w:ascii="宋体" w:hAnsi="宋体"/>
          <w:b/>
          <w:sz w:val="22"/>
          <w:szCs w:val="22"/>
        </w:rPr>
        <w:t>管理人</w:t>
      </w:r>
      <w:r>
        <w:rPr>
          <w:rFonts w:hint="eastAsia" w:ascii="Arial" w:hAnsi="Arial" w:cs="Arial"/>
          <w:b/>
          <w:sz w:val="22"/>
          <w:szCs w:val="22"/>
        </w:rPr>
        <w:t>授权销售服务机构指定信息披露渠道（官方网站或APP或营业网点等） 作为本理财产品的信息披露场所。本理财产品认购期和存续期间，</w:t>
      </w:r>
      <w:r>
        <w:rPr>
          <w:rFonts w:hint="eastAsia" w:ascii="宋体" w:hAnsi="宋体"/>
          <w:b/>
          <w:sz w:val="22"/>
          <w:szCs w:val="22"/>
        </w:rPr>
        <w:t>管理人</w:t>
      </w:r>
      <w:r>
        <w:rPr>
          <w:rFonts w:hint="eastAsia" w:ascii="Arial" w:hAnsi="Arial" w:cs="Arial"/>
          <w:b/>
          <w:sz w:val="22"/>
          <w:szCs w:val="22"/>
        </w:rPr>
        <w:t>将通过前述信息披露渠道进行本理财产品相关的信息披露。投资者应定期通过上述相关渠道获知有关本理财产品相关信息。</w:t>
      </w:r>
      <w:r>
        <w:rPr>
          <w:rFonts w:ascii="Arial" w:hAnsi="Arial" w:cs="Arial"/>
          <w:sz w:val="22"/>
          <w:szCs w:val="22"/>
        </w:rPr>
        <w:t xml:space="preserve">以上相关信息自披露之日即视为已送达投资者，也视为管理人与销售服务机构已适当披露代销理财产品相关信息。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公告为准。</w:t>
      </w:r>
    </w:p>
    <w:p>
      <w:pPr>
        <w:widowControl/>
        <w:numPr>
          <w:ilvl w:val="0"/>
          <w:numId w:val="24"/>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 xml:space="preserve">管理人将在理财产品成立之后5个工作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工作日内进行披露。 </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理财产品管理人将在每个季度结束之日起的15个工作日内、每个上半年度结束之日起的60个工作日内、每个年度结束之日起的90个工作日内向投资者披露季度、半年和年度报告等定期报告。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理财产品成立不足90个工作日或者剩余存续期不超过90个工作日的，管理人可以不编制理财产品当期的季度、半年和年度报告。</w:t>
      </w:r>
    </w:p>
    <w:p>
      <w:pPr>
        <w:spacing w:line="360" w:lineRule="auto"/>
        <w:ind w:firstLine="440" w:firstLineChars="200"/>
        <w:rPr>
          <w:rFonts w:ascii="Arial" w:hAnsi="Arial" w:cs="Arial"/>
          <w:sz w:val="22"/>
          <w:szCs w:val="22"/>
        </w:rPr>
      </w:pPr>
      <w:r>
        <w:rPr>
          <w:rFonts w:hint="eastAsia" w:ascii="Arial" w:hAnsi="Arial" w:cs="Arial"/>
          <w:sz w:val="22"/>
          <w:szCs w:val="22"/>
        </w:rPr>
        <w:t>管理人将</w:t>
      </w:r>
      <w:r>
        <w:rPr>
          <w:rFonts w:ascii="Arial" w:hAnsi="Arial" w:cs="Arial"/>
          <w:sz w:val="22"/>
          <w:szCs w:val="22"/>
        </w:rPr>
        <w:t>在定期报告中披露本理财产品在季度、半年和年度最后一个交易日的</w:t>
      </w:r>
      <w:r>
        <w:rPr>
          <w:rFonts w:hint="eastAsia" w:ascii="Arial" w:hAnsi="Arial" w:cs="Arial"/>
          <w:sz w:val="22"/>
          <w:szCs w:val="22"/>
        </w:rPr>
        <w:t>理财</w:t>
      </w:r>
      <w:r>
        <w:rPr>
          <w:rFonts w:ascii="Arial" w:hAnsi="Arial" w:cs="Arial"/>
          <w:sz w:val="22"/>
          <w:szCs w:val="22"/>
        </w:rPr>
        <w:t>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1"/>
        <w:numPr>
          <w:ilvl w:val="0"/>
          <w:numId w:val="26"/>
        </w:numPr>
        <w:spacing w:line="360" w:lineRule="auto"/>
        <w:ind w:firstLineChars="0"/>
        <w:rPr>
          <w:rFonts w:ascii="Arial" w:hAnsi="Arial" w:cs="Arial"/>
          <w:sz w:val="22"/>
          <w:szCs w:val="22"/>
        </w:rPr>
      </w:pPr>
      <w:r>
        <w:rPr>
          <w:rFonts w:ascii="Arial" w:hAnsi="Arial" w:cs="Arial"/>
          <w:sz w:val="22"/>
          <w:szCs w:val="22"/>
        </w:rPr>
        <w:t>发生理财产品管理人、托管人变更情形的，平安理财将提前5个工作日以临时公告形式向投资者进行信息披露。</w:t>
      </w:r>
    </w:p>
    <w:p>
      <w:pPr>
        <w:pStyle w:val="21"/>
        <w:numPr>
          <w:ilvl w:val="0"/>
          <w:numId w:val="26"/>
        </w:numPr>
        <w:spacing w:line="360" w:lineRule="auto"/>
        <w:ind w:firstLineChars="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在本理财产品存续期间，管理人对本理财产品投资范围或比例或其他经管理人判断可能对本理财产品份额持有人权益产生影响的条款进行补充、说明和修改，管理人将提前</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开放特殊赎回期间，具体以届时管理人的公告为准。投资者本金和收益（如有）将在赎回确认日后</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个工作日内划转至投资者账户。逾期未赎回的视为投资者书面同意相关调整并继续持有本理财产品</w:t>
      </w:r>
      <w:r>
        <w:rPr>
          <w:rFonts w:ascii="Arial" w:hAnsi="Arial" w:cs="Arial"/>
          <w:sz w:val="22"/>
          <w:szCs w:val="22"/>
        </w:rPr>
        <w:t>。</w:t>
      </w:r>
    </w:p>
    <w:p>
      <w:pPr>
        <w:pStyle w:val="21"/>
        <w:numPr>
          <w:ilvl w:val="0"/>
          <w:numId w:val="26"/>
        </w:numPr>
        <w:spacing w:line="360" w:lineRule="auto"/>
        <w:ind w:firstLineChars="0"/>
        <w:rPr>
          <w:rFonts w:ascii="Arial" w:hAnsi="Arial" w:cs="Arial"/>
          <w:sz w:val="22"/>
          <w:szCs w:val="22"/>
        </w:rPr>
      </w:pPr>
      <w:r>
        <w:rPr>
          <w:rFonts w:hint="eastAsia" w:ascii="Arial" w:hAnsi="Arial" w:cs="Arial"/>
          <w:color w:val="000000" w:themeColor="text1"/>
          <w:spacing w:val="4"/>
          <w:sz w:val="22"/>
          <w:szCs w:val="22"/>
          <w14:textFill>
            <w14:solidFill>
              <w14:schemeClr w14:val="tx1"/>
            </w14:solidFill>
          </w14:textFill>
        </w:rPr>
        <w:t>发生暂停认购情形时，管理人</w:t>
      </w:r>
      <w:r>
        <w:rPr>
          <w:rFonts w:hint="eastAsia" w:ascii="Arial" w:hAnsi="Arial" w:cs="Arial"/>
          <w:color w:val="000000"/>
          <w:sz w:val="22"/>
          <w:szCs w:val="22"/>
        </w:rPr>
        <w:t>应于3个交易日内</w:t>
      </w:r>
      <w:r>
        <w:rPr>
          <w:rFonts w:hint="eastAsia" w:ascii="Arial" w:hAnsi="Arial" w:cs="Arial"/>
          <w:color w:val="000000" w:themeColor="text1"/>
          <w:spacing w:val="4"/>
          <w:sz w:val="22"/>
          <w:szCs w:val="22"/>
          <w14:textFill>
            <w14:solidFill>
              <w14:schemeClr w14:val="tx1"/>
            </w14:solidFill>
          </w14:textFill>
        </w:rPr>
        <w:t>按照产品说明书约定的信息披露方式进行公告。</w:t>
      </w:r>
    </w:p>
    <w:p>
      <w:pPr>
        <w:pStyle w:val="21"/>
        <w:numPr>
          <w:ilvl w:val="0"/>
          <w:numId w:val="26"/>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Pr>
          <w:rFonts w:ascii="Arial" w:hAnsi="Arial" w:cs="Arial"/>
          <w:color w:val="000000" w:themeColor="text1"/>
          <w:sz w:val="22"/>
          <w:szCs w:val="22"/>
          <w14:textFill>
            <w14:solidFill>
              <w14:schemeClr w14:val="tx1"/>
            </w14:solidFill>
          </w14:textFill>
        </w:rPr>
        <w:t>2</w:t>
      </w:r>
      <w:r>
        <w:rPr>
          <w:rFonts w:hint="eastAsia" w:ascii="Arial" w:hAnsi="Arial" w:cs="Arial"/>
          <w:color w:val="000000" w:themeColor="text1"/>
          <w:sz w:val="22"/>
          <w:szCs w:val="22"/>
          <w14:textFill>
            <w14:solidFill>
              <w14:schemeClr w14:val="tx1"/>
            </w14:solidFill>
          </w14:textFill>
        </w:rPr>
        <w:t>个工作日内向投资者披露相关信息。</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宋体" w:hAnsi="宋体"/>
          <w:sz w:val="22"/>
          <w:szCs w:val="22"/>
        </w:rPr>
        <w:t>管理人</w:t>
      </w:r>
      <w:r>
        <w:rPr>
          <w:rFonts w:ascii="Arial" w:hAnsi="Arial" w:cs="Arial"/>
          <w:sz w:val="22"/>
          <w:szCs w:val="22"/>
        </w:rPr>
        <w:t>将在理财产品终止后的5个工作日内披露理财产品到期公告。终止公告的内容包括理财产品的存续期限、终止日期、收费情况和收益分配情况等信息。</w:t>
      </w:r>
    </w:p>
    <w:p>
      <w:pPr>
        <w:widowControl/>
        <w:numPr>
          <w:ilvl w:val="0"/>
          <w:numId w:val="25"/>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widowControl/>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宋体" w:hAnsi="宋体"/>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rPr>
        <w:t>平安理财新安鑫98号触盈（黄金）封闭固收类理财产品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napToGrid w:val="0"/>
        <w:spacing w:line="360" w:lineRule="auto"/>
        <w:ind w:firstLine="440" w:firstLineChars="200"/>
        <w:textAlignment w:val="center"/>
        <w:rPr>
          <w:rFonts w:ascii="Arial" w:hAnsi="Arial" w:cs="Arial"/>
          <w:snapToGrid w:val="0"/>
          <w:color w:val="000000"/>
          <w:sz w:val="22"/>
          <w:szCs w:val="22"/>
        </w:rPr>
      </w:pPr>
    </w:p>
    <w:p>
      <w:pPr>
        <w:pStyle w:val="2"/>
        <w:numPr>
          <w:ilvl w:val="0"/>
          <w:numId w:val="2"/>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1"/>
        <w:numPr>
          <w:ilvl w:val="0"/>
          <w:numId w:val="27"/>
        </w:numPr>
        <w:tabs>
          <w:tab w:val="left" w:pos="8647"/>
        </w:tabs>
        <w:adjustRightInd w:val="0"/>
        <w:snapToGrid w:val="0"/>
        <w:spacing w:line="360" w:lineRule="auto"/>
        <w:ind w:left="426" w:firstLine="442"/>
        <w:textAlignment w:val="center"/>
        <w:rPr>
          <w:rFonts w:ascii="Arial" w:hAnsi="Arial" w:cs="Arial"/>
          <w:b/>
          <w:snapToGrid w:val="0"/>
          <w:color w:val="000000"/>
          <w:sz w:val="22"/>
          <w:szCs w:val="22"/>
        </w:rPr>
      </w:pPr>
      <w:r>
        <w:rPr>
          <w:rFonts w:ascii="Arial" w:hAnsi="Arial" w:cs="Arial"/>
          <w:b/>
          <w:snapToGrid w:val="0"/>
          <w:color w:val="000000"/>
          <w:sz w:val="22"/>
          <w:szCs w:val="22"/>
        </w:rPr>
        <w:t>由于投资者原因导致平安理财终止双方理财关系的情形</w:t>
      </w:r>
    </w:p>
    <w:p>
      <w:pPr>
        <w:pStyle w:val="21"/>
        <w:numPr>
          <w:ilvl w:val="0"/>
          <w:numId w:val="28"/>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1"/>
        <w:numPr>
          <w:ilvl w:val="0"/>
          <w:numId w:val="28"/>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pPr>
        <w:pStyle w:val="21"/>
        <w:numPr>
          <w:ilvl w:val="0"/>
          <w:numId w:val="28"/>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由于投资者原因导致，在法律允许的范围内平安理财认定必须终止与该投资者对于本理财产品的理财关系的其他情形。</w:t>
      </w:r>
    </w:p>
    <w:p>
      <w:pPr>
        <w:pStyle w:val="21"/>
        <w:numPr>
          <w:ilvl w:val="0"/>
          <w:numId w:val="27"/>
        </w:numPr>
        <w:tabs>
          <w:tab w:val="left" w:pos="8647"/>
        </w:tabs>
        <w:adjustRightInd w:val="0"/>
        <w:snapToGrid w:val="0"/>
        <w:spacing w:line="360" w:lineRule="auto"/>
        <w:ind w:left="426" w:firstLine="442"/>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1"/>
        <w:numPr>
          <w:ilvl w:val="0"/>
          <w:numId w:val="29"/>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snapToGrid w:val="0"/>
          <w:color w:val="000000"/>
          <w:sz w:val="22"/>
          <w:szCs w:val="22"/>
        </w:rPr>
        <w:t>理财产品存续期内，投资者不得以本理财资金设定</w:t>
      </w:r>
      <w:r>
        <w:rPr>
          <w:rFonts w:ascii="Arial" w:hAnsi="Arial" w:cs="Arial"/>
          <w:b/>
          <w:snapToGrid w:val="0"/>
          <w:color w:val="000000"/>
          <w:sz w:val="22"/>
          <w:szCs w:val="22"/>
        </w:rPr>
        <w:t>除</w:t>
      </w:r>
      <w:r>
        <w:rPr>
          <w:rFonts w:hint="eastAsia" w:ascii="Arial" w:hAnsi="Arial" w:cs="Arial"/>
          <w:b/>
          <w:snapToGrid w:val="0"/>
          <w:color w:val="000000"/>
          <w:sz w:val="22"/>
          <w:szCs w:val="22"/>
        </w:rPr>
        <w:t>管理人及销售服务机构</w:t>
      </w:r>
      <w:r>
        <w:rPr>
          <w:rFonts w:ascii="Arial" w:hAnsi="Arial" w:cs="Arial"/>
          <w:snapToGrid w:val="0"/>
          <w:color w:val="000000"/>
          <w:sz w:val="22"/>
          <w:szCs w:val="22"/>
        </w:rPr>
        <w:t>外其他任何第三方权益。如因司法或行政机构采取强制措施导致理财账户内资产的部分或全部被扣划，均被视为投资者违反本理财产品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1"/>
        <w:numPr>
          <w:ilvl w:val="0"/>
          <w:numId w:val="29"/>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pPr>
        <w:pStyle w:val="21"/>
        <w:numPr>
          <w:ilvl w:val="0"/>
          <w:numId w:val="29"/>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4）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1"/>
        <w:tabs>
          <w:tab w:val="left" w:pos="8647"/>
        </w:tabs>
        <w:adjustRightInd w:val="0"/>
        <w:snapToGrid w:val="0"/>
        <w:spacing w:line="360" w:lineRule="auto"/>
        <w:ind w:left="426" w:firstLine="0" w:firstLineChars="0"/>
        <w:textAlignment w:val="center"/>
        <w:rPr>
          <w:rFonts w:ascii="Arial" w:hAnsi="Arial" w:cs="Arial"/>
          <w:b/>
          <w:snapToGrid w:val="0"/>
          <w:color w:val="000000"/>
          <w:sz w:val="22"/>
          <w:szCs w:val="22"/>
        </w:rPr>
      </w:pPr>
      <w:r>
        <w:rPr>
          <w:rFonts w:hint="eastAsia" w:ascii="Arial" w:hAnsi="Arial" w:cs="Arial"/>
          <w:b/>
          <w:snapToGrid w:val="0"/>
          <w:color w:val="000000"/>
          <w:sz w:val="22"/>
          <w:szCs w:val="22"/>
        </w:rPr>
        <w:t xml:space="preserve">3. </w:t>
      </w:r>
      <w:r>
        <w:rPr>
          <w:rFonts w:ascii="Arial" w:hAnsi="Arial" w:cs="Arial"/>
          <w:b/>
          <w:snapToGrid w:val="0"/>
          <w:color w:val="000000"/>
          <w:sz w:val="22"/>
          <w:szCs w:val="22"/>
        </w:rPr>
        <w:t>保密信息</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r>
        <w:rPr>
          <w:rFonts w:ascii="Arial" w:hAnsi="Arial" w:cs="Arial"/>
          <w:snapToGrid w:val="0"/>
          <w:color w:val="000000" w:themeColor="text1"/>
          <w:sz w:val="22"/>
          <w:szCs w:val="22"/>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说明书另有约定的。前述保密义务不因本理财产品销售文件或相关协议的无效、被撤销、终止而受影响。</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themeColor="text1"/>
          <w:sz w:val="22"/>
          <w:szCs w:val="22"/>
          <w14:textFill>
            <w14:solidFill>
              <w14:schemeClr w14:val="tx1"/>
            </w14:solidFill>
          </w14:textFill>
        </w:rPr>
      </w:pPr>
      <w:r>
        <w:rPr>
          <w:rFonts w:ascii="Arial" w:hAnsi="Arial" w:cs="Arial"/>
          <w:color w:val="000000"/>
          <w:sz w:val="22"/>
          <w:szCs w:val="22"/>
        </w:rPr>
        <w:t>针对所有投资者：本理财产品说明书与《</w:t>
      </w:r>
      <w:r>
        <w:rPr>
          <w:rFonts w:hint="eastAsia" w:ascii="Arial" w:hAnsi="Arial" w:cs="Arial"/>
          <w:snapToGrid w:val="0"/>
          <w:color w:val="000000"/>
          <w:sz w:val="22"/>
          <w:szCs w:val="22"/>
        </w:rPr>
        <w:t>平安理财新安鑫98号触盈（黄金）封闭固收类理财产品</w:t>
      </w:r>
      <w:r>
        <w:rPr>
          <w:rFonts w:ascii="Arial" w:hAnsi="Arial" w:cs="Arial"/>
          <w:color w:val="000000"/>
          <w:sz w:val="22"/>
          <w:szCs w:val="22"/>
        </w:rPr>
        <w:t>风险揭示书》、</w:t>
      </w:r>
      <w:r>
        <w:rPr>
          <w:rFonts w:hint="eastAsia" w:ascii="Arial" w:hAnsi="Arial" w:cs="Arial"/>
          <w:color w:val="000000" w:themeColor="text1"/>
          <w:sz w:val="22"/>
          <w:szCs w:val="22"/>
          <w14:textFill>
            <w14:solidFill>
              <w14:schemeClr w14:val="tx1"/>
            </w14:solidFill>
          </w14:textFill>
        </w:rPr>
        <w:t>《投资协议书》、</w:t>
      </w:r>
      <w:r>
        <w:rPr>
          <w:rFonts w:ascii="Arial" w:hAnsi="Arial" w:cs="Arial"/>
          <w:color w:val="000000" w:themeColor="text1"/>
          <w:sz w:val="22"/>
          <w:szCs w:val="22"/>
          <w14:textFill>
            <w14:solidFill>
              <w14:schemeClr w14:val="tx1"/>
            </w14:solidFill>
          </w14:textFill>
        </w:rPr>
        <w:t>《客户权益须知》、《</w:t>
      </w:r>
      <w:r>
        <w:rPr>
          <w:rFonts w:hint="eastAsia" w:ascii="Arial" w:hAnsi="Arial" w:cs="Arial"/>
          <w:color w:val="000000" w:themeColor="text1"/>
          <w:sz w:val="22"/>
          <w:szCs w:val="22"/>
          <w14:textFill>
            <w14:solidFill>
              <w14:schemeClr w14:val="tx1"/>
            </w14:solidFill>
          </w14:textFill>
        </w:rPr>
        <w:t>代理</w:t>
      </w:r>
      <w:r>
        <w:rPr>
          <w:rFonts w:ascii="Arial" w:hAnsi="Arial" w:cs="Arial"/>
          <w:color w:val="000000" w:themeColor="text1"/>
          <w:sz w:val="22"/>
          <w:szCs w:val="22"/>
          <w14:textFill>
            <w14:solidFill>
              <w14:schemeClr w14:val="tx1"/>
            </w14:solidFill>
          </w14:textFill>
        </w:rPr>
        <w:t>销售协议书》共同构成</w:t>
      </w:r>
      <w:r>
        <w:rPr>
          <w:rFonts w:hint="eastAsia" w:ascii="Arial" w:hAnsi="Arial" w:cs="Arial"/>
          <w:color w:val="000000" w:themeColor="text1"/>
          <w:sz w:val="22"/>
          <w:szCs w:val="22"/>
          <w14:textFill>
            <w14:solidFill>
              <w14:schemeClr w14:val="tx1"/>
            </w14:solidFill>
          </w14:textFill>
        </w:rPr>
        <w:t>本</w:t>
      </w:r>
      <w:r>
        <w:rPr>
          <w:rFonts w:ascii="Arial" w:hAnsi="Arial" w:cs="Arial"/>
          <w:color w:val="000000" w:themeColor="text1"/>
          <w:sz w:val="22"/>
          <w:szCs w:val="22"/>
          <w14:textFill>
            <w14:solidFill>
              <w14:schemeClr w14:val="tx1"/>
            </w14:solidFill>
          </w14:textFill>
        </w:rPr>
        <w:t>理财产品</w:t>
      </w:r>
      <w:r>
        <w:rPr>
          <w:rFonts w:hint="eastAsia" w:ascii="Arial" w:hAnsi="Arial" w:cs="Arial"/>
          <w:color w:val="000000" w:themeColor="text1"/>
          <w:sz w:val="22"/>
          <w:szCs w:val="22"/>
          <w14:textFill>
            <w14:solidFill>
              <w14:schemeClr w14:val="tx1"/>
            </w14:solidFill>
          </w14:textFill>
        </w:rPr>
        <w:t>销售文件</w:t>
      </w:r>
      <w:r>
        <w:rPr>
          <w:rFonts w:ascii="Arial" w:hAnsi="Arial" w:cs="Arial"/>
          <w:color w:val="000000" w:themeColor="text1"/>
          <w:sz w:val="22"/>
          <w:szCs w:val="22"/>
          <w14:textFill>
            <w14:solidFill>
              <w14:schemeClr w14:val="tx1"/>
            </w14:solidFill>
          </w14:textFill>
        </w:rPr>
        <w:t>。</w:t>
      </w:r>
    </w:p>
    <w:p>
      <w:pPr>
        <w:spacing w:line="360" w:lineRule="auto"/>
        <w:ind w:firstLine="444" w:firstLineChars="202"/>
        <w:rPr>
          <w:rFonts w:ascii="Arial" w:hAnsi="Arial" w:cs="Arial"/>
          <w:color w:val="000000"/>
          <w:sz w:val="22"/>
          <w:szCs w:val="22"/>
        </w:rPr>
      </w:pPr>
      <w:r>
        <w:rPr>
          <w:rFonts w:ascii="Arial" w:hAnsi="Arial" w:cs="Arial"/>
          <w:color w:val="000000" w:themeColor="text1"/>
          <w:sz w:val="22"/>
          <w:szCs w:val="22"/>
          <w14:textFill>
            <w14:solidFill>
              <w14:schemeClr w14:val="tx1"/>
            </w14:solidFill>
          </w14:textFill>
        </w:rPr>
        <w:t>本理财产品说明书为《</w:t>
      </w:r>
      <w:r>
        <w:rPr>
          <w:rFonts w:hint="eastAsia" w:ascii="Arial" w:hAnsi="Arial" w:cs="Arial"/>
          <w:color w:val="000000" w:themeColor="text1"/>
          <w:sz w:val="22"/>
          <w:szCs w:val="22"/>
          <w14:textFill>
            <w14:solidFill>
              <w14:schemeClr w14:val="tx1"/>
            </w14:solidFill>
          </w14:textFill>
        </w:rPr>
        <w:t>投资</w:t>
      </w:r>
      <w:r>
        <w:rPr>
          <w:rFonts w:ascii="Arial" w:hAnsi="Arial" w:cs="Arial"/>
          <w:color w:val="000000" w:themeColor="text1"/>
          <w:sz w:val="22"/>
          <w:szCs w:val="22"/>
          <w14:textFill>
            <w14:solidFill>
              <w14:schemeClr w14:val="tx1"/>
            </w14:solidFill>
          </w14:textFill>
        </w:rPr>
        <w:t>协议书》不可分割之组成部分，与《</w:t>
      </w:r>
      <w:r>
        <w:rPr>
          <w:rFonts w:hint="eastAsia" w:ascii="Arial" w:hAnsi="Arial" w:cs="Arial"/>
          <w:color w:val="000000" w:themeColor="text1"/>
          <w:sz w:val="22"/>
          <w:szCs w:val="22"/>
          <w14:textFill>
            <w14:solidFill>
              <w14:schemeClr w14:val="tx1"/>
            </w14:solidFill>
          </w14:textFill>
        </w:rPr>
        <w:t>投资</w:t>
      </w:r>
      <w:r>
        <w:rPr>
          <w:rFonts w:ascii="Arial" w:hAnsi="Arial" w:cs="Arial"/>
          <w:color w:val="000000" w:themeColor="text1"/>
          <w:sz w:val="22"/>
          <w:szCs w:val="22"/>
          <w14:textFill>
            <w14:solidFill>
              <w14:schemeClr w14:val="tx1"/>
            </w14:solidFill>
          </w14:textFill>
        </w:rPr>
        <w:t>协议书》不同之处，以本理财产品说明书为准。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产品</w:t>
      </w:r>
      <w:r>
        <w:rPr>
          <w:rFonts w:ascii="Arial" w:hAnsi="Arial" w:cs="Arial"/>
          <w:color w:val="000000"/>
          <w:sz w:val="22"/>
          <w:szCs w:val="22"/>
        </w:rPr>
        <w:t>说明书规定可以购买本理财产品的投资者</w:t>
      </w:r>
      <w:r>
        <w:rPr>
          <w:rFonts w:hint="eastAsia" w:ascii="Arial" w:hAnsi="Arial" w:cs="Arial"/>
          <w:color w:val="000000"/>
          <w:sz w:val="22"/>
          <w:szCs w:val="22"/>
        </w:rPr>
        <w:t>销</w:t>
      </w:r>
      <w:r>
        <w:rPr>
          <w:rFonts w:ascii="Arial" w:hAnsi="Arial" w:cs="Arial"/>
          <w:color w:val="000000"/>
          <w:sz w:val="22"/>
          <w:szCs w:val="22"/>
        </w:rPr>
        <w:t>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宋体" w:hAnsi="宋体"/>
          <w:b/>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themeColor="text1"/>
          <w:sz w:val="22"/>
          <w:szCs w:val="22"/>
          <w14:textFill>
            <w14:solidFill>
              <w14:schemeClr w14:val="tx1"/>
            </w14:solidFill>
          </w14:textFill>
        </w:rPr>
        <w:t>如投资者对本理财产品说明书存在任何意见或建议，投资者可</w:t>
      </w:r>
      <w:r>
        <w:rPr>
          <w:rFonts w:hint="eastAsia" w:ascii="Arial" w:hAnsi="Arial" w:cs="Arial"/>
          <w:color w:val="000000" w:themeColor="text1"/>
          <w:sz w:val="22"/>
          <w:szCs w:val="22"/>
          <w14:textFill>
            <w14:solidFill>
              <w14:schemeClr w14:val="tx1"/>
            </w14:solidFill>
          </w14:textFill>
        </w:rPr>
        <w:t>通过《代理销售协议书》披露的方式进行</w:t>
      </w:r>
      <w:r>
        <w:rPr>
          <w:rFonts w:ascii="Arial" w:hAnsi="Arial" w:cs="Arial"/>
          <w:color w:val="000000" w:themeColor="text1"/>
          <w:sz w:val="22"/>
          <w:szCs w:val="22"/>
          <w14:textFill>
            <w14:solidFill>
              <w14:schemeClr w14:val="tx1"/>
            </w14:solidFill>
          </w14:textFill>
        </w:rPr>
        <w:t>咨询或投</w:t>
      </w:r>
      <w:r>
        <w:rPr>
          <w:rFonts w:hint="eastAsia" w:ascii="Arial" w:hAnsi="Arial" w:cs="Arial"/>
          <w:color w:val="000000" w:themeColor="text1"/>
          <w:sz w:val="22"/>
          <w:szCs w:val="22"/>
          <w14:textFill>
            <w14:solidFill>
              <w14:schemeClr w14:val="tx1"/>
            </w14:solidFill>
          </w14:textFill>
        </w:rPr>
        <w:t>诉</w:t>
      </w:r>
      <w:r>
        <w:rPr>
          <w:rFonts w:ascii="Arial" w:hAnsi="Arial" w:cs="Arial"/>
          <w:color w:val="000000" w:themeColor="text1"/>
          <w:sz w:val="22"/>
          <w:szCs w:val="22"/>
          <w14:textFill>
            <w14:solidFill>
              <w14:schemeClr w14:val="tx1"/>
            </w14:solidFill>
          </w14:textFill>
        </w:rPr>
        <w:t>。</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rPr>
        <w:t>平安理财新安鑫98号触盈（黄金）封闭固收类理财产品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投资者</w:t>
      </w:r>
      <w:r>
        <w:rPr>
          <w:rFonts w:hint="eastAsia" w:ascii="Arial" w:hAnsi="Arial" w:cs="Arial"/>
          <w:b/>
          <w:bCs/>
          <w:color w:val="000000"/>
          <w:kern w:val="0"/>
          <w:sz w:val="22"/>
          <w:szCs w:val="22"/>
        </w:rPr>
        <w:t>（签章/</w:t>
      </w:r>
      <w:r>
        <w:rPr>
          <w:rFonts w:ascii="Arial" w:hAnsi="Arial" w:cs="Arial"/>
          <w:b/>
          <w:bCs/>
          <w:color w:val="000000"/>
          <w:kern w:val="0"/>
          <w:sz w:val="22"/>
          <w:szCs w:val="22"/>
        </w:rPr>
        <w:t>签字</w:t>
      </w:r>
      <w:r>
        <w:rPr>
          <w:rFonts w:hint="eastAsia" w:ascii="Arial" w:hAnsi="Arial" w:cs="Arial"/>
          <w:b/>
          <w:bCs/>
          <w:color w:val="000000"/>
          <w:kern w:val="0"/>
          <w:sz w:val="22"/>
          <w:szCs w:val="22"/>
        </w:rPr>
        <w:t>）</w:t>
      </w:r>
      <w:r>
        <w:rPr>
          <w:rFonts w:ascii="Arial" w:hAnsi="Arial" w:cs="Arial"/>
          <w:b/>
          <w:bCs/>
          <w:color w:val="000000"/>
          <w:kern w:val="0"/>
          <w:sz w:val="22"/>
          <w:szCs w:val="22"/>
        </w:rPr>
        <w:t xml:space="preserve">：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宋体-PUA">
    <w:panose1 w:val="02010600030101010101"/>
    <w:charset w:val="86"/>
    <w:family w:val="auto"/>
    <w:pitch w:val="default"/>
    <w:sig w:usb0="00000000" w:usb1="1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1">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
    <w:nsid w:val="11355BC6"/>
    <w:multiLevelType w:val="multilevel"/>
    <w:tmpl w:val="11355BC6"/>
    <w:lvl w:ilvl="0" w:tentative="0">
      <w:start w:val="1"/>
      <w:numFmt w:val="decimal"/>
      <w:suff w:val="space"/>
      <w:lvlText w:val="（%1）"/>
      <w:lvlJc w:val="left"/>
      <w:pPr>
        <w:ind w:left="6030"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754321B"/>
    <w:multiLevelType w:val="multilevel"/>
    <w:tmpl w:val="1754321B"/>
    <w:lvl w:ilvl="0" w:tentative="0">
      <w:start w:val="1"/>
      <w:numFmt w:val="decimal"/>
      <w:lvlText w:val="（%1）"/>
      <w:lvlJc w:val="left"/>
      <w:pPr>
        <w:ind w:left="987" w:hanging="420"/>
      </w:pPr>
      <w:rPr>
        <w:rFonts w:hint="default" w:ascii="Arial" w:hAnsi="Arial" w:eastAsia="宋体" w:cs="Arial"/>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6">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8">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B62EA78"/>
    <w:multiLevelType w:val="singleLevel"/>
    <w:tmpl w:val="2B62EA78"/>
    <w:lvl w:ilvl="0" w:tentative="0">
      <w:start w:val="1"/>
      <w:numFmt w:val="decimal"/>
      <w:suff w:val="space"/>
      <w:lvlText w:val="%1."/>
      <w:lvlJc w:val="left"/>
    </w:lvl>
  </w:abstractNum>
  <w:abstractNum w:abstractNumId="10">
    <w:nsid w:val="2D1E0465"/>
    <w:multiLevelType w:val="multilevel"/>
    <w:tmpl w:val="2D1E0465"/>
    <w:lvl w:ilvl="0" w:tentative="0">
      <w:start w:val="1"/>
      <w:numFmt w:val="decimal"/>
      <w:suff w:val="space"/>
      <w:lvlText w:val="（%1）"/>
      <w:lvlJc w:val="left"/>
      <w:pPr>
        <w:ind w:left="84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2420" w:hanging="420"/>
      </w:pPr>
    </w:lvl>
    <w:lvl w:ilvl="2" w:tentative="0">
      <w:start w:val="1"/>
      <w:numFmt w:val="lowerRoman"/>
      <w:lvlText w:val="%3."/>
      <w:lvlJc w:val="right"/>
      <w:pPr>
        <w:ind w:left="-2000" w:hanging="420"/>
      </w:pPr>
    </w:lvl>
    <w:lvl w:ilvl="3" w:tentative="0">
      <w:start w:val="1"/>
      <w:numFmt w:val="decimal"/>
      <w:lvlText w:val="%4."/>
      <w:lvlJc w:val="left"/>
      <w:pPr>
        <w:ind w:left="-1580" w:hanging="420"/>
      </w:pPr>
    </w:lvl>
    <w:lvl w:ilvl="4" w:tentative="0">
      <w:start w:val="1"/>
      <w:numFmt w:val="lowerLetter"/>
      <w:lvlText w:val="%5)"/>
      <w:lvlJc w:val="left"/>
      <w:pPr>
        <w:ind w:left="-1160" w:hanging="420"/>
      </w:pPr>
    </w:lvl>
    <w:lvl w:ilvl="5" w:tentative="0">
      <w:start w:val="1"/>
      <w:numFmt w:val="lowerRoman"/>
      <w:lvlText w:val="%6."/>
      <w:lvlJc w:val="right"/>
      <w:pPr>
        <w:ind w:left="-740" w:hanging="420"/>
      </w:pPr>
    </w:lvl>
    <w:lvl w:ilvl="6" w:tentative="0">
      <w:start w:val="1"/>
      <w:numFmt w:val="decimal"/>
      <w:lvlText w:val="%7."/>
      <w:lvlJc w:val="left"/>
      <w:pPr>
        <w:ind w:left="-320" w:hanging="420"/>
      </w:pPr>
    </w:lvl>
    <w:lvl w:ilvl="7" w:tentative="0">
      <w:start w:val="1"/>
      <w:numFmt w:val="lowerLetter"/>
      <w:lvlText w:val="%8)"/>
      <w:lvlJc w:val="left"/>
      <w:pPr>
        <w:ind w:left="100" w:hanging="420"/>
      </w:pPr>
    </w:lvl>
    <w:lvl w:ilvl="8" w:tentative="0">
      <w:start w:val="1"/>
      <w:numFmt w:val="lowerRoman"/>
      <w:lvlText w:val="%9."/>
      <w:lvlJc w:val="right"/>
      <w:pPr>
        <w:ind w:left="520" w:hanging="420"/>
      </w:pPr>
    </w:lvl>
  </w:abstractNum>
  <w:abstractNum w:abstractNumId="11">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7FC0210"/>
    <w:multiLevelType w:val="multilevel"/>
    <w:tmpl w:val="37FC0210"/>
    <w:lvl w:ilvl="0" w:tentative="0">
      <w:start w:val="1"/>
      <w:numFmt w:val="chineseCountingThousand"/>
      <w:suff w:val="space"/>
      <w:lvlText w:val="%1、"/>
      <w:lvlJc w:val="left"/>
      <w:pPr>
        <w:ind w:left="1270" w:hanging="420"/>
      </w:pPr>
      <w:rPr>
        <w:rFonts w:hint="eastAsia"/>
        <w:lang w:val="en-US"/>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3">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4">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B5B3A02"/>
    <w:multiLevelType w:val="multilevel"/>
    <w:tmpl w:val="4B5B3A02"/>
    <w:lvl w:ilvl="0" w:tentative="0">
      <w:start w:val="1"/>
      <w:numFmt w:val="upperLetter"/>
      <w:lvlText w:val="%1."/>
      <w:lvlJc w:val="left"/>
      <w:pPr>
        <w:ind w:left="1685" w:hanging="420"/>
      </w:pPr>
    </w:lvl>
    <w:lvl w:ilvl="1" w:tentative="0">
      <w:start w:val="1"/>
      <w:numFmt w:val="lowerLetter"/>
      <w:lvlText w:val="%2)"/>
      <w:lvlJc w:val="left"/>
      <w:pPr>
        <w:ind w:left="2105" w:hanging="420"/>
      </w:pPr>
    </w:lvl>
    <w:lvl w:ilvl="2" w:tentative="0">
      <w:start w:val="1"/>
      <w:numFmt w:val="lowerRoman"/>
      <w:lvlText w:val="%3."/>
      <w:lvlJc w:val="right"/>
      <w:pPr>
        <w:ind w:left="2525" w:hanging="420"/>
      </w:pPr>
    </w:lvl>
    <w:lvl w:ilvl="3" w:tentative="0">
      <w:start w:val="1"/>
      <w:numFmt w:val="decimal"/>
      <w:lvlText w:val="%4."/>
      <w:lvlJc w:val="left"/>
      <w:pPr>
        <w:ind w:left="2945" w:hanging="420"/>
      </w:pPr>
    </w:lvl>
    <w:lvl w:ilvl="4" w:tentative="0">
      <w:start w:val="1"/>
      <w:numFmt w:val="lowerLetter"/>
      <w:lvlText w:val="%5)"/>
      <w:lvlJc w:val="left"/>
      <w:pPr>
        <w:ind w:left="3365" w:hanging="420"/>
      </w:pPr>
    </w:lvl>
    <w:lvl w:ilvl="5" w:tentative="0">
      <w:start w:val="1"/>
      <w:numFmt w:val="lowerRoman"/>
      <w:lvlText w:val="%6."/>
      <w:lvlJc w:val="right"/>
      <w:pPr>
        <w:ind w:left="3785" w:hanging="420"/>
      </w:pPr>
    </w:lvl>
    <w:lvl w:ilvl="6" w:tentative="0">
      <w:start w:val="1"/>
      <w:numFmt w:val="decimal"/>
      <w:lvlText w:val="%7."/>
      <w:lvlJc w:val="left"/>
      <w:pPr>
        <w:ind w:left="4205" w:hanging="420"/>
      </w:pPr>
    </w:lvl>
    <w:lvl w:ilvl="7" w:tentative="0">
      <w:start w:val="1"/>
      <w:numFmt w:val="lowerLetter"/>
      <w:lvlText w:val="%8)"/>
      <w:lvlJc w:val="left"/>
      <w:pPr>
        <w:ind w:left="4625" w:hanging="420"/>
      </w:pPr>
    </w:lvl>
    <w:lvl w:ilvl="8" w:tentative="0">
      <w:start w:val="1"/>
      <w:numFmt w:val="lowerRoman"/>
      <w:lvlText w:val="%9."/>
      <w:lvlJc w:val="right"/>
      <w:pPr>
        <w:ind w:left="5045" w:hanging="420"/>
      </w:pPr>
    </w:lvl>
  </w:abstractNum>
  <w:abstractNum w:abstractNumId="16">
    <w:nsid w:val="4B6D5B02"/>
    <w:multiLevelType w:val="multilevel"/>
    <w:tmpl w:val="4B6D5B02"/>
    <w:lvl w:ilvl="0" w:tentative="0">
      <w:start w:val="1"/>
      <w:numFmt w:val="decimal"/>
      <w:lvlText w:val="（%1）"/>
      <w:lvlJc w:val="left"/>
      <w:pPr>
        <w:ind w:left="86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7">
    <w:nsid w:val="517F4990"/>
    <w:multiLevelType w:val="multilevel"/>
    <w:tmpl w:val="517F4990"/>
    <w:lvl w:ilvl="0" w:tentative="0">
      <w:start w:val="1"/>
      <w:numFmt w:val="decimal"/>
      <w:lvlText w:val="（%1）"/>
      <w:lvlJc w:val="left"/>
      <w:pPr>
        <w:ind w:left="86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DC2F85"/>
    <w:multiLevelType w:val="multilevel"/>
    <w:tmpl w:val="51DC2F85"/>
    <w:lvl w:ilvl="0" w:tentative="0">
      <w:start w:val="1"/>
      <w:numFmt w:val="upperLetter"/>
      <w:lvlText w:val="%1."/>
      <w:lvlJc w:val="left"/>
      <w:pPr>
        <w:ind w:left="845" w:hanging="420"/>
      </w:pPr>
    </w:lvl>
    <w:lvl w:ilvl="1" w:tentative="0">
      <w:start w:val="1"/>
      <w:numFmt w:val="decimal"/>
      <w:lvlText w:val="%2）"/>
      <w:lvlJc w:val="left"/>
      <w:pPr>
        <w:ind w:left="1205" w:hanging="360"/>
      </w:pPr>
      <w:rPr>
        <w:rFonts w:hint="default"/>
      </w:r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9">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1">
    <w:nsid w:val="63C53E92"/>
    <w:multiLevelType w:val="multilevel"/>
    <w:tmpl w:val="63C53E92"/>
    <w:lvl w:ilvl="0" w:tentative="0">
      <w:start w:val="1"/>
      <w:numFmt w:val="decimal"/>
      <w:lvlText w:val="（%1）"/>
      <w:lvlJc w:val="left"/>
      <w:pPr>
        <w:ind w:left="780" w:hanging="36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63E31AF"/>
    <w:multiLevelType w:val="multilevel"/>
    <w:tmpl w:val="663E31AF"/>
    <w:lvl w:ilvl="0" w:tentative="0">
      <w:start w:val="1"/>
      <w:numFmt w:val="upp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3">
    <w:nsid w:val="683C2503"/>
    <w:multiLevelType w:val="multilevel"/>
    <w:tmpl w:val="683C2503"/>
    <w:lvl w:ilvl="0" w:tentative="0">
      <w:start w:val="1"/>
      <w:numFmt w:val="decimal"/>
      <w:lvlText w:val="%1）"/>
      <w:lvlJc w:val="left"/>
      <w:pPr>
        <w:ind w:left="1920" w:hanging="720"/>
      </w:pPr>
      <w:rPr>
        <w:rFonts w:hint="eastAsia"/>
        <w:b w:val="0"/>
        <w:i w:val="0"/>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4">
    <w:nsid w:val="6DAD6078"/>
    <w:multiLevelType w:val="multilevel"/>
    <w:tmpl w:val="6DAD6078"/>
    <w:lvl w:ilvl="0" w:tentative="0">
      <w:start w:val="1"/>
      <w:numFmt w:val="upp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5">
    <w:nsid w:val="70623A0D"/>
    <w:multiLevelType w:val="multilevel"/>
    <w:tmpl w:val="70623A0D"/>
    <w:lvl w:ilvl="0" w:tentative="0">
      <w:start w:val="1"/>
      <w:numFmt w:val="decimal"/>
      <w:lvlText w:val="%1）"/>
      <w:lvlJc w:val="left"/>
      <w:pPr>
        <w:ind w:left="780" w:hanging="360"/>
      </w:pPr>
      <w:rPr>
        <w:rFonts w:hint="eastAsia"/>
        <w:b w:val="0"/>
        <w:i w:val="0"/>
        <w:strike w:val="0"/>
        <w:dstrike w:val="0"/>
        <w:color w:val="000000"/>
        <w:sz w:val="22"/>
        <w:szCs w:val="22"/>
        <w:u w:val="none" w:color="000000"/>
        <w:vertAlign w:val="baseli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713713EF"/>
    <w:multiLevelType w:val="multilevel"/>
    <w:tmpl w:val="713713EF"/>
    <w:lvl w:ilvl="0" w:tentative="0">
      <w:start w:val="1"/>
      <w:numFmt w:val="decimal"/>
      <w:lvlText w:val="%1）"/>
      <w:lvlJc w:val="left"/>
      <w:pPr>
        <w:ind w:left="1500" w:hanging="720"/>
      </w:pPr>
      <w:rPr>
        <w:rFonts w:hint="eastAsia"/>
        <w:b w:val="0"/>
        <w:i w:val="0"/>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7">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76265BE7"/>
    <w:multiLevelType w:val="multilevel"/>
    <w:tmpl w:val="76265BE7"/>
    <w:lvl w:ilvl="0" w:tentative="0">
      <w:start w:val="1"/>
      <w:numFmt w:val="decimal"/>
      <w:lvlText w:val="%1）"/>
      <w:lvlJc w:val="left"/>
      <w:pPr>
        <w:ind w:left="842" w:hanging="420"/>
      </w:pPr>
      <w:rPr>
        <w:rFonts w:hint="eastAsia"/>
        <w:b w:val="0"/>
        <w:i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12"/>
  </w:num>
  <w:num w:numId="2">
    <w:abstractNumId w:val="11"/>
  </w:num>
  <w:num w:numId="3">
    <w:abstractNumId w:val="4"/>
  </w:num>
  <w:num w:numId="4">
    <w:abstractNumId w:val="13"/>
  </w:num>
  <w:num w:numId="5">
    <w:abstractNumId w:val="5"/>
  </w:num>
  <w:num w:numId="6">
    <w:abstractNumId w:val="2"/>
  </w:num>
  <w:num w:numId="7">
    <w:abstractNumId w:val="21"/>
  </w:num>
  <w:num w:numId="8">
    <w:abstractNumId w:val="26"/>
  </w:num>
  <w:num w:numId="9">
    <w:abstractNumId w:val="25"/>
  </w:num>
  <w:num w:numId="10">
    <w:abstractNumId w:val="23"/>
  </w:num>
  <w:num w:numId="11">
    <w:abstractNumId w:val="18"/>
  </w:num>
  <w:num w:numId="12">
    <w:abstractNumId w:val="22"/>
  </w:num>
  <w:num w:numId="13">
    <w:abstractNumId w:val="24"/>
  </w:num>
  <w:num w:numId="14">
    <w:abstractNumId w:val="15"/>
  </w:num>
  <w:num w:numId="15">
    <w:abstractNumId w:val="7"/>
  </w:num>
  <w:num w:numId="16">
    <w:abstractNumId w:val="14"/>
  </w:num>
  <w:num w:numId="17">
    <w:abstractNumId w:val="8"/>
  </w:num>
  <w:num w:numId="18">
    <w:abstractNumId w:val="20"/>
  </w:num>
  <w:num w:numId="19">
    <w:abstractNumId w:val="10"/>
  </w:num>
  <w:num w:numId="20">
    <w:abstractNumId w:val="28"/>
  </w:num>
  <w:num w:numId="21">
    <w:abstractNumId w:val="1"/>
  </w:num>
  <w:num w:numId="22">
    <w:abstractNumId w:val="17"/>
  </w:num>
  <w:num w:numId="23">
    <w:abstractNumId w:val="16"/>
  </w:num>
  <w:num w:numId="24">
    <w:abstractNumId w:val="6"/>
  </w:num>
  <w:num w:numId="25">
    <w:abstractNumId w:val="27"/>
  </w:num>
  <w:num w:numId="26">
    <w:abstractNumId w:val="19"/>
  </w:num>
  <w:num w:numId="27">
    <w:abstractNumId w:val="9"/>
  </w:num>
  <w:num w:numId="28">
    <w:abstractNumId w:val="0"/>
  </w:num>
  <w:num w:numId="2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UANGJINGRAN564">
    <w15:presenceInfo w15:providerId="None" w15:userId="HUANGJINGRAN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A4"/>
    <w:rsid w:val="000015E6"/>
    <w:rsid w:val="00003413"/>
    <w:rsid w:val="00005769"/>
    <w:rsid w:val="0000637A"/>
    <w:rsid w:val="00007E2F"/>
    <w:rsid w:val="000116DA"/>
    <w:rsid w:val="000124C9"/>
    <w:rsid w:val="000136FC"/>
    <w:rsid w:val="00013EB0"/>
    <w:rsid w:val="0001420A"/>
    <w:rsid w:val="00014287"/>
    <w:rsid w:val="00014595"/>
    <w:rsid w:val="0001725B"/>
    <w:rsid w:val="00020BF2"/>
    <w:rsid w:val="00020DEB"/>
    <w:rsid w:val="000216BB"/>
    <w:rsid w:val="00021A35"/>
    <w:rsid w:val="000222CD"/>
    <w:rsid w:val="00022533"/>
    <w:rsid w:val="000241A0"/>
    <w:rsid w:val="00025242"/>
    <w:rsid w:val="000263F0"/>
    <w:rsid w:val="00026924"/>
    <w:rsid w:val="00026973"/>
    <w:rsid w:val="0003116C"/>
    <w:rsid w:val="000316C3"/>
    <w:rsid w:val="00031E7F"/>
    <w:rsid w:val="00032288"/>
    <w:rsid w:val="00032582"/>
    <w:rsid w:val="00034AA1"/>
    <w:rsid w:val="00034E2A"/>
    <w:rsid w:val="000364B8"/>
    <w:rsid w:val="000367BD"/>
    <w:rsid w:val="00037041"/>
    <w:rsid w:val="00040D31"/>
    <w:rsid w:val="00040E08"/>
    <w:rsid w:val="00041197"/>
    <w:rsid w:val="000411C7"/>
    <w:rsid w:val="0004238E"/>
    <w:rsid w:val="00043A6D"/>
    <w:rsid w:val="000447B4"/>
    <w:rsid w:val="00046496"/>
    <w:rsid w:val="000468AA"/>
    <w:rsid w:val="00046A95"/>
    <w:rsid w:val="000479EA"/>
    <w:rsid w:val="00047A25"/>
    <w:rsid w:val="00050DBA"/>
    <w:rsid w:val="00051047"/>
    <w:rsid w:val="00051415"/>
    <w:rsid w:val="00051A02"/>
    <w:rsid w:val="00052E79"/>
    <w:rsid w:val="000533C2"/>
    <w:rsid w:val="0005378A"/>
    <w:rsid w:val="00054262"/>
    <w:rsid w:val="000546F7"/>
    <w:rsid w:val="00054C34"/>
    <w:rsid w:val="00054DB4"/>
    <w:rsid w:val="00055EF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685A"/>
    <w:rsid w:val="00067239"/>
    <w:rsid w:val="00067836"/>
    <w:rsid w:val="00067E4C"/>
    <w:rsid w:val="00070B60"/>
    <w:rsid w:val="00070E48"/>
    <w:rsid w:val="000720F7"/>
    <w:rsid w:val="000740E3"/>
    <w:rsid w:val="0007580F"/>
    <w:rsid w:val="00075C24"/>
    <w:rsid w:val="0007698F"/>
    <w:rsid w:val="00076A30"/>
    <w:rsid w:val="00076B02"/>
    <w:rsid w:val="00076B13"/>
    <w:rsid w:val="00076CC9"/>
    <w:rsid w:val="00076D82"/>
    <w:rsid w:val="00080F53"/>
    <w:rsid w:val="000816AD"/>
    <w:rsid w:val="00081E57"/>
    <w:rsid w:val="00082094"/>
    <w:rsid w:val="0008210B"/>
    <w:rsid w:val="00082676"/>
    <w:rsid w:val="00082F75"/>
    <w:rsid w:val="0008335A"/>
    <w:rsid w:val="00084B28"/>
    <w:rsid w:val="00085236"/>
    <w:rsid w:val="0008554A"/>
    <w:rsid w:val="00085955"/>
    <w:rsid w:val="00085FAA"/>
    <w:rsid w:val="000861E6"/>
    <w:rsid w:val="000867AA"/>
    <w:rsid w:val="00087098"/>
    <w:rsid w:val="000872E1"/>
    <w:rsid w:val="000915D1"/>
    <w:rsid w:val="00092336"/>
    <w:rsid w:val="00092EB7"/>
    <w:rsid w:val="00096727"/>
    <w:rsid w:val="00096B85"/>
    <w:rsid w:val="00097E71"/>
    <w:rsid w:val="000A0743"/>
    <w:rsid w:val="000A1D52"/>
    <w:rsid w:val="000A29F7"/>
    <w:rsid w:val="000A38CB"/>
    <w:rsid w:val="000A3D8A"/>
    <w:rsid w:val="000A44F8"/>
    <w:rsid w:val="000A4B9A"/>
    <w:rsid w:val="000A5CC7"/>
    <w:rsid w:val="000A5CE6"/>
    <w:rsid w:val="000A5DA9"/>
    <w:rsid w:val="000A5F96"/>
    <w:rsid w:val="000A62D8"/>
    <w:rsid w:val="000A6371"/>
    <w:rsid w:val="000A6632"/>
    <w:rsid w:val="000A692C"/>
    <w:rsid w:val="000A69F2"/>
    <w:rsid w:val="000A754F"/>
    <w:rsid w:val="000A76ED"/>
    <w:rsid w:val="000A76F2"/>
    <w:rsid w:val="000A7DA6"/>
    <w:rsid w:val="000B002B"/>
    <w:rsid w:val="000B00AB"/>
    <w:rsid w:val="000B076D"/>
    <w:rsid w:val="000B0BC2"/>
    <w:rsid w:val="000B0DBC"/>
    <w:rsid w:val="000B10E5"/>
    <w:rsid w:val="000B1CF0"/>
    <w:rsid w:val="000B2084"/>
    <w:rsid w:val="000B224E"/>
    <w:rsid w:val="000B2C68"/>
    <w:rsid w:val="000B3514"/>
    <w:rsid w:val="000B3D7A"/>
    <w:rsid w:val="000B4765"/>
    <w:rsid w:val="000B49E2"/>
    <w:rsid w:val="000B4B62"/>
    <w:rsid w:val="000B5485"/>
    <w:rsid w:val="000B5BDE"/>
    <w:rsid w:val="000B66FC"/>
    <w:rsid w:val="000B6B36"/>
    <w:rsid w:val="000C02BB"/>
    <w:rsid w:val="000C0921"/>
    <w:rsid w:val="000C0BD4"/>
    <w:rsid w:val="000C29B1"/>
    <w:rsid w:val="000C2DB6"/>
    <w:rsid w:val="000C3254"/>
    <w:rsid w:val="000C370C"/>
    <w:rsid w:val="000C4D5F"/>
    <w:rsid w:val="000C5FD9"/>
    <w:rsid w:val="000C7A09"/>
    <w:rsid w:val="000D0902"/>
    <w:rsid w:val="000D0999"/>
    <w:rsid w:val="000D0DFE"/>
    <w:rsid w:val="000D1DFA"/>
    <w:rsid w:val="000D37CE"/>
    <w:rsid w:val="000D3EA7"/>
    <w:rsid w:val="000D57AE"/>
    <w:rsid w:val="000D6023"/>
    <w:rsid w:val="000D6117"/>
    <w:rsid w:val="000D767D"/>
    <w:rsid w:val="000D7EEB"/>
    <w:rsid w:val="000E16D3"/>
    <w:rsid w:val="000E264E"/>
    <w:rsid w:val="000E28F6"/>
    <w:rsid w:val="000E314B"/>
    <w:rsid w:val="000E3BD3"/>
    <w:rsid w:val="000E3C23"/>
    <w:rsid w:val="000E4AAD"/>
    <w:rsid w:val="000E549E"/>
    <w:rsid w:val="000E604A"/>
    <w:rsid w:val="000E621B"/>
    <w:rsid w:val="000E6308"/>
    <w:rsid w:val="000E6FD5"/>
    <w:rsid w:val="000E7332"/>
    <w:rsid w:val="000E7991"/>
    <w:rsid w:val="000E7D80"/>
    <w:rsid w:val="000F2EC3"/>
    <w:rsid w:val="000F31F4"/>
    <w:rsid w:val="000F338F"/>
    <w:rsid w:val="000F37AD"/>
    <w:rsid w:val="000F3EF4"/>
    <w:rsid w:val="000F4F5D"/>
    <w:rsid w:val="000F5067"/>
    <w:rsid w:val="000F5B5A"/>
    <w:rsid w:val="000F6286"/>
    <w:rsid w:val="000F70FB"/>
    <w:rsid w:val="000F7560"/>
    <w:rsid w:val="000F761E"/>
    <w:rsid w:val="000F7E60"/>
    <w:rsid w:val="0010051E"/>
    <w:rsid w:val="00100AE6"/>
    <w:rsid w:val="00101399"/>
    <w:rsid w:val="001030E9"/>
    <w:rsid w:val="00103BE8"/>
    <w:rsid w:val="0010489B"/>
    <w:rsid w:val="00105A69"/>
    <w:rsid w:val="00105EB7"/>
    <w:rsid w:val="00106E57"/>
    <w:rsid w:val="00111792"/>
    <w:rsid w:val="0011243B"/>
    <w:rsid w:val="001124C0"/>
    <w:rsid w:val="00114412"/>
    <w:rsid w:val="001153A9"/>
    <w:rsid w:val="00115FF1"/>
    <w:rsid w:val="00116DCA"/>
    <w:rsid w:val="00117264"/>
    <w:rsid w:val="00117FE0"/>
    <w:rsid w:val="00120259"/>
    <w:rsid w:val="00120270"/>
    <w:rsid w:val="00120A2E"/>
    <w:rsid w:val="0012239D"/>
    <w:rsid w:val="001224B9"/>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3C0F"/>
    <w:rsid w:val="00144092"/>
    <w:rsid w:val="0014494D"/>
    <w:rsid w:val="00144D67"/>
    <w:rsid w:val="00144E32"/>
    <w:rsid w:val="001456A3"/>
    <w:rsid w:val="00145BF7"/>
    <w:rsid w:val="00145EA3"/>
    <w:rsid w:val="001461CE"/>
    <w:rsid w:val="001468E9"/>
    <w:rsid w:val="00146F8A"/>
    <w:rsid w:val="00147B39"/>
    <w:rsid w:val="0015053C"/>
    <w:rsid w:val="001509E0"/>
    <w:rsid w:val="00150FB9"/>
    <w:rsid w:val="001516BD"/>
    <w:rsid w:val="001521C3"/>
    <w:rsid w:val="001521F5"/>
    <w:rsid w:val="00152C16"/>
    <w:rsid w:val="00152DFD"/>
    <w:rsid w:val="00152FC3"/>
    <w:rsid w:val="001539C7"/>
    <w:rsid w:val="001539F7"/>
    <w:rsid w:val="00154280"/>
    <w:rsid w:val="001547F2"/>
    <w:rsid w:val="0015574C"/>
    <w:rsid w:val="001564A1"/>
    <w:rsid w:val="00156F73"/>
    <w:rsid w:val="00157CC6"/>
    <w:rsid w:val="00157DA1"/>
    <w:rsid w:val="00160796"/>
    <w:rsid w:val="00160AFD"/>
    <w:rsid w:val="00160D08"/>
    <w:rsid w:val="001625C8"/>
    <w:rsid w:val="00162A63"/>
    <w:rsid w:val="00163F1D"/>
    <w:rsid w:val="001645F9"/>
    <w:rsid w:val="00164BD6"/>
    <w:rsid w:val="0016661B"/>
    <w:rsid w:val="00166BB4"/>
    <w:rsid w:val="00166F78"/>
    <w:rsid w:val="001719E1"/>
    <w:rsid w:val="00171DC4"/>
    <w:rsid w:val="001720E0"/>
    <w:rsid w:val="001728D6"/>
    <w:rsid w:val="001733B6"/>
    <w:rsid w:val="00173B24"/>
    <w:rsid w:val="001747B6"/>
    <w:rsid w:val="00174CA8"/>
    <w:rsid w:val="00174D18"/>
    <w:rsid w:val="00175831"/>
    <w:rsid w:val="001758AF"/>
    <w:rsid w:val="0017751C"/>
    <w:rsid w:val="00177C9A"/>
    <w:rsid w:val="00181563"/>
    <w:rsid w:val="0018198C"/>
    <w:rsid w:val="00182A16"/>
    <w:rsid w:val="00182E88"/>
    <w:rsid w:val="001837CA"/>
    <w:rsid w:val="001842C9"/>
    <w:rsid w:val="00184526"/>
    <w:rsid w:val="00184662"/>
    <w:rsid w:val="00184B18"/>
    <w:rsid w:val="00184F8E"/>
    <w:rsid w:val="00190E2C"/>
    <w:rsid w:val="0019232C"/>
    <w:rsid w:val="0019286E"/>
    <w:rsid w:val="00192B8F"/>
    <w:rsid w:val="001931DF"/>
    <w:rsid w:val="00193425"/>
    <w:rsid w:val="001939AA"/>
    <w:rsid w:val="001939F3"/>
    <w:rsid w:val="00193E50"/>
    <w:rsid w:val="0019450F"/>
    <w:rsid w:val="001949C3"/>
    <w:rsid w:val="00194D89"/>
    <w:rsid w:val="00194F48"/>
    <w:rsid w:val="00196084"/>
    <w:rsid w:val="001A0DD5"/>
    <w:rsid w:val="001A1850"/>
    <w:rsid w:val="001A1A0C"/>
    <w:rsid w:val="001A1A34"/>
    <w:rsid w:val="001A1EB4"/>
    <w:rsid w:val="001A2063"/>
    <w:rsid w:val="001A2D92"/>
    <w:rsid w:val="001A33BC"/>
    <w:rsid w:val="001A4B04"/>
    <w:rsid w:val="001A55DE"/>
    <w:rsid w:val="001A56F2"/>
    <w:rsid w:val="001A5951"/>
    <w:rsid w:val="001A6912"/>
    <w:rsid w:val="001A6ADE"/>
    <w:rsid w:val="001A7751"/>
    <w:rsid w:val="001B011B"/>
    <w:rsid w:val="001B013B"/>
    <w:rsid w:val="001B1563"/>
    <w:rsid w:val="001B1D54"/>
    <w:rsid w:val="001B22B0"/>
    <w:rsid w:val="001B2350"/>
    <w:rsid w:val="001B23F7"/>
    <w:rsid w:val="001B32AF"/>
    <w:rsid w:val="001B32F1"/>
    <w:rsid w:val="001B55D1"/>
    <w:rsid w:val="001B5F3B"/>
    <w:rsid w:val="001B62B4"/>
    <w:rsid w:val="001B6DF9"/>
    <w:rsid w:val="001B7D1B"/>
    <w:rsid w:val="001C1F6E"/>
    <w:rsid w:val="001C22CB"/>
    <w:rsid w:val="001C2C7B"/>
    <w:rsid w:val="001C368E"/>
    <w:rsid w:val="001C4276"/>
    <w:rsid w:val="001C4AD6"/>
    <w:rsid w:val="001C4D0F"/>
    <w:rsid w:val="001C5884"/>
    <w:rsid w:val="001C5D8C"/>
    <w:rsid w:val="001C64FC"/>
    <w:rsid w:val="001C65BB"/>
    <w:rsid w:val="001C6B3B"/>
    <w:rsid w:val="001C7054"/>
    <w:rsid w:val="001C7B51"/>
    <w:rsid w:val="001C7C25"/>
    <w:rsid w:val="001D1180"/>
    <w:rsid w:val="001D1998"/>
    <w:rsid w:val="001D1F23"/>
    <w:rsid w:val="001D20A9"/>
    <w:rsid w:val="001D27AE"/>
    <w:rsid w:val="001D27E5"/>
    <w:rsid w:val="001D2B35"/>
    <w:rsid w:val="001D37D8"/>
    <w:rsid w:val="001D5E91"/>
    <w:rsid w:val="001E2DFD"/>
    <w:rsid w:val="001E3197"/>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554"/>
    <w:rsid w:val="001F4684"/>
    <w:rsid w:val="001F480B"/>
    <w:rsid w:val="001F4A13"/>
    <w:rsid w:val="001F4A30"/>
    <w:rsid w:val="001F5282"/>
    <w:rsid w:val="001F5414"/>
    <w:rsid w:val="001F6682"/>
    <w:rsid w:val="001F7AAF"/>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2E7"/>
    <w:rsid w:val="00210E98"/>
    <w:rsid w:val="00211B78"/>
    <w:rsid w:val="002122D8"/>
    <w:rsid w:val="002127D0"/>
    <w:rsid w:val="00212ED7"/>
    <w:rsid w:val="00213681"/>
    <w:rsid w:val="00213CF8"/>
    <w:rsid w:val="00214185"/>
    <w:rsid w:val="002152EB"/>
    <w:rsid w:val="002158ED"/>
    <w:rsid w:val="00216883"/>
    <w:rsid w:val="00216AD5"/>
    <w:rsid w:val="002173B5"/>
    <w:rsid w:val="002176BA"/>
    <w:rsid w:val="002200DB"/>
    <w:rsid w:val="0022048A"/>
    <w:rsid w:val="0022075E"/>
    <w:rsid w:val="00220E74"/>
    <w:rsid w:val="00221E38"/>
    <w:rsid w:val="00222007"/>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503"/>
    <w:rsid w:val="00234B51"/>
    <w:rsid w:val="00234D95"/>
    <w:rsid w:val="002352CD"/>
    <w:rsid w:val="002355A8"/>
    <w:rsid w:val="0023618D"/>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24"/>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1C3E"/>
    <w:rsid w:val="002722B9"/>
    <w:rsid w:val="002722D8"/>
    <w:rsid w:val="00272878"/>
    <w:rsid w:val="0027290B"/>
    <w:rsid w:val="002732DE"/>
    <w:rsid w:val="0027454C"/>
    <w:rsid w:val="00274664"/>
    <w:rsid w:val="0027474D"/>
    <w:rsid w:val="0027539D"/>
    <w:rsid w:val="0027608B"/>
    <w:rsid w:val="00276C8A"/>
    <w:rsid w:val="002773AC"/>
    <w:rsid w:val="002775DC"/>
    <w:rsid w:val="002775FA"/>
    <w:rsid w:val="00277686"/>
    <w:rsid w:val="00277820"/>
    <w:rsid w:val="00277B6A"/>
    <w:rsid w:val="00277F06"/>
    <w:rsid w:val="00280167"/>
    <w:rsid w:val="00280172"/>
    <w:rsid w:val="0028020B"/>
    <w:rsid w:val="00281148"/>
    <w:rsid w:val="002813E5"/>
    <w:rsid w:val="0028214A"/>
    <w:rsid w:val="00283687"/>
    <w:rsid w:val="00283769"/>
    <w:rsid w:val="002842A2"/>
    <w:rsid w:val="00284AD1"/>
    <w:rsid w:val="002858DF"/>
    <w:rsid w:val="002876D4"/>
    <w:rsid w:val="00293002"/>
    <w:rsid w:val="00293116"/>
    <w:rsid w:val="00293128"/>
    <w:rsid w:val="002939A7"/>
    <w:rsid w:val="00294386"/>
    <w:rsid w:val="002944CA"/>
    <w:rsid w:val="00294520"/>
    <w:rsid w:val="002945B9"/>
    <w:rsid w:val="00294F91"/>
    <w:rsid w:val="002952F0"/>
    <w:rsid w:val="00295877"/>
    <w:rsid w:val="00295AF5"/>
    <w:rsid w:val="00295B18"/>
    <w:rsid w:val="00295BBD"/>
    <w:rsid w:val="00295BC4"/>
    <w:rsid w:val="00296C6A"/>
    <w:rsid w:val="00297AAA"/>
    <w:rsid w:val="00297F0A"/>
    <w:rsid w:val="00297F4D"/>
    <w:rsid w:val="002A02BB"/>
    <w:rsid w:val="002A111D"/>
    <w:rsid w:val="002A1BAF"/>
    <w:rsid w:val="002A2035"/>
    <w:rsid w:val="002A25B0"/>
    <w:rsid w:val="002A27BE"/>
    <w:rsid w:val="002A31DC"/>
    <w:rsid w:val="002A3393"/>
    <w:rsid w:val="002A3F6E"/>
    <w:rsid w:val="002A4A5B"/>
    <w:rsid w:val="002A6677"/>
    <w:rsid w:val="002A67A6"/>
    <w:rsid w:val="002A6820"/>
    <w:rsid w:val="002A7641"/>
    <w:rsid w:val="002A7B95"/>
    <w:rsid w:val="002B2506"/>
    <w:rsid w:val="002B2668"/>
    <w:rsid w:val="002B26D1"/>
    <w:rsid w:val="002B3605"/>
    <w:rsid w:val="002B4381"/>
    <w:rsid w:val="002B5E65"/>
    <w:rsid w:val="002B6726"/>
    <w:rsid w:val="002B710C"/>
    <w:rsid w:val="002B7F44"/>
    <w:rsid w:val="002C031C"/>
    <w:rsid w:val="002C0D2D"/>
    <w:rsid w:val="002C2D7A"/>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22B"/>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3BFD"/>
    <w:rsid w:val="002F413F"/>
    <w:rsid w:val="002F443E"/>
    <w:rsid w:val="002F47E7"/>
    <w:rsid w:val="002F4A1E"/>
    <w:rsid w:val="002F5064"/>
    <w:rsid w:val="002F6BCB"/>
    <w:rsid w:val="002F784A"/>
    <w:rsid w:val="002F786C"/>
    <w:rsid w:val="002F7B61"/>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640F"/>
    <w:rsid w:val="003173FE"/>
    <w:rsid w:val="00320853"/>
    <w:rsid w:val="00321131"/>
    <w:rsid w:val="00323ABA"/>
    <w:rsid w:val="00324393"/>
    <w:rsid w:val="00324A8C"/>
    <w:rsid w:val="00325364"/>
    <w:rsid w:val="003270AB"/>
    <w:rsid w:val="0033035E"/>
    <w:rsid w:val="00330EEC"/>
    <w:rsid w:val="0033207C"/>
    <w:rsid w:val="00332EBC"/>
    <w:rsid w:val="0033300D"/>
    <w:rsid w:val="0033313A"/>
    <w:rsid w:val="003333D5"/>
    <w:rsid w:val="0033415A"/>
    <w:rsid w:val="00334C74"/>
    <w:rsid w:val="00335316"/>
    <w:rsid w:val="003357FF"/>
    <w:rsid w:val="003363D1"/>
    <w:rsid w:val="00336B48"/>
    <w:rsid w:val="00336CE0"/>
    <w:rsid w:val="003379E7"/>
    <w:rsid w:val="00340018"/>
    <w:rsid w:val="00341426"/>
    <w:rsid w:val="00341CE7"/>
    <w:rsid w:val="00341DD2"/>
    <w:rsid w:val="003423C4"/>
    <w:rsid w:val="0034281D"/>
    <w:rsid w:val="00342BD5"/>
    <w:rsid w:val="0034305E"/>
    <w:rsid w:val="00343141"/>
    <w:rsid w:val="003431FB"/>
    <w:rsid w:val="00344C4E"/>
    <w:rsid w:val="00344DAB"/>
    <w:rsid w:val="00344EA5"/>
    <w:rsid w:val="00344F02"/>
    <w:rsid w:val="003468FE"/>
    <w:rsid w:val="0034721D"/>
    <w:rsid w:val="00347B5E"/>
    <w:rsid w:val="00347FD7"/>
    <w:rsid w:val="00351519"/>
    <w:rsid w:val="0035169E"/>
    <w:rsid w:val="003523A1"/>
    <w:rsid w:val="0035315D"/>
    <w:rsid w:val="00353C39"/>
    <w:rsid w:val="00353D3B"/>
    <w:rsid w:val="00354D3A"/>
    <w:rsid w:val="0035572B"/>
    <w:rsid w:val="0035576E"/>
    <w:rsid w:val="00355958"/>
    <w:rsid w:val="00356370"/>
    <w:rsid w:val="00356604"/>
    <w:rsid w:val="00360CB7"/>
    <w:rsid w:val="00361785"/>
    <w:rsid w:val="00362DFE"/>
    <w:rsid w:val="00363834"/>
    <w:rsid w:val="0036385B"/>
    <w:rsid w:val="00363F97"/>
    <w:rsid w:val="00364037"/>
    <w:rsid w:val="003648D4"/>
    <w:rsid w:val="0036514B"/>
    <w:rsid w:val="00365262"/>
    <w:rsid w:val="003655CA"/>
    <w:rsid w:val="00365A03"/>
    <w:rsid w:val="00365A53"/>
    <w:rsid w:val="00366A4B"/>
    <w:rsid w:val="003671ED"/>
    <w:rsid w:val="00367AE5"/>
    <w:rsid w:val="003703AB"/>
    <w:rsid w:val="00370B7B"/>
    <w:rsid w:val="003718B1"/>
    <w:rsid w:val="00371B59"/>
    <w:rsid w:val="00371C85"/>
    <w:rsid w:val="00372540"/>
    <w:rsid w:val="003734F1"/>
    <w:rsid w:val="00373598"/>
    <w:rsid w:val="003742CF"/>
    <w:rsid w:val="00375DE6"/>
    <w:rsid w:val="003768F9"/>
    <w:rsid w:val="00376AF8"/>
    <w:rsid w:val="00376D8A"/>
    <w:rsid w:val="00377AC1"/>
    <w:rsid w:val="00377C3C"/>
    <w:rsid w:val="00377DDF"/>
    <w:rsid w:val="00381BD5"/>
    <w:rsid w:val="00382C6E"/>
    <w:rsid w:val="003836FF"/>
    <w:rsid w:val="0038648E"/>
    <w:rsid w:val="00386C24"/>
    <w:rsid w:val="00387004"/>
    <w:rsid w:val="00387778"/>
    <w:rsid w:val="00387D82"/>
    <w:rsid w:val="00387E48"/>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914"/>
    <w:rsid w:val="003A0B94"/>
    <w:rsid w:val="003A0CB1"/>
    <w:rsid w:val="003A0D57"/>
    <w:rsid w:val="003A1175"/>
    <w:rsid w:val="003A1B26"/>
    <w:rsid w:val="003A30A8"/>
    <w:rsid w:val="003A31DF"/>
    <w:rsid w:val="003A3AE2"/>
    <w:rsid w:val="003A3DC1"/>
    <w:rsid w:val="003A443F"/>
    <w:rsid w:val="003A51A3"/>
    <w:rsid w:val="003A652D"/>
    <w:rsid w:val="003A7110"/>
    <w:rsid w:val="003A7622"/>
    <w:rsid w:val="003A7657"/>
    <w:rsid w:val="003B0F3E"/>
    <w:rsid w:val="003B24FB"/>
    <w:rsid w:val="003B33AE"/>
    <w:rsid w:val="003B3820"/>
    <w:rsid w:val="003B42D6"/>
    <w:rsid w:val="003B4885"/>
    <w:rsid w:val="003B5B6B"/>
    <w:rsid w:val="003B6333"/>
    <w:rsid w:val="003B6FEF"/>
    <w:rsid w:val="003C0D0C"/>
    <w:rsid w:val="003C1A89"/>
    <w:rsid w:val="003C31B8"/>
    <w:rsid w:val="003C366F"/>
    <w:rsid w:val="003C3BEE"/>
    <w:rsid w:val="003C4A94"/>
    <w:rsid w:val="003C4F3F"/>
    <w:rsid w:val="003C5BD1"/>
    <w:rsid w:val="003C61E5"/>
    <w:rsid w:val="003C6C61"/>
    <w:rsid w:val="003C6E53"/>
    <w:rsid w:val="003D0044"/>
    <w:rsid w:val="003D1D6C"/>
    <w:rsid w:val="003D26B7"/>
    <w:rsid w:val="003D37FD"/>
    <w:rsid w:val="003D390F"/>
    <w:rsid w:val="003D3956"/>
    <w:rsid w:val="003D3BB5"/>
    <w:rsid w:val="003D4631"/>
    <w:rsid w:val="003D55B5"/>
    <w:rsid w:val="003D5666"/>
    <w:rsid w:val="003D58EA"/>
    <w:rsid w:val="003D6371"/>
    <w:rsid w:val="003D7B37"/>
    <w:rsid w:val="003D7B45"/>
    <w:rsid w:val="003E0165"/>
    <w:rsid w:val="003E0BDA"/>
    <w:rsid w:val="003E1982"/>
    <w:rsid w:val="003E1C90"/>
    <w:rsid w:val="003E20BF"/>
    <w:rsid w:val="003E2FD0"/>
    <w:rsid w:val="003E4335"/>
    <w:rsid w:val="003E434D"/>
    <w:rsid w:val="003E4D13"/>
    <w:rsid w:val="003E5248"/>
    <w:rsid w:val="003E5981"/>
    <w:rsid w:val="003E5B69"/>
    <w:rsid w:val="003E621F"/>
    <w:rsid w:val="003E72A0"/>
    <w:rsid w:val="003E7B08"/>
    <w:rsid w:val="003F0837"/>
    <w:rsid w:val="003F1882"/>
    <w:rsid w:val="003F25F1"/>
    <w:rsid w:val="003F29F2"/>
    <w:rsid w:val="003F2D84"/>
    <w:rsid w:val="003F40A1"/>
    <w:rsid w:val="003F47C2"/>
    <w:rsid w:val="003F4FC7"/>
    <w:rsid w:val="003F5581"/>
    <w:rsid w:val="003F5F58"/>
    <w:rsid w:val="00401623"/>
    <w:rsid w:val="00401B03"/>
    <w:rsid w:val="00402A8B"/>
    <w:rsid w:val="00402B69"/>
    <w:rsid w:val="00403334"/>
    <w:rsid w:val="004034B9"/>
    <w:rsid w:val="0040364E"/>
    <w:rsid w:val="004047B6"/>
    <w:rsid w:val="00405D7C"/>
    <w:rsid w:val="004061D8"/>
    <w:rsid w:val="004079DC"/>
    <w:rsid w:val="00407DC3"/>
    <w:rsid w:val="00407E03"/>
    <w:rsid w:val="00407F3C"/>
    <w:rsid w:val="00410456"/>
    <w:rsid w:val="00410472"/>
    <w:rsid w:val="004106FD"/>
    <w:rsid w:val="00410743"/>
    <w:rsid w:val="00410A58"/>
    <w:rsid w:val="00410F0F"/>
    <w:rsid w:val="0041168F"/>
    <w:rsid w:val="00412C45"/>
    <w:rsid w:val="00413C87"/>
    <w:rsid w:val="0041738A"/>
    <w:rsid w:val="004175F4"/>
    <w:rsid w:val="00417C30"/>
    <w:rsid w:val="004203A2"/>
    <w:rsid w:val="00420676"/>
    <w:rsid w:val="00420980"/>
    <w:rsid w:val="00421A2C"/>
    <w:rsid w:val="0042274A"/>
    <w:rsid w:val="00422C04"/>
    <w:rsid w:val="00422CA9"/>
    <w:rsid w:val="00422FCA"/>
    <w:rsid w:val="00423E30"/>
    <w:rsid w:val="00424156"/>
    <w:rsid w:val="00424437"/>
    <w:rsid w:val="00424843"/>
    <w:rsid w:val="00424BDF"/>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AF3"/>
    <w:rsid w:val="00435B0C"/>
    <w:rsid w:val="00435C0A"/>
    <w:rsid w:val="00435D72"/>
    <w:rsid w:val="00436A71"/>
    <w:rsid w:val="00437479"/>
    <w:rsid w:val="00440E3E"/>
    <w:rsid w:val="00441391"/>
    <w:rsid w:val="004414BE"/>
    <w:rsid w:val="00441E42"/>
    <w:rsid w:val="0044326C"/>
    <w:rsid w:val="004436E2"/>
    <w:rsid w:val="00443F59"/>
    <w:rsid w:val="004445EE"/>
    <w:rsid w:val="0044539A"/>
    <w:rsid w:val="00445943"/>
    <w:rsid w:val="00445F59"/>
    <w:rsid w:val="00451FE7"/>
    <w:rsid w:val="00452536"/>
    <w:rsid w:val="00452E1E"/>
    <w:rsid w:val="00453251"/>
    <w:rsid w:val="00454191"/>
    <w:rsid w:val="004542EA"/>
    <w:rsid w:val="00454544"/>
    <w:rsid w:val="004548AF"/>
    <w:rsid w:val="00454B65"/>
    <w:rsid w:val="00455271"/>
    <w:rsid w:val="0045611D"/>
    <w:rsid w:val="00456136"/>
    <w:rsid w:val="00456364"/>
    <w:rsid w:val="0045669C"/>
    <w:rsid w:val="00456DD7"/>
    <w:rsid w:val="00457130"/>
    <w:rsid w:val="004579D8"/>
    <w:rsid w:val="00457DB2"/>
    <w:rsid w:val="00457F31"/>
    <w:rsid w:val="004600D8"/>
    <w:rsid w:val="004600F8"/>
    <w:rsid w:val="004608B0"/>
    <w:rsid w:val="0046199E"/>
    <w:rsid w:val="00461AEC"/>
    <w:rsid w:val="00461C65"/>
    <w:rsid w:val="004629ED"/>
    <w:rsid w:val="00463644"/>
    <w:rsid w:val="00463DD0"/>
    <w:rsid w:val="00465317"/>
    <w:rsid w:val="00466DE3"/>
    <w:rsid w:val="00467267"/>
    <w:rsid w:val="00467B98"/>
    <w:rsid w:val="00471485"/>
    <w:rsid w:val="004714F7"/>
    <w:rsid w:val="00471C9C"/>
    <w:rsid w:val="004728B2"/>
    <w:rsid w:val="00472C8A"/>
    <w:rsid w:val="00474621"/>
    <w:rsid w:val="004746A0"/>
    <w:rsid w:val="004757F1"/>
    <w:rsid w:val="00475BA7"/>
    <w:rsid w:val="0047661D"/>
    <w:rsid w:val="00477A09"/>
    <w:rsid w:val="00480C59"/>
    <w:rsid w:val="0048223F"/>
    <w:rsid w:val="004822C8"/>
    <w:rsid w:val="004827E9"/>
    <w:rsid w:val="00482D39"/>
    <w:rsid w:val="004846F7"/>
    <w:rsid w:val="0048577A"/>
    <w:rsid w:val="0048594A"/>
    <w:rsid w:val="004859E6"/>
    <w:rsid w:val="00485F06"/>
    <w:rsid w:val="004864C8"/>
    <w:rsid w:val="004865B4"/>
    <w:rsid w:val="00486E64"/>
    <w:rsid w:val="00486FB7"/>
    <w:rsid w:val="00490936"/>
    <w:rsid w:val="004911E5"/>
    <w:rsid w:val="00491D3D"/>
    <w:rsid w:val="00493279"/>
    <w:rsid w:val="0049337F"/>
    <w:rsid w:val="004954A7"/>
    <w:rsid w:val="0049597A"/>
    <w:rsid w:val="004959FD"/>
    <w:rsid w:val="00495FBC"/>
    <w:rsid w:val="004961F9"/>
    <w:rsid w:val="00496D0C"/>
    <w:rsid w:val="00496E19"/>
    <w:rsid w:val="00497D54"/>
    <w:rsid w:val="004A06FC"/>
    <w:rsid w:val="004A0849"/>
    <w:rsid w:val="004A24E6"/>
    <w:rsid w:val="004A27AD"/>
    <w:rsid w:val="004A31A8"/>
    <w:rsid w:val="004A65AD"/>
    <w:rsid w:val="004A6F75"/>
    <w:rsid w:val="004A6FA6"/>
    <w:rsid w:val="004A73E1"/>
    <w:rsid w:val="004A7EF2"/>
    <w:rsid w:val="004B12F5"/>
    <w:rsid w:val="004B18DA"/>
    <w:rsid w:val="004B19D4"/>
    <w:rsid w:val="004B1C15"/>
    <w:rsid w:val="004B1C84"/>
    <w:rsid w:val="004B21EF"/>
    <w:rsid w:val="004B2BC1"/>
    <w:rsid w:val="004B4B97"/>
    <w:rsid w:val="004B63CE"/>
    <w:rsid w:val="004B6F92"/>
    <w:rsid w:val="004C03C6"/>
    <w:rsid w:val="004C0CF5"/>
    <w:rsid w:val="004C0FE4"/>
    <w:rsid w:val="004C1342"/>
    <w:rsid w:val="004C13FF"/>
    <w:rsid w:val="004C2282"/>
    <w:rsid w:val="004C2FE8"/>
    <w:rsid w:val="004C43D6"/>
    <w:rsid w:val="004C4515"/>
    <w:rsid w:val="004C5273"/>
    <w:rsid w:val="004C6EFE"/>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251"/>
    <w:rsid w:val="004F073D"/>
    <w:rsid w:val="004F0DF8"/>
    <w:rsid w:val="004F13D0"/>
    <w:rsid w:val="004F1BBB"/>
    <w:rsid w:val="004F1E36"/>
    <w:rsid w:val="004F22C9"/>
    <w:rsid w:val="004F289F"/>
    <w:rsid w:val="004F32A6"/>
    <w:rsid w:val="004F4455"/>
    <w:rsid w:val="004F4991"/>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6C3E"/>
    <w:rsid w:val="00507671"/>
    <w:rsid w:val="00507B14"/>
    <w:rsid w:val="00507CC9"/>
    <w:rsid w:val="00510C84"/>
    <w:rsid w:val="00511491"/>
    <w:rsid w:val="00511757"/>
    <w:rsid w:val="00511A0D"/>
    <w:rsid w:val="00511E58"/>
    <w:rsid w:val="00511FC9"/>
    <w:rsid w:val="00513C4E"/>
    <w:rsid w:val="00513DA1"/>
    <w:rsid w:val="005144CD"/>
    <w:rsid w:val="0051472B"/>
    <w:rsid w:val="00514895"/>
    <w:rsid w:val="00514A13"/>
    <w:rsid w:val="00516279"/>
    <w:rsid w:val="005162D6"/>
    <w:rsid w:val="005163A6"/>
    <w:rsid w:val="00517873"/>
    <w:rsid w:val="00517B4F"/>
    <w:rsid w:val="0052022F"/>
    <w:rsid w:val="00520FB0"/>
    <w:rsid w:val="005216F3"/>
    <w:rsid w:val="00523802"/>
    <w:rsid w:val="00523DE2"/>
    <w:rsid w:val="00523E9E"/>
    <w:rsid w:val="005248FA"/>
    <w:rsid w:val="00525A03"/>
    <w:rsid w:val="00525BA0"/>
    <w:rsid w:val="00525C9C"/>
    <w:rsid w:val="00525F5F"/>
    <w:rsid w:val="0052624B"/>
    <w:rsid w:val="005263A0"/>
    <w:rsid w:val="00526B60"/>
    <w:rsid w:val="005275A1"/>
    <w:rsid w:val="00527ACA"/>
    <w:rsid w:val="0053049E"/>
    <w:rsid w:val="00530BE3"/>
    <w:rsid w:val="00530EF2"/>
    <w:rsid w:val="00531DC7"/>
    <w:rsid w:val="00532A9C"/>
    <w:rsid w:val="00532C55"/>
    <w:rsid w:val="0053402A"/>
    <w:rsid w:val="005342FC"/>
    <w:rsid w:val="005359DA"/>
    <w:rsid w:val="005367A5"/>
    <w:rsid w:val="005369DB"/>
    <w:rsid w:val="00536CC5"/>
    <w:rsid w:val="00540A1C"/>
    <w:rsid w:val="00542062"/>
    <w:rsid w:val="005420ED"/>
    <w:rsid w:val="00542A8F"/>
    <w:rsid w:val="00542D51"/>
    <w:rsid w:val="005430D8"/>
    <w:rsid w:val="0054310F"/>
    <w:rsid w:val="0054370A"/>
    <w:rsid w:val="0054440D"/>
    <w:rsid w:val="00544B8D"/>
    <w:rsid w:val="00544EAA"/>
    <w:rsid w:val="00545071"/>
    <w:rsid w:val="00546563"/>
    <w:rsid w:val="00546E19"/>
    <w:rsid w:val="005472C5"/>
    <w:rsid w:val="00550126"/>
    <w:rsid w:val="0055065F"/>
    <w:rsid w:val="005513D2"/>
    <w:rsid w:val="005524B5"/>
    <w:rsid w:val="00552857"/>
    <w:rsid w:val="00554A74"/>
    <w:rsid w:val="00556234"/>
    <w:rsid w:val="005565E7"/>
    <w:rsid w:val="005600BC"/>
    <w:rsid w:val="00561216"/>
    <w:rsid w:val="00561295"/>
    <w:rsid w:val="00562B41"/>
    <w:rsid w:val="00564015"/>
    <w:rsid w:val="00564194"/>
    <w:rsid w:val="00564D57"/>
    <w:rsid w:val="005650B7"/>
    <w:rsid w:val="00566852"/>
    <w:rsid w:val="005674CB"/>
    <w:rsid w:val="00567B3C"/>
    <w:rsid w:val="005700E4"/>
    <w:rsid w:val="0057097A"/>
    <w:rsid w:val="00571249"/>
    <w:rsid w:val="005719BC"/>
    <w:rsid w:val="00571E57"/>
    <w:rsid w:val="00572725"/>
    <w:rsid w:val="0057306D"/>
    <w:rsid w:val="00573FC3"/>
    <w:rsid w:val="00574FA0"/>
    <w:rsid w:val="00575303"/>
    <w:rsid w:val="00575A9A"/>
    <w:rsid w:val="005760AD"/>
    <w:rsid w:val="0057677D"/>
    <w:rsid w:val="00577725"/>
    <w:rsid w:val="0057792A"/>
    <w:rsid w:val="0057794F"/>
    <w:rsid w:val="00577D45"/>
    <w:rsid w:val="00580F3A"/>
    <w:rsid w:val="00581621"/>
    <w:rsid w:val="00581A59"/>
    <w:rsid w:val="0058333C"/>
    <w:rsid w:val="0058376E"/>
    <w:rsid w:val="00583BD4"/>
    <w:rsid w:val="00583D6A"/>
    <w:rsid w:val="00583D6D"/>
    <w:rsid w:val="00584274"/>
    <w:rsid w:val="0058506A"/>
    <w:rsid w:val="00585239"/>
    <w:rsid w:val="00585C87"/>
    <w:rsid w:val="00585D8F"/>
    <w:rsid w:val="005867A1"/>
    <w:rsid w:val="005874CD"/>
    <w:rsid w:val="00590A7B"/>
    <w:rsid w:val="00592A81"/>
    <w:rsid w:val="005938F4"/>
    <w:rsid w:val="005948EB"/>
    <w:rsid w:val="0059491B"/>
    <w:rsid w:val="005949E0"/>
    <w:rsid w:val="00594DC2"/>
    <w:rsid w:val="00595055"/>
    <w:rsid w:val="0059617A"/>
    <w:rsid w:val="0059735F"/>
    <w:rsid w:val="00597913"/>
    <w:rsid w:val="00597DA3"/>
    <w:rsid w:val="005A0C6B"/>
    <w:rsid w:val="005A20B5"/>
    <w:rsid w:val="005A264A"/>
    <w:rsid w:val="005A27ED"/>
    <w:rsid w:val="005A2CF0"/>
    <w:rsid w:val="005A2CF9"/>
    <w:rsid w:val="005A2D77"/>
    <w:rsid w:val="005A3821"/>
    <w:rsid w:val="005A3BAA"/>
    <w:rsid w:val="005A3FCA"/>
    <w:rsid w:val="005A54CD"/>
    <w:rsid w:val="005A5799"/>
    <w:rsid w:val="005A6D48"/>
    <w:rsid w:val="005B02BB"/>
    <w:rsid w:val="005B02CD"/>
    <w:rsid w:val="005B0AB1"/>
    <w:rsid w:val="005B1433"/>
    <w:rsid w:val="005B1592"/>
    <w:rsid w:val="005B218A"/>
    <w:rsid w:val="005B2821"/>
    <w:rsid w:val="005B3177"/>
    <w:rsid w:val="005B3398"/>
    <w:rsid w:val="005B35FD"/>
    <w:rsid w:val="005B37A8"/>
    <w:rsid w:val="005B3A74"/>
    <w:rsid w:val="005B3B80"/>
    <w:rsid w:val="005B4594"/>
    <w:rsid w:val="005B4DC1"/>
    <w:rsid w:val="005B5647"/>
    <w:rsid w:val="005B5BAA"/>
    <w:rsid w:val="005B68C8"/>
    <w:rsid w:val="005B7976"/>
    <w:rsid w:val="005B7A48"/>
    <w:rsid w:val="005C0356"/>
    <w:rsid w:val="005C08E8"/>
    <w:rsid w:val="005C1AD6"/>
    <w:rsid w:val="005C2437"/>
    <w:rsid w:val="005C2546"/>
    <w:rsid w:val="005C2F19"/>
    <w:rsid w:val="005C3C54"/>
    <w:rsid w:val="005C4D2F"/>
    <w:rsid w:val="005C504F"/>
    <w:rsid w:val="005C50A2"/>
    <w:rsid w:val="005C57AE"/>
    <w:rsid w:val="005C5CD7"/>
    <w:rsid w:val="005C7265"/>
    <w:rsid w:val="005C76E8"/>
    <w:rsid w:val="005C77B4"/>
    <w:rsid w:val="005D05D5"/>
    <w:rsid w:val="005D10DC"/>
    <w:rsid w:val="005D142D"/>
    <w:rsid w:val="005D203D"/>
    <w:rsid w:val="005D2498"/>
    <w:rsid w:val="005D26A2"/>
    <w:rsid w:val="005D279E"/>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419F"/>
    <w:rsid w:val="005E5382"/>
    <w:rsid w:val="005E5BA5"/>
    <w:rsid w:val="005E6902"/>
    <w:rsid w:val="005E7F5E"/>
    <w:rsid w:val="005F0653"/>
    <w:rsid w:val="005F0CA0"/>
    <w:rsid w:val="005F0CCD"/>
    <w:rsid w:val="005F17A8"/>
    <w:rsid w:val="005F20D8"/>
    <w:rsid w:val="005F217C"/>
    <w:rsid w:val="005F3CE0"/>
    <w:rsid w:val="005F4D99"/>
    <w:rsid w:val="005F64EB"/>
    <w:rsid w:val="005F71C3"/>
    <w:rsid w:val="005F78BF"/>
    <w:rsid w:val="005F7A6C"/>
    <w:rsid w:val="00600468"/>
    <w:rsid w:val="00600ECD"/>
    <w:rsid w:val="00601281"/>
    <w:rsid w:val="0060150F"/>
    <w:rsid w:val="0060193C"/>
    <w:rsid w:val="00601FEB"/>
    <w:rsid w:val="0060239F"/>
    <w:rsid w:val="0060302D"/>
    <w:rsid w:val="0060326B"/>
    <w:rsid w:val="00603A41"/>
    <w:rsid w:val="00603C54"/>
    <w:rsid w:val="00604F44"/>
    <w:rsid w:val="0060552E"/>
    <w:rsid w:val="00605F8A"/>
    <w:rsid w:val="006067D3"/>
    <w:rsid w:val="00606B58"/>
    <w:rsid w:val="00606B73"/>
    <w:rsid w:val="00606D4E"/>
    <w:rsid w:val="006070F9"/>
    <w:rsid w:val="0060728E"/>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1EAE"/>
    <w:rsid w:val="00622B13"/>
    <w:rsid w:val="00623327"/>
    <w:rsid w:val="00623B7C"/>
    <w:rsid w:val="00625E05"/>
    <w:rsid w:val="006272F3"/>
    <w:rsid w:val="006275A8"/>
    <w:rsid w:val="00627D98"/>
    <w:rsid w:val="00630AFE"/>
    <w:rsid w:val="00630D8D"/>
    <w:rsid w:val="00631127"/>
    <w:rsid w:val="00631132"/>
    <w:rsid w:val="006315BB"/>
    <w:rsid w:val="00631F28"/>
    <w:rsid w:val="00632503"/>
    <w:rsid w:val="0063371C"/>
    <w:rsid w:val="00634866"/>
    <w:rsid w:val="00637288"/>
    <w:rsid w:val="006372F6"/>
    <w:rsid w:val="00637546"/>
    <w:rsid w:val="00640AAE"/>
    <w:rsid w:val="00640EEB"/>
    <w:rsid w:val="00642ADD"/>
    <w:rsid w:val="00642DE4"/>
    <w:rsid w:val="00642FE5"/>
    <w:rsid w:val="00644346"/>
    <w:rsid w:val="00644658"/>
    <w:rsid w:val="00644817"/>
    <w:rsid w:val="00644C11"/>
    <w:rsid w:val="00644D39"/>
    <w:rsid w:val="00646525"/>
    <w:rsid w:val="00646C4E"/>
    <w:rsid w:val="006475E7"/>
    <w:rsid w:val="00647668"/>
    <w:rsid w:val="00650233"/>
    <w:rsid w:val="00650F15"/>
    <w:rsid w:val="00651028"/>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32"/>
    <w:rsid w:val="006725A6"/>
    <w:rsid w:val="0067285C"/>
    <w:rsid w:val="00672C0F"/>
    <w:rsid w:val="00674CEF"/>
    <w:rsid w:val="00674E68"/>
    <w:rsid w:val="006753FB"/>
    <w:rsid w:val="00675C8D"/>
    <w:rsid w:val="00675CD4"/>
    <w:rsid w:val="00677126"/>
    <w:rsid w:val="00677A25"/>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B2A"/>
    <w:rsid w:val="00685FA6"/>
    <w:rsid w:val="0068671D"/>
    <w:rsid w:val="00686860"/>
    <w:rsid w:val="00686DA3"/>
    <w:rsid w:val="00687501"/>
    <w:rsid w:val="00687BE9"/>
    <w:rsid w:val="00690B86"/>
    <w:rsid w:val="00691ABA"/>
    <w:rsid w:val="0069251A"/>
    <w:rsid w:val="006927A0"/>
    <w:rsid w:val="00693C5F"/>
    <w:rsid w:val="00694B4F"/>
    <w:rsid w:val="00694E3D"/>
    <w:rsid w:val="006956E6"/>
    <w:rsid w:val="00695EF2"/>
    <w:rsid w:val="00696562"/>
    <w:rsid w:val="00696B58"/>
    <w:rsid w:val="006976A2"/>
    <w:rsid w:val="00697FEC"/>
    <w:rsid w:val="006A0246"/>
    <w:rsid w:val="006A04C9"/>
    <w:rsid w:val="006A0B1B"/>
    <w:rsid w:val="006A12C3"/>
    <w:rsid w:val="006A189D"/>
    <w:rsid w:val="006A3F5E"/>
    <w:rsid w:val="006A4860"/>
    <w:rsid w:val="006A55C2"/>
    <w:rsid w:val="006A6996"/>
    <w:rsid w:val="006A6DD7"/>
    <w:rsid w:val="006A733A"/>
    <w:rsid w:val="006A75E2"/>
    <w:rsid w:val="006A7E68"/>
    <w:rsid w:val="006B0588"/>
    <w:rsid w:val="006B0921"/>
    <w:rsid w:val="006B0AF4"/>
    <w:rsid w:val="006B1A42"/>
    <w:rsid w:val="006B1ED3"/>
    <w:rsid w:val="006B2365"/>
    <w:rsid w:val="006B2889"/>
    <w:rsid w:val="006B31B2"/>
    <w:rsid w:val="006B3215"/>
    <w:rsid w:val="006B3C01"/>
    <w:rsid w:val="006B3F80"/>
    <w:rsid w:val="006B4ED5"/>
    <w:rsid w:val="006B5109"/>
    <w:rsid w:val="006B5376"/>
    <w:rsid w:val="006B59F8"/>
    <w:rsid w:val="006B5E65"/>
    <w:rsid w:val="006B6191"/>
    <w:rsid w:val="006B6280"/>
    <w:rsid w:val="006B6B9C"/>
    <w:rsid w:val="006B75A0"/>
    <w:rsid w:val="006B77FC"/>
    <w:rsid w:val="006C005D"/>
    <w:rsid w:val="006C0104"/>
    <w:rsid w:val="006C0826"/>
    <w:rsid w:val="006C1506"/>
    <w:rsid w:val="006C15B4"/>
    <w:rsid w:val="006C15E7"/>
    <w:rsid w:val="006C1F96"/>
    <w:rsid w:val="006C2E67"/>
    <w:rsid w:val="006C3C93"/>
    <w:rsid w:val="006C4498"/>
    <w:rsid w:val="006C46CD"/>
    <w:rsid w:val="006C478C"/>
    <w:rsid w:val="006C5671"/>
    <w:rsid w:val="006C7038"/>
    <w:rsid w:val="006C7C0B"/>
    <w:rsid w:val="006D06D5"/>
    <w:rsid w:val="006D08DE"/>
    <w:rsid w:val="006D0BD8"/>
    <w:rsid w:val="006D23FC"/>
    <w:rsid w:val="006D258B"/>
    <w:rsid w:val="006D2F2C"/>
    <w:rsid w:val="006D35E2"/>
    <w:rsid w:val="006D43DB"/>
    <w:rsid w:val="006D4575"/>
    <w:rsid w:val="006D4D48"/>
    <w:rsid w:val="006D559F"/>
    <w:rsid w:val="006D6520"/>
    <w:rsid w:val="006D6A5B"/>
    <w:rsid w:val="006D767D"/>
    <w:rsid w:val="006D79CC"/>
    <w:rsid w:val="006E1318"/>
    <w:rsid w:val="006E2055"/>
    <w:rsid w:val="006E30C6"/>
    <w:rsid w:val="006E32C1"/>
    <w:rsid w:val="006E35BC"/>
    <w:rsid w:val="006E4021"/>
    <w:rsid w:val="006E416C"/>
    <w:rsid w:val="006E49CD"/>
    <w:rsid w:val="006E4BB7"/>
    <w:rsid w:val="006E6453"/>
    <w:rsid w:val="006E65A0"/>
    <w:rsid w:val="006E65DC"/>
    <w:rsid w:val="006E6A38"/>
    <w:rsid w:val="006E6BFE"/>
    <w:rsid w:val="006E6CEA"/>
    <w:rsid w:val="006E6EB9"/>
    <w:rsid w:val="006E7190"/>
    <w:rsid w:val="006E7FD0"/>
    <w:rsid w:val="006F059E"/>
    <w:rsid w:val="006F0792"/>
    <w:rsid w:val="006F0A41"/>
    <w:rsid w:val="006F1956"/>
    <w:rsid w:val="006F2505"/>
    <w:rsid w:val="006F31B4"/>
    <w:rsid w:val="006F49A1"/>
    <w:rsid w:val="006F4A32"/>
    <w:rsid w:val="006F5DC3"/>
    <w:rsid w:val="006F6243"/>
    <w:rsid w:val="006F63E8"/>
    <w:rsid w:val="006F6E8B"/>
    <w:rsid w:val="006F7633"/>
    <w:rsid w:val="006F76C9"/>
    <w:rsid w:val="006F7922"/>
    <w:rsid w:val="006F7DCC"/>
    <w:rsid w:val="00700152"/>
    <w:rsid w:val="00700C79"/>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4D0D"/>
    <w:rsid w:val="00715076"/>
    <w:rsid w:val="00716856"/>
    <w:rsid w:val="007168CD"/>
    <w:rsid w:val="00716CA2"/>
    <w:rsid w:val="00716DBA"/>
    <w:rsid w:val="00717C7E"/>
    <w:rsid w:val="00717C93"/>
    <w:rsid w:val="00717E52"/>
    <w:rsid w:val="0072082E"/>
    <w:rsid w:val="00720A78"/>
    <w:rsid w:val="00721987"/>
    <w:rsid w:val="00722136"/>
    <w:rsid w:val="00723262"/>
    <w:rsid w:val="00723334"/>
    <w:rsid w:val="00724D85"/>
    <w:rsid w:val="007250FA"/>
    <w:rsid w:val="00725303"/>
    <w:rsid w:val="00725D21"/>
    <w:rsid w:val="0072622C"/>
    <w:rsid w:val="00726365"/>
    <w:rsid w:val="00726FD5"/>
    <w:rsid w:val="0072756B"/>
    <w:rsid w:val="0072770B"/>
    <w:rsid w:val="00727BCE"/>
    <w:rsid w:val="007305F4"/>
    <w:rsid w:val="00730E40"/>
    <w:rsid w:val="00731D75"/>
    <w:rsid w:val="00732F33"/>
    <w:rsid w:val="007340A8"/>
    <w:rsid w:val="0073414A"/>
    <w:rsid w:val="0073449B"/>
    <w:rsid w:val="00734C3B"/>
    <w:rsid w:val="0073512E"/>
    <w:rsid w:val="00735368"/>
    <w:rsid w:val="00735444"/>
    <w:rsid w:val="00736B80"/>
    <w:rsid w:val="00736E5B"/>
    <w:rsid w:val="007370B1"/>
    <w:rsid w:val="007373ED"/>
    <w:rsid w:val="007374F5"/>
    <w:rsid w:val="007379BE"/>
    <w:rsid w:val="007401C1"/>
    <w:rsid w:val="00740B58"/>
    <w:rsid w:val="00740E70"/>
    <w:rsid w:val="00740E9A"/>
    <w:rsid w:val="00741239"/>
    <w:rsid w:val="007421D2"/>
    <w:rsid w:val="007424DE"/>
    <w:rsid w:val="00742C58"/>
    <w:rsid w:val="00742EE9"/>
    <w:rsid w:val="00742FD0"/>
    <w:rsid w:val="007432D4"/>
    <w:rsid w:val="00743734"/>
    <w:rsid w:val="00743A35"/>
    <w:rsid w:val="00743DC1"/>
    <w:rsid w:val="00744776"/>
    <w:rsid w:val="00744DE3"/>
    <w:rsid w:val="007453BE"/>
    <w:rsid w:val="00746548"/>
    <w:rsid w:val="00746729"/>
    <w:rsid w:val="007467C2"/>
    <w:rsid w:val="007468FE"/>
    <w:rsid w:val="007504F4"/>
    <w:rsid w:val="00751776"/>
    <w:rsid w:val="00752702"/>
    <w:rsid w:val="00752825"/>
    <w:rsid w:val="007529DA"/>
    <w:rsid w:val="007532AE"/>
    <w:rsid w:val="007536B0"/>
    <w:rsid w:val="00754C6E"/>
    <w:rsid w:val="00754EBC"/>
    <w:rsid w:val="00755910"/>
    <w:rsid w:val="00756C1D"/>
    <w:rsid w:val="00756E4F"/>
    <w:rsid w:val="00757414"/>
    <w:rsid w:val="007575F1"/>
    <w:rsid w:val="0076043A"/>
    <w:rsid w:val="007604F0"/>
    <w:rsid w:val="007604FC"/>
    <w:rsid w:val="00761348"/>
    <w:rsid w:val="00762EFC"/>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5C7"/>
    <w:rsid w:val="00791740"/>
    <w:rsid w:val="00791874"/>
    <w:rsid w:val="007930F1"/>
    <w:rsid w:val="00793920"/>
    <w:rsid w:val="007942BC"/>
    <w:rsid w:val="007944A9"/>
    <w:rsid w:val="00794667"/>
    <w:rsid w:val="00794668"/>
    <w:rsid w:val="00794A54"/>
    <w:rsid w:val="00795093"/>
    <w:rsid w:val="007957E8"/>
    <w:rsid w:val="007963BE"/>
    <w:rsid w:val="007966AF"/>
    <w:rsid w:val="007966BB"/>
    <w:rsid w:val="007970D6"/>
    <w:rsid w:val="0079715C"/>
    <w:rsid w:val="007A0CCB"/>
    <w:rsid w:val="007A0DEB"/>
    <w:rsid w:val="007A1663"/>
    <w:rsid w:val="007A22C7"/>
    <w:rsid w:val="007A238A"/>
    <w:rsid w:val="007A32F6"/>
    <w:rsid w:val="007A5D99"/>
    <w:rsid w:val="007A5ECA"/>
    <w:rsid w:val="007A6140"/>
    <w:rsid w:val="007A72C7"/>
    <w:rsid w:val="007A749C"/>
    <w:rsid w:val="007A7EC9"/>
    <w:rsid w:val="007B16A0"/>
    <w:rsid w:val="007B1BA4"/>
    <w:rsid w:val="007B24E0"/>
    <w:rsid w:val="007B3012"/>
    <w:rsid w:val="007B330A"/>
    <w:rsid w:val="007B4007"/>
    <w:rsid w:val="007B4BED"/>
    <w:rsid w:val="007B6BE4"/>
    <w:rsid w:val="007B7F55"/>
    <w:rsid w:val="007C09A1"/>
    <w:rsid w:val="007C11A7"/>
    <w:rsid w:val="007C138E"/>
    <w:rsid w:val="007C14B1"/>
    <w:rsid w:val="007C1AD5"/>
    <w:rsid w:val="007C363E"/>
    <w:rsid w:val="007C3721"/>
    <w:rsid w:val="007C3884"/>
    <w:rsid w:val="007C43B0"/>
    <w:rsid w:val="007C475E"/>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57D3"/>
    <w:rsid w:val="007D7A5E"/>
    <w:rsid w:val="007E075C"/>
    <w:rsid w:val="007E0A74"/>
    <w:rsid w:val="007E1050"/>
    <w:rsid w:val="007E1790"/>
    <w:rsid w:val="007E1E71"/>
    <w:rsid w:val="007E2A99"/>
    <w:rsid w:val="007E3A36"/>
    <w:rsid w:val="007E4127"/>
    <w:rsid w:val="007E4AC1"/>
    <w:rsid w:val="007E4F6E"/>
    <w:rsid w:val="007E6161"/>
    <w:rsid w:val="007E6A61"/>
    <w:rsid w:val="007E6BBE"/>
    <w:rsid w:val="007F21B3"/>
    <w:rsid w:val="007F2370"/>
    <w:rsid w:val="007F2384"/>
    <w:rsid w:val="007F2C4F"/>
    <w:rsid w:val="007F348B"/>
    <w:rsid w:val="007F429E"/>
    <w:rsid w:val="007F4315"/>
    <w:rsid w:val="007F506B"/>
    <w:rsid w:val="007F64BA"/>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2AC"/>
    <w:rsid w:val="00807A88"/>
    <w:rsid w:val="00807CB9"/>
    <w:rsid w:val="00810788"/>
    <w:rsid w:val="00811083"/>
    <w:rsid w:val="0081316F"/>
    <w:rsid w:val="00813BED"/>
    <w:rsid w:val="00814007"/>
    <w:rsid w:val="00814778"/>
    <w:rsid w:val="00814F1D"/>
    <w:rsid w:val="0081507C"/>
    <w:rsid w:val="00815709"/>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BF9"/>
    <w:rsid w:val="00830D2D"/>
    <w:rsid w:val="0083159A"/>
    <w:rsid w:val="00833280"/>
    <w:rsid w:val="008353EA"/>
    <w:rsid w:val="00835844"/>
    <w:rsid w:val="0083693A"/>
    <w:rsid w:val="00837CC8"/>
    <w:rsid w:val="008401DE"/>
    <w:rsid w:val="00841021"/>
    <w:rsid w:val="00842A6C"/>
    <w:rsid w:val="00843A7F"/>
    <w:rsid w:val="008442E4"/>
    <w:rsid w:val="00844501"/>
    <w:rsid w:val="00845401"/>
    <w:rsid w:val="00845726"/>
    <w:rsid w:val="008459A3"/>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6E83"/>
    <w:rsid w:val="008670D8"/>
    <w:rsid w:val="00870EC7"/>
    <w:rsid w:val="00870F19"/>
    <w:rsid w:val="008710B7"/>
    <w:rsid w:val="0087119A"/>
    <w:rsid w:val="00872A7A"/>
    <w:rsid w:val="00872BB0"/>
    <w:rsid w:val="0087326A"/>
    <w:rsid w:val="008743E1"/>
    <w:rsid w:val="008744DF"/>
    <w:rsid w:val="00874639"/>
    <w:rsid w:val="00874891"/>
    <w:rsid w:val="00874C15"/>
    <w:rsid w:val="00874EF9"/>
    <w:rsid w:val="00875308"/>
    <w:rsid w:val="008753F4"/>
    <w:rsid w:val="00875542"/>
    <w:rsid w:val="0087575E"/>
    <w:rsid w:val="0087581F"/>
    <w:rsid w:val="00876A8D"/>
    <w:rsid w:val="008770C6"/>
    <w:rsid w:val="00877744"/>
    <w:rsid w:val="0088089E"/>
    <w:rsid w:val="008811E7"/>
    <w:rsid w:val="008815D2"/>
    <w:rsid w:val="008816BF"/>
    <w:rsid w:val="00883517"/>
    <w:rsid w:val="0088359D"/>
    <w:rsid w:val="00884537"/>
    <w:rsid w:val="008852A4"/>
    <w:rsid w:val="00885C36"/>
    <w:rsid w:val="00886D87"/>
    <w:rsid w:val="00886EFE"/>
    <w:rsid w:val="00887E63"/>
    <w:rsid w:val="00890256"/>
    <w:rsid w:val="00890B00"/>
    <w:rsid w:val="0089178F"/>
    <w:rsid w:val="0089290A"/>
    <w:rsid w:val="0089342F"/>
    <w:rsid w:val="00893654"/>
    <w:rsid w:val="0089412C"/>
    <w:rsid w:val="00894CCB"/>
    <w:rsid w:val="00896134"/>
    <w:rsid w:val="00897CE8"/>
    <w:rsid w:val="00897D47"/>
    <w:rsid w:val="008A00D6"/>
    <w:rsid w:val="008A1B01"/>
    <w:rsid w:val="008A1D8D"/>
    <w:rsid w:val="008A329D"/>
    <w:rsid w:val="008A3D10"/>
    <w:rsid w:val="008A5349"/>
    <w:rsid w:val="008A615D"/>
    <w:rsid w:val="008A67D1"/>
    <w:rsid w:val="008B00B3"/>
    <w:rsid w:val="008B0A5D"/>
    <w:rsid w:val="008B0AFF"/>
    <w:rsid w:val="008B1DE8"/>
    <w:rsid w:val="008B2A9F"/>
    <w:rsid w:val="008B316E"/>
    <w:rsid w:val="008B42EF"/>
    <w:rsid w:val="008B47F9"/>
    <w:rsid w:val="008B4E66"/>
    <w:rsid w:val="008B6B60"/>
    <w:rsid w:val="008B77A9"/>
    <w:rsid w:val="008C169F"/>
    <w:rsid w:val="008C24AC"/>
    <w:rsid w:val="008C331F"/>
    <w:rsid w:val="008C45A6"/>
    <w:rsid w:val="008C4A95"/>
    <w:rsid w:val="008C4AE1"/>
    <w:rsid w:val="008C503C"/>
    <w:rsid w:val="008C55DA"/>
    <w:rsid w:val="008C58E2"/>
    <w:rsid w:val="008C64D2"/>
    <w:rsid w:val="008C69A0"/>
    <w:rsid w:val="008C6FCC"/>
    <w:rsid w:val="008C7103"/>
    <w:rsid w:val="008C7D58"/>
    <w:rsid w:val="008D002C"/>
    <w:rsid w:val="008D120A"/>
    <w:rsid w:val="008D12BA"/>
    <w:rsid w:val="008D1C44"/>
    <w:rsid w:val="008D2E39"/>
    <w:rsid w:val="008D3B04"/>
    <w:rsid w:val="008D4479"/>
    <w:rsid w:val="008D51B3"/>
    <w:rsid w:val="008D5606"/>
    <w:rsid w:val="008D606C"/>
    <w:rsid w:val="008D6B6F"/>
    <w:rsid w:val="008D6D0D"/>
    <w:rsid w:val="008D7ECA"/>
    <w:rsid w:val="008E01E3"/>
    <w:rsid w:val="008E0467"/>
    <w:rsid w:val="008E0B45"/>
    <w:rsid w:val="008E170B"/>
    <w:rsid w:val="008E18A5"/>
    <w:rsid w:val="008E1AA7"/>
    <w:rsid w:val="008E2BEC"/>
    <w:rsid w:val="008E30D3"/>
    <w:rsid w:val="008E313A"/>
    <w:rsid w:val="008E335D"/>
    <w:rsid w:val="008E3C35"/>
    <w:rsid w:val="008E6B07"/>
    <w:rsid w:val="008E7323"/>
    <w:rsid w:val="008F015F"/>
    <w:rsid w:val="008F031E"/>
    <w:rsid w:val="008F07C8"/>
    <w:rsid w:val="008F0B8F"/>
    <w:rsid w:val="008F0F08"/>
    <w:rsid w:val="008F1345"/>
    <w:rsid w:val="008F1EBA"/>
    <w:rsid w:val="008F2488"/>
    <w:rsid w:val="008F2668"/>
    <w:rsid w:val="008F27DE"/>
    <w:rsid w:val="008F38A3"/>
    <w:rsid w:val="008F3FFA"/>
    <w:rsid w:val="008F561C"/>
    <w:rsid w:val="008F7962"/>
    <w:rsid w:val="0090082B"/>
    <w:rsid w:val="009009D0"/>
    <w:rsid w:val="00900F12"/>
    <w:rsid w:val="00901231"/>
    <w:rsid w:val="00902C9B"/>
    <w:rsid w:val="00902D6A"/>
    <w:rsid w:val="00903F9A"/>
    <w:rsid w:val="009044BD"/>
    <w:rsid w:val="00905187"/>
    <w:rsid w:val="009061C1"/>
    <w:rsid w:val="00906E5B"/>
    <w:rsid w:val="009074C0"/>
    <w:rsid w:val="009075CF"/>
    <w:rsid w:val="009102A8"/>
    <w:rsid w:val="0091032C"/>
    <w:rsid w:val="00910A25"/>
    <w:rsid w:val="00910DDF"/>
    <w:rsid w:val="00911C0C"/>
    <w:rsid w:val="00912736"/>
    <w:rsid w:val="00912E56"/>
    <w:rsid w:val="00913654"/>
    <w:rsid w:val="009137C9"/>
    <w:rsid w:val="00914932"/>
    <w:rsid w:val="00914F32"/>
    <w:rsid w:val="00915EBD"/>
    <w:rsid w:val="009168EC"/>
    <w:rsid w:val="00916BFE"/>
    <w:rsid w:val="00916D02"/>
    <w:rsid w:val="0091718C"/>
    <w:rsid w:val="00920291"/>
    <w:rsid w:val="00920A3E"/>
    <w:rsid w:val="009218A8"/>
    <w:rsid w:val="00921EE9"/>
    <w:rsid w:val="009227EE"/>
    <w:rsid w:val="00922851"/>
    <w:rsid w:val="00923B65"/>
    <w:rsid w:val="00924841"/>
    <w:rsid w:val="00924F41"/>
    <w:rsid w:val="00924F92"/>
    <w:rsid w:val="00926ACB"/>
    <w:rsid w:val="00926C89"/>
    <w:rsid w:val="009278FD"/>
    <w:rsid w:val="009279CD"/>
    <w:rsid w:val="00930A36"/>
    <w:rsid w:val="00931030"/>
    <w:rsid w:val="00931167"/>
    <w:rsid w:val="009312EA"/>
    <w:rsid w:val="0093239A"/>
    <w:rsid w:val="00933D3C"/>
    <w:rsid w:val="00935A4E"/>
    <w:rsid w:val="00935B29"/>
    <w:rsid w:val="00935BBD"/>
    <w:rsid w:val="00935F44"/>
    <w:rsid w:val="0093613E"/>
    <w:rsid w:val="009366D5"/>
    <w:rsid w:val="00937423"/>
    <w:rsid w:val="00940663"/>
    <w:rsid w:val="00940ED2"/>
    <w:rsid w:val="00941651"/>
    <w:rsid w:val="00941C50"/>
    <w:rsid w:val="00941D2D"/>
    <w:rsid w:val="009427BB"/>
    <w:rsid w:val="009429F8"/>
    <w:rsid w:val="00942BA3"/>
    <w:rsid w:val="009447BD"/>
    <w:rsid w:val="00945107"/>
    <w:rsid w:val="009451E7"/>
    <w:rsid w:val="00945244"/>
    <w:rsid w:val="00945780"/>
    <w:rsid w:val="009457B8"/>
    <w:rsid w:val="00945D30"/>
    <w:rsid w:val="00945F7E"/>
    <w:rsid w:val="00951202"/>
    <w:rsid w:val="00951A81"/>
    <w:rsid w:val="00951D92"/>
    <w:rsid w:val="0095229E"/>
    <w:rsid w:val="0095287A"/>
    <w:rsid w:val="0095295A"/>
    <w:rsid w:val="00952AC9"/>
    <w:rsid w:val="00953EE5"/>
    <w:rsid w:val="00954ABC"/>
    <w:rsid w:val="00955EA4"/>
    <w:rsid w:val="0095664E"/>
    <w:rsid w:val="009566B1"/>
    <w:rsid w:val="009576E8"/>
    <w:rsid w:val="00957790"/>
    <w:rsid w:val="00957813"/>
    <w:rsid w:val="009610FD"/>
    <w:rsid w:val="009617EE"/>
    <w:rsid w:val="00961C2B"/>
    <w:rsid w:val="00961EBD"/>
    <w:rsid w:val="0096223A"/>
    <w:rsid w:val="00962685"/>
    <w:rsid w:val="00962B88"/>
    <w:rsid w:val="00962F8B"/>
    <w:rsid w:val="00964CC6"/>
    <w:rsid w:val="0096593A"/>
    <w:rsid w:val="00966237"/>
    <w:rsid w:val="0096689B"/>
    <w:rsid w:val="00967EF0"/>
    <w:rsid w:val="00970F36"/>
    <w:rsid w:val="00971A12"/>
    <w:rsid w:val="00972175"/>
    <w:rsid w:val="009724C4"/>
    <w:rsid w:val="00972664"/>
    <w:rsid w:val="0097275D"/>
    <w:rsid w:val="00972D98"/>
    <w:rsid w:val="00973D11"/>
    <w:rsid w:val="00974086"/>
    <w:rsid w:val="009742C6"/>
    <w:rsid w:val="00974DF2"/>
    <w:rsid w:val="00975D88"/>
    <w:rsid w:val="00976246"/>
    <w:rsid w:val="009770F1"/>
    <w:rsid w:val="00977473"/>
    <w:rsid w:val="0097793C"/>
    <w:rsid w:val="00977A1A"/>
    <w:rsid w:val="00977D1F"/>
    <w:rsid w:val="00980001"/>
    <w:rsid w:val="00980E3E"/>
    <w:rsid w:val="00982C3E"/>
    <w:rsid w:val="00982FBC"/>
    <w:rsid w:val="00983063"/>
    <w:rsid w:val="009830E7"/>
    <w:rsid w:val="00983110"/>
    <w:rsid w:val="00984130"/>
    <w:rsid w:val="009842A8"/>
    <w:rsid w:val="00984860"/>
    <w:rsid w:val="00984B4B"/>
    <w:rsid w:val="00984F60"/>
    <w:rsid w:val="009855E1"/>
    <w:rsid w:val="009857F2"/>
    <w:rsid w:val="00985B51"/>
    <w:rsid w:val="009862F5"/>
    <w:rsid w:val="009862F9"/>
    <w:rsid w:val="009863FD"/>
    <w:rsid w:val="00986547"/>
    <w:rsid w:val="0098694F"/>
    <w:rsid w:val="00987AA6"/>
    <w:rsid w:val="00990E84"/>
    <w:rsid w:val="00991960"/>
    <w:rsid w:val="00991D03"/>
    <w:rsid w:val="00992D76"/>
    <w:rsid w:val="00993230"/>
    <w:rsid w:val="00993952"/>
    <w:rsid w:val="00994A41"/>
    <w:rsid w:val="00995616"/>
    <w:rsid w:val="009959CB"/>
    <w:rsid w:val="00995CC3"/>
    <w:rsid w:val="00996F4E"/>
    <w:rsid w:val="00996F81"/>
    <w:rsid w:val="0099789B"/>
    <w:rsid w:val="009A0518"/>
    <w:rsid w:val="009A1B42"/>
    <w:rsid w:val="009A3033"/>
    <w:rsid w:val="009A3B22"/>
    <w:rsid w:val="009A4596"/>
    <w:rsid w:val="009A46D9"/>
    <w:rsid w:val="009A4BE5"/>
    <w:rsid w:val="009A58EE"/>
    <w:rsid w:val="009A5C92"/>
    <w:rsid w:val="009A6A34"/>
    <w:rsid w:val="009A6A6F"/>
    <w:rsid w:val="009A6B7E"/>
    <w:rsid w:val="009A6BB9"/>
    <w:rsid w:val="009A72B1"/>
    <w:rsid w:val="009B0EFC"/>
    <w:rsid w:val="009B11ED"/>
    <w:rsid w:val="009B12C8"/>
    <w:rsid w:val="009B1478"/>
    <w:rsid w:val="009B22F5"/>
    <w:rsid w:val="009B2B63"/>
    <w:rsid w:val="009B3013"/>
    <w:rsid w:val="009B4391"/>
    <w:rsid w:val="009B4418"/>
    <w:rsid w:val="009B4717"/>
    <w:rsid w:val="009B4739"/>
    <w:rsid w:val="009B486B"/>
    <w:rsid w:val="009B4B61"/>
    <w:rsid w:val="009B4FE6"/>
    <w:rsid w:val="009B529E"/>
    <w:rsid w:val="009B5494"/>
    <w:rsid w:val="009B6411"/>
    <w:rsid w:val="009C0452"/>
    <w:rsid w:val="009C0BE3"/>
    <w:rsid w:val="009C0D8A"/>
    <w:rsid w:val="009C0E77"/>
    <w:rsid w:val="009C104E"/>
    <w:rsid w:val="009C1B59"/>
    <w:rsid w:val="009C1C8B"/>
    <w:rsid w:val="009C2F00"/>
    <w:rsid w:val="009C2F91"/>
    <w:rsid w:val="009C3AC4"/>
    <w:rsid w:val="009C3C80"/>
    <w:rsid w:val="009C3C8B"/>
    <w:rsid w:val="009C3EE8"/>
    <w:rsid w:val="009C4632"/>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8F4"/>
    <w:rsid w:val="009D39E7"/>
    <w:rsid w:val="009D4090"/>
    <w:rsid w:val="009D492E"/>
    <w:rsid w:val="009D4EDD"/>
    <w:rsid w:val="009D71B7"/>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07F"/>
    <w:rsid w:val="009E7169"/>
    <w:rsid w:val="009E7269"/>
    <w:rsid w:val="009E7E92"/>
    <w:rsid w:val="009F08CA"/>
    <w:rsid w:val="009F09A4"/>
    <w:rsid w:val="009F0A70"/>
    <w:rsid w:val="009F16D8"/>
    <w:rsid w:val="009F1865"/>
    <w:rsid w:val="009F2836"/>
    <w:rsid w:val="009F2FA6"/>
    <w:rsid w:val="009F398E"/>
    <w:rsid w:val="009F47AA"/>
    <w:rsid w:val="009F4AB3"/>
    <w:rsid w:val="009F5284"/>
    <w:rsid w:val="009F6696"/>
    <w:rsid w:val="009F7D1D"/>
    <w:rsid w:val="009F7F69"/>
    <w:rsid w:val="00A00117"/>
    <w:rsid w:val="00A01631"/>
    <w:rsid w:val="00A041EB"/>
    <w:rsid w:val="00A04449"/>
    <w:rsid w:val="00A04D4B"/>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2C2C"/>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485"/>
    <w:rsid w:val="00A50904"/>
    <w:rsid w:val="00A5120D"/>
    <w:rsid w:val="00A51361"/>
    <w:rsid w:val="00A52027"/>
    <w:rsid w:val="00A524AE"/>
    <w:rsid w:val="00A526C4"/>
    <w:rsid w:val="00A52961"/>
    <w:rsid w:val="00A55A17"/>
    <w:rsid w:val="00A55C1B"/>
    <w:rsid w:val="00A55EE9"/>
    <w:rsid w:val="00A56448"/>
    <w:rsid w:val="00A5650B"/>
    <w:rsid w:val="00A56BAA"/>
    <w:rsid w:val="00A56F41"/>
    <w:rsid w:val="00A572C2"/>
    <w:rsid w:val="00A57BE7"/>
    <w:rsid w:val="00A604B8"/>
    <w:rsid w:val="00A605A8"/>
    <w:rsid w:val="00A60760"/>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5B4A"/>
    <w:rsid w:val="00A76D51"/>
    <w:rsid w:val="00A76DB4"/>
    <w:rsid w:val="00A76FDF"/>
    <w:rsid w:val="00A76FE7"/>
    <w:rsid w:val="00A77B33"/>
    <w:rsid w:val="00A808BB"/>
    <w:rsid w:val="00A80939"/>
    <w:rsid w:val="00A813E6"/>
    <w:rsid w:val="00A816F5"/>
    <w:rsid w:val="00A82481"/>
    <w:rsid w:val="00A8277C"/>
    <w:rsid w:val="00A83289"/>
    <w:rsid w:val="00A8391A"/>
    <w:rsid w:val="00A84929"/>
    <w:rsid w:val="00A8535F"/>
    <w:rsid w:val="00A85B1E"/>
    <w:rsid w:val="00A85ED3"/>
    <w:rsid w:val="00A86385"/>
    <w:rsid w:val="00A864E2"/>
    <w:rsid w:val="00A86AE2"/>
    <w:rsid w:val="00A86C03"/>
    <w:rsid w:val="00A90EC8"/>
    <w:rsid w:val="00A91FB2"/>
    <w:rsid w:val="00A92194"/>
    <w:rsid w:val="00A92E93"/>
    <w:rsid w:val="00A9333E"/>
    <w:rsid w:val="00A9448D"/>
    <w:rsid w:val="00A94695"/>
    <w:rsid w:val="00A94B00"/>
    <w:rsid w:val="00A95264"/>
    <w:rsid w:val="00A961A4"/>
    <w:rsid w:val="00A96F40"/>
    <w:rsid w:val="00A9797F"/>
    <w:rsid w:val="00A979AD"/>
    <w:rsid w:val="00A97DA8"/>
    <w:rsid w:val="00A97E66"/>
    <w:rsid w:val="00AA043D"/>
    <w:rsid w:val="00AA1D23"/>
    <w:rsid w:val="00AA3320"/>
    <w:rsid w:val="00AA365B"/>
    <w:rsid w:val="00AA3DA9"/>
    <w:rsid w:val="00AA3DCA"/>
    <w:rsid w:val="00AA3F2C"/>
    <w:rsid w:val="00AA4729"/>
    <w:rsid w:val="00AA5A70"/>
    <w:rsid w:val="00AA5EAD"/>
    <w:rsid w:val="00AA62BE"/>
    <w:rsid w:val="00AA6485"/>
    <w:rsid w:val="00AA6A81"/>
    <w:rsid w:val="00AA7C6A"/>
    <w:rsid w:val="00AA7F93"/>
    <w:rsid w:val="00AB0036"/>
    <w:rsid w:val="00AB0785"/>
    <w:rsid w:val="00AB0F3D"/>
    <w:rsid w:val="00AB1C68"/>
    <w:rsid w:val="00AB20EA"/>
    <w:rsid w:val="00AB24AC"/>
    <w:rsid w:val="00AB2FE8"/>
    <w:rsid w:val="00AB4730"/>
    <w:rsid w:val="00AB5242"/>
    <w:rsid w:val="00AB539A"/>
    <w:rsid w:val="00AB5A5E"/>
    <w:rsid w:val="00AB6D40"/>
    <w:rsid w:val="00AC01FE"/>
    <w:rsid w:val="00AC0F23"/>
    <w:rsid w:val="00AC1011"/>
    <w:rsid w:val="00AC1DC1"/>
    <w:rsid w:val="00AC1F56"/>
    <w:rsid w:val="00AC21F2"/>
    <w:rsid w:val="00AC3245"/>
    <w:rsid w:val="00AC3B50"/>
    <w:rsid w:val="00AC405D"/>
    <w:rsid w:val="00AC4718"/>
    <w:rsid w:val="00AC69C2"/>
    <w:rsid w:val="00AC77F2"/>
    <w:rsid w:val="00AC787E"/>
    <w:rsid w:val="00AC7DBD"/>
    <w:rsid w:val="00AD00BA"/>
    <w:rsid w:val="00AD0C5C"/>
    <w:rsid w:val="00AD109E"/>
    <w:rsid w:val="00AD1153"/>
    <w:rsid w:val="00AD11FF"/>
    <w:rsid w:val="00AD1A3A"/>
    <w:rsid w:val="00AD27AE"/>
    <w:rsid w:val="00AD3663"/>
    <w:rsid w:val="00AD3B54"/>
    <w:rsid w:val="00AD49B5"/>
    <w:rsid w:val="00AD4AB1"/>
    <w:rsid w:val="00AD4FC9"/>
    <w:rsid w:val="00AD5FAA"/>
    <w:rsid w:val="00AD6235"/>
    <w:rsid w:val="00AD7CCD"/>
    <w:rsid w:val="00AE02B0"/>
    <w:rsid w:val="00AE1497"/>
    <w:rsid w:val="00AE3B32"/>
    <w:rsid w:val="00AE4250"/>
    <w:rsid w:val="00AE57B1"/>
    <w:rsid w:val="00AE60A7"/>
    <w:rsid w:val="00AE679B"/>
    <w:rsid w:val="00AE682D"/>
    <w:rsid w:val="00AE6BE1"/>
    <w:rsid w:val="00AE73CC"/>
    <w:rsid w:val="00AE7EF4"/>
    <w:rsid w:val="00AF03D2"/>
    <w:rsid w:val="00AF065F"/>
    <w:rsid w:val="00AF09E5"/>
    <w:rsid w:val="00AF0A63"/>
    <w:rsid w:val="00AF0BBE"/>
    <w:rsid w:val="00AF0E5D"/>
    <w:rsid w:val="00AF11DB"/>
    <w:rsid w:val="00AF1EF0"/>
    <w:rsid w:val="00AF30B2"/>
    <w:rsid w:val="00AF3177"/>
    <w:rsid w:val="00AF33E8"/>
    <w:rsid w:val="00AF3724"/>
    <w:rsid w:val="00AF3CE9"/>
    <w:rsid w:val="00AF4476"/>
    <w:rsid w:val="00AF44F3"/>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76A7"/>
    <w:rsid w:val="00B1059E"/>
    <w:rsid w:val="00B107B6"/>
    <w:rsid w:val="00B10D1A"/>
    <w:rsid w:val="00B10F4D"/>
    <w:rsid w:val="00B13702"/>
    <w:rsid w:val="00B140FD"/>
    <w:rsid w:val="00B14508"/>
    <w:rsid w:val="00B14FE9"/>
    <w:rsid w:val="00B15199"/>
    <w:rsid w:val="00B15C2D"/>
    <w:rsid w:val="00B15DD4"/>
    <w:rsid w:val="00B16A62"/>
    <w:rsid w:val="00B17032"/>
    <w:rsid w:val="00B171BF"/>
    <w:rsid w:val="00B17C9D"/>
    <w:rsid w:val="00B17CCF"/>
    <w:rsid w:val="00B22B0D"/>
    <w:rsid w:val="00B230D8"/>
    <w:rsid w:val="00B23146"/>
    <w:rsid w:val="00B23684"/>
    <w:rsid w:val="00B24571"/>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4280"/>
    <w:rsid w:val="00B44AC4"/>
    <w:rsid w:val="00B45B3E"/>
    <w:rsid w:val="00B45CC3"/>
    <w:rsid w:val="00B46F23"/>
    <w:rsid w:val="00B474BE"/>
    <w:rsid w:val="00B476A3"/>
    <w:rsid w:val="00B501AF"/>
    <w:rsid w:val="00B51284"/>
    <w:rsid w:val="00B51550"/>
    <w:rsid w:val="00B516FF"/>
    <w:rsid w:val="00B52229"/>
    <w:rsid w:val="00B52FD0"/>
    <w:rsid w:val="00B54666"/>
    <w:rsid w:val="00B55078"/>
    <w:rsid w:val="00B564BE"/>
    <w:rsid w:val="00B5667B"/>
    <w:rsid w:val="00B566D2"/>
    <w:rsid w:val="00B56E56"/>
    <w:rsid w:val="00B57B50"/>
    <w:rsid w:val="00B60C16"/>
    <w:rsid w:val="00B6216B"/>
    <w:rsid w:val="00B62596"/>
    <w:rsid w:val="00B62703"/>
    <w:rsid w:val="00B62C82"/>
    <w:rsid w:val="00B63144"/>
    <w:rsid w:val="00B638B1"/>
    <w:rsid w:val="00B63E47"/>
    <w:rsid w:val="00B64049"/>
    <w:rsid w:val="00B641FE"/>
    <w:rsid w:val="00B65D51"/>
    <w:rsid w:val="00B6618B"/>
    <w:rsid w:val="00B66301"/>
    <w:rsid w:val="00B67124"/>
    <w:rsid w:val="00B703E1"/>
    <w:rsid w:val="00B70956"/>
    <w:rsid w:val="00B70C80"/>
    <w:rsid w:val="00B72C01"/>
    <w:rsid w:val="00B72E87"/>
    <w:rsid w:val="00B730EE"/>
    <w:rsid w:val="00B73198"/>
    <w:rsid w:val="00B736C6"/>
    <w:rsid w:val="00B73952"/>
    <w:rsid w:val="00B74B39"/>
    <w:rsid w:val="00B74DE6"/>
    <w:rsid w:val="00B75780"/>
    <w:rsid w:val="00B75FAA"/>
    <w:rsid w:val="00B76041"/>
    <w:rsid w:val="00B765D5"/>
    <w:rsid w:val="00B77A13"/>
    <w:rsid w:val="00B77A85"/>
    <w:rsid w:val="00B8072F"/>
    <w:rsid w:val="00B80816"/>
    <w:rsid w:val="00B809AA"/>
    <w:rsid w:val="00B80BAD"/>
    <w:rsid w:val="00B80F1A"/>
    <w:rsid w:val="00B81086"/>
    <w:rsid w:val="00B8116C"/>
    <w:rsid w:val="00B8216A"/>
    <w:rsid w:val="00B82190"/>
    <w:rsid w:val="00B8230C"/>
    <w:rsid w:val="00B832D4"/>
    <w:rsid w:val="00B8379D"/>
    <w:rsid w:val="00B837F0"/>
    <w:rsid w:val="00B84110"/>
    <w:rsid w:val="00B84266"/>
    <w:rsid w:val="00B843FA"/>
    <w:rsid w:val="00B84C29"/>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0ADF"/>
    <w:rsid w:val="00BA118D"/>
    <w:rsid w:val="00BA1FEE"/>
    <w:rsid w:val="00BA20EE"/>
    <w:rsid w:val="00BA2677"/>
    <w:rsid w:val="00BA2ADC"/>
    <w:rsid w:val="00BA33FA"/>
    <w:rsid w:val="00BA4221"/>
    <w:rsid w:val="00BA55A9"/>
    <w:rsid w:val="00BA5778"/>
    <w:rsid w:val="00BA62F0"/>
    <w:rsid w:val="00BA6A44"/>
    <w:rsid w:val="00BA6D37"/>
    <w:rsid w:val="00BB0482"/>
    <w:rsid w:val="00BB064D"/>
    <w:rsid w:val="00BB44D8"/>
    <w:rsid w:val="00BB4D93"/>
    <w:rsid w:val="00BB5920"/>
    <w:rsid w:val="00BB6314"/>
    <w:rsid w:val="00BB6BB4"/>
    <w:rsid w:val="00BB74EC"/>
    <w:rsid w:val="00BB75D0"/>
    <w:rsid w:val="00BC00CB"/>
    <w:rsid w:val="00BC12EF"/>
    <w:rsid w:val="00BC1AAC"/>
    <w:rsid w:val="00BC1B78"/>
    <w:rsid w:val="00BC2BB6"/>
    <w:rsid w:val="00BC2D38"/>
    <w:rsid w:val="00BC334E"/>
    <w:rsid w:val="00BC3DA0"/>
    <w:rsid w:val="00BC4A17"/>
    <w:rsid w:val="00BC4BDF"/>
    <w:rsid w:val="00BC4C20"/>
    <w:rsid w:val="00BC4EFC"/>
    <w:rsid w:val="00BC5636"/>
    <w:rsid w:val="00BC5A77"/>
    <w:rsid w:val="00BC629A"/>
    <w:rsid w:val="00BC643C"/>
    <w:rsid w:val="00BC6984"/>
    <w:rsid w:val="00BC76F5"/>
    <w:rsid w:val="00BC7721"/>
    <w:rsid w:val="00BD0060"/>
    <w:rsid w:val="00BD0400"/>
    <w:rsid w:val="00BD05AC"/>
    <w:rsid w:val="00BD0FA5"/>
    <w:rsid w:val="00BD1D8E"/>
    <w:rsid w:val="00BD2E21"/>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4CD4"/>
    <w:rsid w:val="00BE5CE5"/>
    <w:rsid w:val="00BE66C4"/>
    <w:rsid w:val="00BF1AE3"/>
    <w:rsid w:val="00BF1EB0"/>
    <w:rsid w:val="00BF20F1"/>
    <w:rsid w:val="00BF299A"/>
    <w:rsid w:val="00BF2DA1"/>
    <w:rsid w:val="00BF46DB"/>
    <w:rsid w:val="00BF4732"/>
    <w:rsid w:val="00BF6550"/>
    <w:rsid w:val="00BF7035"/>
    <w:rsid w:val="00BF77A5"/>
    <w:rsid w:val="00C004CE"/>
    <w:rsid w:val="00C00862"/>
    <w:rsid w:val="00C00C22"/>
    <w:rsid w:val="00C0330F"/>
    <w:rsid w:val="00C03D5D"/>
    <w:rsid w:val="00C0443C"/>
    <w:rsid w:val="00C05E37"/>
    <w:rsid w:val="00C05F6C"/>
    <w:rsid w:val="00C06123"/>
    <w:rsid w:val="00C06AC5"/>
    <w:rsid w:val="00C06FF6"/>
    <w:rsid w:val="00C076ED"/>
    <w:rsid w:val="00C07A85"/>
    <w:rsid w:val="00C07CA1"/>
    <w:rsid w:val="00C11364"/>
    <w:rsid w:val="00C11D13"/>
    <w:rsid w:val="00C11DD0"/>
    <w:rsid w:val="00C11E88"/>
    <w:rsid w:val="00C12280"/>
    <w:rsid w:val="00C13B41"/>
    <w:rsid w:val="00C13B66"/>
    <w:rsid w:val="00C14489"/>
    <w:rsid w:val="00C14A4A"/>
    <w:rsid w:val="00C157BA"/>
    <w:rsid w:val="00C15BED"/>
    <w:rsid w:val="00C164B7"/>
    <w:rsid w:val="00C16594"/>
    <w:rsid w:val="00C21706"/>
    <w:rsid w:val="00C21A75"/>
    <w:rsid w:val="00C22918"/>
    <w:rsid w:val="00C234C2"/>
    <w:rsid w:val="00C2350C"/>
    <w:rsid w:val="00C23D9A"/>
    <w:rsid w:val="00C241F3"/>
    <w:rsid w:val="00C2556F"/>
    <w:rsid w:val="00C25ADF"/>
    <w:rsid w:val="00C26BCD"/>
    <w:rsid w:val="00C26BDC"/>
    <w:rsid w:val="00C26DFC"/>
    <w:rsid w:val="00C279B3"/>
    <w:rsid w:val="00C27EDE"/>
    <w:rsid w:val="00C307D2"/>
    <w:rsid w:val="00C30BD6"/>
    <w:rsid w:val="00C31FCD"/>
    <w:rsid w:val="00C32D82"/>
    <w:rsid w:val="00C333EC"/>
    <w:rsid w:val="00C33416"/>
    <w:rsid w:val="00C3376E"/>
    <w:rsid w:val="00C34EC1"/>
    <w:rsid w:val="00C36A00"/>
    <w:rsid w:val="00C36DDA"/>
    <w:rsid w:val="00C3726A"/>
    <w:rsid w:val="00C37855"/>
    <w:rsid w:val="00C42059"/>
    <w:rsid w:val="00C423AF"/>
    <w:rsid w:val="00C42DAA"/>
    <w:rsid w:val="00C43EAC"/>
    <w:rsid w:val="00C45FEC"/>
    <w:rsid w:val="00C47311"/>
    <w:rsid w:val="00C478A8"/>
    <w:rsid w:val="00C47DBD"/>
    <w:rsid w:val="00C51A7D"/>
    <w:rsid w:val="00C51E00"/>
    <w:rsid w:val="00C531AA"/>
    <w:rsid w:val="00C531FC"/>
    <w:rsid w:val="00C53ACB"/>
    <w:rsid w:val="00C55B28"/>
    <w:rsid w:val="00C5650A"/>
    <w:rsid w:val="00C5676E"/>
    <w:rsid w:val="00C57394"/>
    <w:rsid w:val="00C57F25"/>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8B"/>
    <w:rsid w:val="00C737DA"/>
    <w:rsid w:val="00C73E8D"/>
    <w:rsid w:val="00C74042"/>
    <w:rsid w:val="00C74109"/>
    <w:rsid w:val="00C748A0"/>
    <w:rsid w:val="00C75D2D"/>
    <w:rsid w:val="00C75F81"/>
    <w:rsid w:val="00C76734"/>
    <w:rsid w:val="00C76F50"/>
    <w:rsid w:val="00C7748C"/>
    <w:rsid w:val="00C77D88"/>
    <w:rsid w:val="00C77E1D"/>
    <w:rsid w:val="00C8094D"/>
    <w:rsid w:val="00C80A13"/>
    <w:rsid w:val="00C82161"/>
    <w:rsid w:val="00C82251"/>
    <w:rsid w:val="00C82C62"/>
    <w:rsid w:val="00C83C9D"/>
    <w:rsid w:val="00C8499C"/>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268B"/>
    <w:rsid w:val="00CA2C36"/>
    <w:rsid w:val="00CA2FB5"/>
    <w:rsid w:val="00CA3215"/>
    <w:rsid w:val="00CA3611"/>
    <w:rsid w:val="00CA4666"/>
    <w:rsid w:val="00CA50F7"/>
    <w:rsid w:val="00CA692B"/>
    <w:rsid w:val="00CA73FE"/>
    <w:rsid w:val="00CA7506"/>
    <w:rsid w:val="00CA783F"/>
    <w:rsid w:val="00CA78B8"/>
    <w:rsid w:val="00CA7A26"/>
    <w:rsid w:val="00CB0156"/>
    <w:rsid w:val="00CB0E6E"/>
    <w:rsid w:val="00CB112A"/>
    <w:rsid w:val="00CB19DA"/>
    <w:rsid w:val="00CB2DFF"/>
    <w:rsid w:val="00CB45FB"/>
    <w:rsid w:val="00CB5732"/>
    <w:rsid w:val="00CB5B12"/>
    <w:rsid w:val="00CB6B16"/>
    <w:rsid w:val="00CB79F3"/>
    <w:rsid w:val="00CC0564"/>
    <w:rsid w:val="00CC065F"/>
    <w:rsid w:val="00CC12AC"/>
    <w:rsid w:val="00CC1635"/>
    <w:rsid w:val="00CC1800"/>
    <w:rsid w:val="00CC1F37"/>
    <w:rsid w:val="00CC38AF"/>
    <w:rsid w:val="00CC4103"/>
    <w:rsid w:val="00CC49E6"/>
    <w:rsid w:val="00CC5206"/>
    <w:rsid w:val="00CC6142"/>
    <w:rsid w:val="00CC75EA"/>
    <w:rsid w:val="00CC7D5D"/>
    <w:rsid w:val="00CD1C57"/>
    <w:rsid w:val="00CD216E"/>
    <w:rsid w:val="00CD296A"/>
    <w:rsid w:val="00CD29DB"/>
    <w:rsid w:val="00CD2DBC"/>
    <w:rsid w:val="00CD3040"/>
    <w:rsid w:val="00CD39BC"/>
    <w:rsid w:val="00CD3CFB"/>
    <w:rsid w:val="00CD3F92"/>
    <w:rsid w:val="00CD4953"/>
    <w:rsid w:val="00CD5B7F"/>
    <w:rsid w:val="00CD6239"/>
    <w:rsid w:val="00CD6760"/>
    <w:rsid w:val="00CD783F"/>
    <w:rsid w:val="00CE0344"/>
    <w:rsid w:val="00CE03D7"/>
    <w:rsid w:val="00CE28AB"/>
    <w:rsid w:val="00CE33D4"/>
    <w:rsid w:val="00CE3491"/>
    <w:rsid w:val="00CE3D9A"/>
    <w:rsid w:val="00CE400C"/>
    <w:rsid w:val="00CE4299"/>
    <w:rsid w:val="00CE4C88"/>
    <w:rsid w:val="00CE530C"/>
    <w:rsid w:val="00CE5553"/>
    <w:rsid w:val="00CE5F9E"/>
    <w:rsid w:val="00CE5FE4"/>
    <w:rsid w:val="00CE6691"/>
    <w:rsid w:val="00CE6CA5"/>
    <w:rsid w:val="00CE756B"/>
    <w:rsid w:val="00CF0D3D"/>
    <w:rsid w:val="00CF1675"/>
    <w:rsid w:val="00CF2C33"/>
    <w:rsid w:val="00CF2C8E"/>
    <w:rsid w:val="00CF31CF"/>
    <w:rsid w:val="00CF3584"/>
    <w:rsid w:val="00CF35DE"/>
    <w:rsid w:val="00CF3847"/>
    <w:rsid w:val="00CF3A44"/>
    <w:rsid w:val="00CF3B85"/>
    <w:rsid w:val="00CF3BE9"/>
    <w:rsid w:val="00CF43A5"/>
    <w:rsid w:val="00CF5DF1"/>
    <w:rsid w:val="00CF6B95"/>
    <w:rsid w:val="00CF7402"/>
    <w:rsid w:val="00D009C1"/>
    <w:rsid w:val="00D00A13"/>
    <w:rsid w:val="00D01A5D"/>
    <w:rsid w:val="00D025D1"/>
    <w:rsid w:val="00D035AA"/>
    <w:rsid w:val="00D0365C"/>
    <w:rsid w:val="00D03B6A"/>
    <w:rsid w:val="00D04A27"/>
    <w:rsid w:val="00D05DFE"/>
    <w:rsid w:val="00D06F4C"/>
    <w:rsid w:val="00D07CAF"/>
    <w:rsid w:val="00D114DB"/>
    <w:rsid w:val="00D11770"/>
    <w:rsid w:val="00D11CC5"/>
    <w:rsid w:val="00D1369C"/>
    <w:rsid w:val="00D13FCB"/>
    <w:rsid w:val="00D14258"/>
    <w:rsid w:val="00D143EA"/>
    <w:rsid w:val="00D1443F"/>
    <w:rsid w:val="00D16999"/>
    <w:rsid w:val="00D16DF7"/>
    <w:rsid w:val="00D175DA"/>
    <w:rsid w:val="00D2038B"/>
    <w:rsid w:val="00D21682"/>
    <w:rsid w:val="00D22BCC"/>
    <w:rsid w:val="00D23D9D"/>
    <w:rsid w:val="00D24FC6"/>
    <w:rsid w:val="00D25624"/>
    <w:rsid w:val="00D25CA4"/>
    <w:rsid w:val="00D265C0"/>
    <w:rsid w:val="00D2675E"/>
    <w:rsid w:val="00D27A74"/>
    <w:rsid w:val="00D30B33"/>
    <w:rsid w:val="00D30C1F"/>
    <w:rsid w:val="00D3100E"/>
    <w:rsid w:val="00D314FE"/>
    <w:rsid w:val="00D31533"/>
    <w:rsid w:val="00D331B4"/>
    <w:rsid w:val="00D33293"/>
    <w:rsid w:val="00D33B58"/>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46901"/>
    <w:rsid w:val="00D50C77"/>
    <w:rsid w:val="00D50D0A"/>
    <w:rsid w:val="00D511E7"/>
    <w:rsid w:val="00D51860"/>
    <w:rsid w:val="00D519A5"/>
    <w:rsid w:val="00D51B3B"/>
    <w:rsid w:val="00D51F1C"/>
    <w:rsid w:val="00D52725"/>
    <w:rsid w:val="00D52A42"/>
    <w:rsid w:val="00D52F77"/>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0792"/>
    <w:rsid w:val="00D7130F"/>
    <w:rsid w:val="00D723EC"/>
    <w:rsid w:val="00D74A01"/>
    <w:rsid w:val="00D74FEB"/>
    <w:rsid w:val="00D7526D"/>
    <w:rsid w:val="00D75C9B"/>
    <w:rsid w:val="00D75CDD"/>
    <w:rsid w:val="00D7613C"/>
    <w:rsid w:val="00D76300"/>
    <w:rsid w:val="00D85132"/>
    <w:rsid w:val="00D86DB4"/>
    <w:rsid w:val="00D87380"/>
    <w:rsid w:val="00D9022D"/>
    <w:rsid w:val="00D90E85"/>
    <w:rsid w:val="00D91D4C"/>
    <w:rsid w:val="00D92302"/>
    <w:rsid w:val="00D92983"/>
    <w:rsid w:val="00D929B5"/>
    <w:rsid w:val="00D92D32"/>
    <w:rsid w:val="00D94C80"/>
    <w:rsid w:val="00D95645"/>
    <w:rsid w:val="00D95A5E"/>
    <w:rsid w:val="00D96CF4"/>
    <w:rsid w:val="00D9760D"/>
    <w:rsid w:val="00DA00F6"/>
    <w:rsid w:val="00DA0BC4"/>
    <w:rsid w:val="00DA1114"/>
    <w:rsid w:val="00DA21E5"/>
    <w:rsid w:val="00DA24E8"/>
    <w:rsid w:val="00DA2544"/>
    <w:rsid w:val="00DA2D7F"/>
    <w:rsid w:val="00DA2E6D"/>
    <w:rsid w:val="00DA638B"/>
    <w:rsid w:val="00DA7457"/>
    <w:rsid w:val="00DA7AD5"/>
    <w:rsid w:val="00DB06FB"/>
    <w:rsid w:val="00DB0EC8"/>
    <w:rsid w:val="00DB2A9D"/>
    <w:rsid w:val="00DB2FC5"/>
    <w:rsid w:val="00DB358C"/>
    <w:rsid w:val="00DB4BF9"/>
    <w:rsid w:val="00DB4F3B"/>
    <w:rsid w:val="00DB4FFF"/>
    <w:rsid w:val="00DB546C"/>
    <w:rsid w:val="00DB5797"/>
    <w:rsid w:val="00DB5C92"/>
    <w:rsid w:val="00DB6E34"/>
    <w:rsid w:val="00DB6FBD"/>
    <w:rsid w:val="00DB72A3"/>
    <w:rsid w:val="00DB7874"/>
    <w:rsid w:val="00DB789F"/>
    <w:rsid w:val="00DC02C2"/>
    <w:rsid w:val="00DC04D1"/>
    <w:rsid w:val="00DC0AF8"/>
    <w:rsid w:val="00DC0BF1"/>
    <w:rsid w:val="00DC1539"/>
    <w:rsid w:val="00DC2051"/>
    <w:rsid w:val="00DC20B2"/>
    <w:rsid w:val="00DC2D2A"/>
    <w:rsid w:val="00DC361B"/>
    <w:rsid w:val="00DC3EC2"/>
    <w:rsid w:val="00DC3F02"/>
    <w:rsid w:val="00DC49F1"/>
    <w:rsid w:val="00DC51B8"/>
    <w:rsid w:val="00DC56FA"/>
    <w:rsid w:val="00DC62D5"/>
    <w:rsid w:val="00DC63EE"/>
    <w:rsid w:val="00DC6BF4"/>
    <w:rsid w:val="00DC76A1"/>
    <w:rsid w:val="00DD0D4D"/>
    <w:rsid w:val="00DD1747"/>
    <w:rsid w:val="00DD1C63"/>
    <w:rsid w:val="00DD1D8B"/>
    <w:rsid w:val="00DD268A"/>
    <w:rsid w:val="00DD2F28"/>
    <w:rsid w:val="00DD3008"/>
    <w:rsid w:val="00DD31BE"/>
    <w:rsid w:val="00DD3410"/>
    <w:rsid w:val="00DD5AEF"/>
    <w:rsid w:val="00DD7051"/>
    <w:rsid w:val="00DE0057"/>
    <w:rsid w:val="00DE0068"/>
    <w:rsid w:val="00DE0FD2"/>
    <w:rsid w:val="00DE2A6C"/>
    <w:rsid w:val="00DE3172"/>
    <w:rsid w:val="00DE332B"/>
    <w:rsid w:val="00DE33DE"/>
    <w:rsid w:val="00DE3CDD"/>
    <w:rsid w:val="00DE3ECF"/>
    <w:rsid w:val="00DE4119"/>
    <w:rsid w:val="00DE42F0"/>
    <w:rsid w:val="00DE45F3"/>
    <w:rsid w:val="00DE4FEF"/>
    <w:rsid w:val="00DE523B"/>
    <w:rsid w:val="00DE65DB"/>
    <w:rsid w:val="00DF01B6"/>
    <w:rsid w:val="00DF0B96"/>
    <w:rsid w:val="00DF1646"/>
    <w:rsid w:val="00DF26AE"/>
    <w:rsid w:val="00DF37C0"/>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6C34"/>
    <w:rsid w:val="00E078A6"/>
    <w:rsid w:val="00E100D3"/>
    <w:rsid w:val="00E10F36"/>
    <w:rsid w:val="00E118E7"/>
    <w:rsid w:val="00E11CE5"/>
    <w:rsid w:val="00E125A1"/>
    <w:rsid w:val="00E12739"/>
    <w:rsid w:val="00E12749"/>
    <w:rsid w:val="00E1364F"/>
    <w:rsid w:val="00E136E8"/>
    <w:rsid w:val="00E1404B"/>
    <w:rsid w:val="00E158CF"/>
    <w:rsid w:val="00E1612C"/>
    <w:rsid w:val="00E16775"/>
    <w:rsid w:val="00E178D2"/>
    <w:rsid w:val="00E2186B"/>
    <w:rsid w:val="00E21AFC"/>
    <w:rsid w:val="00E21D42"/>
    <w:rsid w:val="00E23195"/>
    <w:rsid w:val="00E23954"/>
    <w:rsid w:val="00E23BFF"/>
    <w:rsid w:val="00E253CB"/>
    <w:rsid w:val="00E265D8"/>
    <w:rsid w:val="00E26CFB"/>
    <w:rsid w:val="00E27960"/>
    <w:rsid w:val="00E27E33"/>
    <w:rsid w:val="00E309DA"/>
    <w:rsid w:val="00E31530"/>
    <w:rsid w:val="00E32782"/>
    <w:rsid w:val="00E33AA3"/>
    <w:rsid w:val="00E34CEB"/>
    <w:rsid w:val="00E3513C"/>
    <w:rsid w:val="00E362EB"/>
    <w:rsid w:val="00E37B40"/>
    <w:rsid w:val="00E4112B"/>
    <w:rsid w:val="00E4119A"/>
    <w:rsid w:val="00E41441"/>
    <w:rsid w:val="00E4186D"/>
    <w:rsid w:val="00E41DAE"/>
    <w:rsid w:val="00E43641"/>
    <w:rsid w:val="00E452D6"/>
    <w:rsid w:val="00E4728C"/>
    <w:rsid w:val="00E472DB"/>
    <w:rsid w:val="00E4745F"/>
    <w:rsid w:val="00E47FB3"/>
    <w:rsid w:val="00E50380"/>
    <w:rsid w:val="00E50BB4"/>
    <w:rsid w:val="00E51412"/>
    <w:rsid w:val="00E525D6"/>
    <w:rsid w:val="00E52A83"/>
    <w:rsid w:val="00E52CEB"/>
    <w:rsid w:val="00E53145"/>
    <w:rsid w:val="00E537E3"/>
    <w:rsid w:val="00E542F0"/>
    <w:rsid w:val="00E546D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627D"/>
    <w:rsid w:val="00E665B2"/>
    <w:rsid w:val="00E66CEC"/>
    <w:rsid w:val="00E70720"/>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748"/>
    <w:rsid w:val="00E8083E"/>
    <w:rsid w:val="00E815E0"/>
    <w:rsid w:val="00E8213A"/>
    <w:rsid w:val="00E825F6"/>
    <w:rsid w:val="00E82AD1"/>
    <w:rsid w:val="00E82B88"/>
    <w:rsid w:val="00E84054"/>
    <w:rsid w:val="00E8456A"/>
    <w:rsid w:val="00E84F8C"/>
    <w:rsid w:val="00E852B9"/>
    <w:rsid w:val="00E85604"/>
    <w:rsid w:val="00E86232"/>
    <w:rsid w:val="00E90D8B"/>
    <w:rsid w:val="00E93348"/>
    <w:rsid w:val="00E93B99"/>
    <w:rsid w:val="00E944A5"/>
    <w:rsid w:val="00E95282"/>
    <w:rsid w:val="00E954D6"/>
    <w:rsid w:val="00E95BCC"/>
    <w:rsid w:val="00E95E9E"/>
    <w:rsid w:val="00E9601D"/>
    <w:rsid w:val="00EA0A25"/>
    <w:rsid w:val="00EA0BD3"/>
    <w:rsid w:val="00EA23EB"/>
    <w:rsid w:val="00EA4820"/>
    <w:rsid w:val="00EA4B7E"/>
    <w:rsid w:val="00EA5391"/>
    <w:rsid w:val="00EA678E"/>
    <w:rsid w:val="00EA6AD1"/>
    <w:rsid w:val="00EA6E62"/>
    <w:rsid w:val="00EB09A1"/>
    <w:rsid w:val="00EB0B8D"/>
    <w:rsid w:val="00EB0DE7"/>
    <w:rsid w:val="00EB2440"/>
    <w:rsid w:val="00EB2ECC"/>
    <w:rsid w:val="00EB399B"/>
    <w:rsid w:val="00EB3A34"/>
    <w:rsid w:val="00EB492A"/>
    <w:rsid w:val="00EB512D"/>
    <w:rsid w:val="00EB5ED9"/>
    <w:rsid w:val="00EB6429"/>
    <w:rsid w:val="00EB6D7F"/>
    <w:rsid w:val="00EB7329"/>
    <w:rsid w:val="00EB77A7"/>
    <w:rsid w:val="00EB7F5A"/>
    <w:rsid w:val="00EC01BE"/>
    <w:rsid w:val="00EC0638"/>
    <w:rsid w:val="00EC067C"/>
    <w:rsid w:val="00EC163D"/>
    <w:rsid w:val="00EC1F6B"/>
    <w:rsid w:val="00EC2D54"/>
    <w:rsid w:val="00EC308F"/>
    <w:rsid w:val="00EC49F2"/>
    <w:rsid w:val="00EC4D7B"/>
    <w:rsid w:val="00EC5A1F"/>
    <w:rsid w:val="00EC5DB2"/>
    <w:rsid w:val="00EC622A"/>
    <w:rsid w:val="00EC6710"/>
    <w:rsid w:val="00EC6916"/>
    <w:rsid w:val="00EC78F2"/>
    <w:rsid w:val="00ED01E9"/>
    <w:rsid w:val="00ED19AF"/>
    <w:rsid w:val="00ED1A0A"/>
    <w:rsid w:val="00ED1FA9"/>
    <w:rsid w:val="00ED20E8"/>
    <w:rsid w:val="00ED2D17"/>
    <w:rsid w:val="00ED2FA0"/>
    <w:rsid w:val="00ED3176"/>
    <w:rsid w:val="00ED3202"/>
    <w:rsid w:val="00ED366A"/>
    <w:rsid w:val="00ED40A2"/>
    <w:rsid w:val="00ED5047"/>
    <w:rsid w:val="00ED54E5"/>
    <w:rsid w:val="00ED5D82"/>
    <w:rsid w:val="00ED629C"/>
    <w:rsid w:val="00ED6409"/>
    <w:rsid w:val="00ED7D23"/>
    <w:rsid w:val="00ED7FE2"/>
    <w:rsid w:val="00EE0390"/>
    <w:rsid w:val="00EE0B2B"/>
    <w:rsid w:val="00EE152D"/>
    <w:rsid w:val="00EE22ED"/>
    <w:rsid w:val="00EE2DA0"/>
    <w:rsid w:val="00EE2E8B"/>
    <w:rsid w:val="00EE3283"/>
    <w:rsid w:val="00EE364A"/>
    <w:rsid w:val="00EE3CEE"/>
    <w:rsid w:val="00EE5580"/>
    <w:rsid w:val="00EE5589"/>
    <w:rsid w:val="00EE57D9"/>
    <w:rsid w:val="00EE5EC3"/>
    <w:rsid w:val="00EE60DF"/>
    <w:rsid w:val="00EE67F3"/>
    <w:rsid w:val="00EF09D3"/>
    <w:rsid w:val="00EF1AE7"/>
    <w:rsid w:val="00EF1C4A"/>
    <w:rsid w:val="00EF20C9"/>
    <w:rsid w:val="00EF22C4"/>
    <w:rsid w:val="00EF273D"/>
    <w:rsid w:val="00EF2A8A"/>
    <w:rsid w:val="00EF35E7"/>
    <w:rsid w:val="00EF3A73"/>
    <w:rsid w:val="00EF53D4"/>
    <w:rsid w:val="00EF5F99"/>
    <w:rsid w:val="00EF5FA1"/>
    <w:rsid w:val="00EF6556"/>
    <w:rsid w:val="00EF6AB6"/>
    <w:rsid w:val="00EF712B"/>
    <w:rsid w:val="00EF7C32"/>
    <w:rsid w:val="00EF7C90"/>
    <w:rsid w:val="00F0039F"/>
    <w:rsid w:val="00F00B4A"/>
    <w:rsid w:val="00F00B91"/>
    <w:rsid w:val="00F01E84"/>
    <w:rsid w:val="00F01FF1"/>
    <w:rsid w:val="00F02654"/>
    <w:rsid w:val="00F02D3D"/>
    <w:rsid w:val="00F04845"/>
    <w:rsid w:val="00F0523F"/>
    <w:rsid w:val="00F059ED"/>
    <w:rsid w:val="00F05B32"/>
    <w:rsid w:val="00F06585"/>
    <w:rsid w:val="00F06A07"/>
    <w:rsid w:val="00F06EDB"/>
    <w:rsid w:val="00F0732C"/>
    <w:rsid w:val="00F07349"/>
    <w:rsid w:val="00F079D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258"/>
    <w:rsid w:val="00F23389"/>
    <w:rsid w:val="00F23F73"/>
    <w:rsid w:val="00F24127"/>
    <w:rsid w:val="00F25A7B"/>
    <w:rsid w:val="00F25B70"/>
    <w:rsid w:val="00F261D3"/>
    <w:rsid w:val="00F264DB"/>
    <w:rsid w:val="00F26630"/>
    <w:rsid w:val="00F26984"/>
    <w:rsid w:val="00F26EB7"/>
    <w:rsid w:val="00F26FA0"/>
    <w:rsid w:val="00F26FD9"/>
    <w:rsid w:val="00F2743F"/>
    <w:rsid w:val="00F2767F"/>
    <w:rsid w:val="00F27CF9"/>
    <w:rsid w:val="00F30DE2"/>
    <w:rsid w:val="00F3142E"/>
    <w:rsid w:val="00F314A7"/>
    <w:rsid w:val="00F314ED"/>
    <w:rsid w:val="00F32647"/>
    <w:rsid w:val="00F32A1A"/>
    <w:rsid w:val="00F32C2A"/>
    <w:rsid w:val="00F3572F"/>
    <w:rsid w:val="00F4066B"/>
    <w:rsid w:val="00F4091D"/>
    <w:rsid w:val="00F40C64"/>
    <w:rsid w:val="00F41193"/>
    <w:rsid w:val="00F41287"/>
    <w:rsid w:val="00F41E91"/>
    <w:rsid w:val="00F42662"/>
    <w:rsid w:val="00F43176"/>
    <w:rsid w:val="00F43A72"/>
    <w:rsid w:val="00F44662"/>
    <w:rsid w:val="00F45DD3"/>
    <w:rsid w:val="00F45F30"/>
    <w:rsid w:val="00F465A6"/>
    <w:rsid w:val="00F479BD"/>
    <w:rsid w:val="00F51FC1"/>
    <w:rsid w:val="00F530B1"/>
    <w:rsid w:val="00F54E03"/>
    <w:rsid w:val="00F552A4"/>
    <w:rsid w:val="00F55912"/>
    <w:rsid w:val="00F56866"/>
    <w:rsid w:val="00F57099"/>
    <w:rsid w:val="00F57D54"/>
    <w:rsid w:val="00F6016F"/>
    <w:rsid w:val="00F6027D"/>
    <w:rsid w:val="00F60A99"/>
    <w:rsid w:val="00F60D22"/>
    <w:rsid w:val="00F61ED7"/>
    <w:rsid w:val="00F631A3"/>
    <w:rsid w:val="00F6345B"/>
    <w:rsid w:val="00F642EF"/>
    <w:rsid w:val="00F64F31"/>
    <w:rsid w:val="00F650AD"/>
    <w:rsid w:val="00F65A34"/>
    <w:rsid w:val="00F65AED"/>
    <w:rsid w:val="00F66ACB"/>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356"/>
    <w:rsid w:val="00F77CC1"/>
    <w:rsid w:val="00F77E51"/>
    <w:rsid w:val="00F801E6"/>
    <w:rsid w:val="00F80D2F"/>
    <w:rsid w:val="00F813EE"/>
    <w:rsid w:val="00F81F62"/>
    <w:rsid w:val="00F81F7A"/>
    <w:rsid w:val="00F8200C"/>
    <w:rsid w:val="00F82426"/>
    <w:rsid w:val="00F82D8E"/>
    <w:rsid w:val="00F82F17"/>
    <w:rsid w:val="00F839F3"/>
    <w:rsid w:val="00F83CA8"/>
    <w:rsid w:val="00F83CE5"/>
    <w:rsid w:val="00F840DD"/>
    <w:rsid w:val="00F841AA"/>
    <w:rsid w:val="00F84EC4"/>
    <w:rsid w:val="00F85686"/>
    <w:rsid w:val="00F86214"/>
    <w:rsid w:val="00F86D97"/>
    <w:rsid w:val="00F87CB6"/>
    <w:rsid w:val="00F90A52"/>
    <w:rsid w:val="00F91275"/>
    <w:rsid w:val="00F916FB"/>
    <w:rsid w:val="00F92DD0"/>
    <w:rsid w:val="00F961BF"/>
    <w:rsid w:val="00F96836"/>
    <w:rsid w:val="00F97A03"/>
    <w:rsid w:val="00FA0567"/>
    <w:rsid w:val="00FA0B22"/>
    <w:rsid w:val="00FA0FCB"/>
    <w:rsid w:val="00FA1E16"/>
    <w:rsid w:val="00FA1EA9"/>
    <w:rsid w:val="00FA1FA2"/>
    <w:rsid w:val="00FA200E"/>
    <w:rsid w:val="00FA27E0"/>
    <w:rsid w:val="00FA2B40"/>
    <w:rsid w:val="00FA2F12"/>
    <w:rsid w:val="00FA317B"/>
    <w:rsid w:val="00FA38D1"/>
    <w:rsid w:val="00FA3E4F"/>
    <w:rsid w:val="00FA42C3"/>
    <w:rsid w:val="00FA480F"/>
    <w:rsid w:val="00FA4816"/>
    <w:rsid w:val="00FA4B7B"/>
    <w:rsid w:val="00FA4C8B"/>
    <w:rsid w:val="00FA4EF3"/>
    <w:rsid w:val="00FA55D2"/>
    <w:rsid w:val="00FA5DFF"/>
    <w:rsid w:val="00FA6436"/>
    <w:rsid w:val="00FA748E"/>
    <w:rsid w:val="00FB0227"/>
    <w:rsid w:val="00FB0378"/>
    <w:rsid w:val="00FB0AB5"/>
    <w:rsid w:val="00FB197B"/>
    <w:rsid w:val="00FB1C27"/>
    <w:rsid w:val="00FB1DD4"/>
    <w:rsid w:val="00FB1DFD"/>
    <w:rsid w:val="00FB22ED"/>
    <w:rsid w:val="00FB4122"/>
    <w:rsid w:val="00FB4670"/>
    <w:rsid w:val="00FB46A0"/>
    <w:rsid w:val="00FB49D5"/>
    <w:rsid w:val="00FB57F9"/>
    <w:rsid w:val="00FB6019"/>
    <w:rsid w:val="00FB642D"/>
    <w:rsid w:val="00FB6617"/>
    <w:rsid w:val="00FB668E"/>
    <w:rsid w:val="00FC1232"/>
    <w:rsid w:val="00FC1BC7"/>
    <w:rsid w:val="00FC1F65"/>
    <w:rsid w:val="00FC3020"/>
    <w:rsid w:val="00FC4AEB"/>
    <w:rsid w:val="00FC5638"/>
    <w:rsid w:val="00FC5896"/>
    <w:rsid w:val="00FC5AF3"/>
    <w:rsid w:val="00FC76BA"/>
    <w:rsid w:val="00FC77E1"/>
    <w:rsid w:val="00FC7D08"/>
    <w:rsid w:val="00FC7D64"/>
    <w:rsid w:val="00FC7F62"/>
    <w:rsid w:val="00FD089C"/>
    <w:rsid w:val="00FD106F"/>
    <w:rsid w:val="00FD152E"/>
    <w:rsid w:val="00FD1E58"/>
    <w:rsid w:val="00FD56DC"/>
    <w:rsid w:val="00FD5E71"/>
    <w:rsid w:val="00FD5F04"/>
    <w:rsid w:val="00FD5F8B"/>
    <w:rsid w:val="00FD75CD"/>
    <w:rsid w:val="00FD7885"/>
    <w:rsid w:val="00FE01D1"/>
    <w:rsid w:val="00FE04FB"/>
    <w:rsid w:val="00FE0BCA"/>
    <w:rsid w:val="00FE0CFB"/>
    <w:rsid w:val="00FE0D6F"/>
    <w:rsid w:val="00FE137C"/>
    <w:rsid w:val="00FE1433"/>
    <w:rsid w:val="00FE1DFD"/>
    <w:rsid w:val="00FE2392"/>
    <w:rsid w:val="00FE2559"/>
    <w:rsid w:val="00FE2EC2"/>
    <w:rsid w:val="00FE3192"/>
    <w:rsid w:val="00FE3B99"/>
    <w:rsid w:val="00FE3F14"/>
    <w:rsid w:val="00FE4172"/>
    <w:rsid w:val="00FE4A94"/>
    <w:rsid w:val="00FE55DD"/>
    <w:rsid w:val="00FE584D"/>
    <w:rsid w:val="00FE597C"/>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F7F5AEC"/>
    <w:rsid w:val="1D7433FF"/>
    <w:rsid w:val="31F15059"/>
    <w:rsid w:val="3480425E"/>
    <w:rsid w:val="3F25462C"/>
    <w:rsid w:val="4DBC4963"/>
    <w:rsid w:val="58616A61"/>
    <w:rsid w:val="590057A6"/>
    <w:rsid w:val="65400D68"/>
    <w:rsid w:val="74C81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color w:val="CC0000"/>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0"/>
    <w:rPr>
      <w:rFonts w:ascii="Times New Roman" w:hAnsi="Times New Roman" w:eastAsia="宋体" w:cs="Times New Roman"/>
      <w:b/>
      <w:bCs/>
      <w:kern w:val="44"/>
      <w:sz w:val="44"/>
      <w:szCs w:val="44"/>
    </w:rPr>
  </w:style>
  <w:style w:type="character" w:customStyle="1" w:styleId="15">
    <w:name w:val="corporatetitle1"/>
    <w:qFormat/>
    <w:uiPriority w:val="0"/>
    <w:rPr>
      <w:b/>
      <w:bCs/>
      <w:color w:val="CC0000"/>
      <w:spacing w:val="375"/>
      <w:sz w:val="22"/>
      <w:szCs w:val="22"/>
    </w:rPr>
  </w:style>
  <w:style w:type="character" w:customStyle="1" w:styleId="16">
    <w:name w:val="页脚 字符"/>
    <w:basedOn w:val="11"/>
    <w:link w:val="5"/>
    <w:qFormat/>
    <w:uiPriority w:val="99"/>
    <w:rPr>
      <w:rFonts w:ascii="Times New Roman" w:hAnsi="Times New Roman" w:eastAsia="宋体" w:cs="Times New Roman"/>
      <w:sz w:val="18"/>
      <w:szCs w:val="18"/>
    </w:rPr>
  </w:style>
  <w:style w:type="character" w:customStyle="1" w:styleId="17">
    <w:name w:val="页眉 字符"/>
    <w:basedOn w:val="11"/>
    <w:link w:val="6"/>
    <w:qFormat/>
    <w:uiPriority w:val="99"/>
    <w:rPr>
      <w:rFonts w:ascii="Times New Roman" w:hAnsi="Times New Roman" w:eastAsia="宋体" w:cs="Times New Roman"/>
      <w:sz w:val="18"/>
      <w:szCs w:val="18"/>
    </w:rPr>
  </w:style>
  <w:style w:type="character" w:customStyle="1" w:styleId="18">
    <w:name w:val="批注框文本 字符"/>
    <w:basedOn w:val="11"/>
    <w:link w:val="4"/>
    <w:qFormat/>
    <w:uiPriority w:val="99"/>
    <w:rPr>
      <w:rFonts w:ascii="Times New Roman" w:hAnsi="Times New Roman" w:eastAsia="宋体" w:cs="Times New Roman"/>
      <w:sz w:val="18"/>
      <w:szCs w:val="18"/>
    </w:rPr>
  </w:style>
  <w:style w:type="character" w:customStyle="1" w:styleId="19">
    <w:name w:val="批注文字 字符"/>
    <w:basedOn w:val="11"/>
    <w:link w:val="3"/>
    <w:qFormat/>
    <w:uiPriority w:val="99"/>
    <w:rPr>
      <w:rFonts w:ascii="Times New Roman" w:hAnsi="Times New Roman" w:eastAsia="宋体" w:cs="Times New Roman"/>
      <w:szCs w:val="24"/>
    </w:rPr>
  </w:style>
  <w:style w:type="character" w:customStyle="1" w:styleId="20">
    <w:name w:val="批注主题 字符"/>
    <w:basedOn w:val="19"/>
    <w:link w:val="8"/>
    <w:semiHidden/>
    <w:qFormat/>
    <w:uiPriority w:val="99"/>
    <w:rPr>
      <w:rFonts w:ascii="Times New Roman" w:hAnsi="Times New Roman" w:eastAsia="宋体" w:cs="Times New Roman"/>
      <w:b/>
      <w:bCs/>
      <w:szCs w:val="24"/>
    </w:rPr>
  </w:style>
  <w:style w:type="paragraph" w:styleId="21">
    <w:name w:val="List Paragraph"/>
    <w:basedOn w:val="1"/>
    <w:link w:val="24"/>
    <w:qFormat/>
    <w:uiPriority w:val="34"/>
    <w:pPr>
      <w:ind w:firstLine="420" w:firstLineChars="200"/>
    </w:pPr>
  </w:style>
  <w:style w:type="character" w:customStyle="1" w:styleId="22">
    <w:name w:val="Body text|1_"/>
    <w:link w:val="23"/>
    <w:qFormat/>
    <w:uiPriority w:val="0"/>
    <w:rPr>
      <w:rFonts w:ascii="宋体" w:hAnsi="宋体" w:cs="宋体"/>
      <w:color w:val="666666"/>
      <w:lang w:val="zh-TW" w:eastAsia="zh-TW" w:bidi="zh-TW"/>
    </w:rPr>
  </w:style>
  <w:style w:type="paragraph" w:customStyle="1" w:styleId="23">
    <w:name w:val="Body text|1"/>
    <w:basedOn w:val="1"/>
    <w:link w:val="22"/>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4">
    <w:name w:val="列出段落 字符"/>
    <w:link w:val="21"/>
    <w:qFormat/>
    <w:uiPriority w:val="34"/>
    <w:rPr>
      <w:rFonts w:ascii="Times New Roman" w:hAnsi="Times New Roman" w:eastAsia="宋体" w:cs="Times New Roman"/>
      <w:szCs w:val="24"/>
    </w:rPr>
  </w:style>
  <w:style w:type="paragraph" w:customStyle="1" w:styleId="25">
    <w:name w:val="Default"/>
    <w:qFormat/>
    <w:uiPriority w:val="0"/>
    <w:pPr>
      <w:widowControl w:val="0"/>
      <w:autoSpaceDE w:val="0"/>
      <w:autoSpaceDN w:val="0"/>
      <w:adjustRightInd w:val="0"/>
      <w:ind w:right="67" w:rightChars="67"/>
    </w:pPr>
    <w:rPr>
      <w:rFonts w:ascii="宋体" w:hAnsi="Times New Roman" w:eastAsia="宋体" w:cs="宋体"/>
      <w:color w:val="000000"/>
      <w:sz w:val="24"/>
      <w:szCs w:val="24"/>
      <w:lang w:val="en-US" w:eastAsia="zh-CN" w:bidi="ar-SA"/>
    </w:rPr>
  </w:style>
  <w:style w:type="paragraph" w:customStyle="1" w:styleId="2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7">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F5036-7824-47BD-AC72-A84C615FCBA3}">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31</Pages>
  <Words>3718</Words>
  <Characters>21194</Characters>
  <Lines>176</Lines>
  <Paragraphs>49</Paragraphs>
  <TotalTime>292</TotalTime>
  <ScaleCrop>false</ScaleCrop>
  <LinksUpToDate>false</LinksUpToDate>
  <CharactersWithSpaces>24863</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2022-03-28T08:18:00Z</dcterms:created>
  <dc:creator>PingAn</dc:creator>
  <cp:lastModifiedBy>HUANGJINGRAN564</cp:lastModifiedBy>
  <cp:lastPrinted>2020-10-23T02:40:00Z</cp:lastPrinted>
  <dcterms:modified xsi:type="dcterms:W3CDTF">2024-05-17T10:02:40Z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2E687B506EA148E786AFEB60978ADCE0</vt:lpwstr>
  </property>
</Properties>
</file>