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color w:val="000000"/>
          <w:sz w:val="32"/>
          <w:szCs w:val="21"/>
          <w:highlight w:val="none"/>
        </w:rPr>
        <w:t>平安理财新启航第291期九个月封闭固收类理财产品</w:t>
      </w: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平安理财新启航第291期九个月封闭固收类理财产品</w:t>
            </w:r>
            <w:r>
              <w:rPr>
                <w:rFonts w:ascii="Arial" w:hAnsi="Arial" w:cs="Arial" w:eastAsiaTheme="minorEastAsia"/>
                <w:b/>
                <w:bCs/>
                <w:sz w:val="22"/>
                <w:highlight w:val="none"/>
              </w:rPr>
              <w:t>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平安理财新启航第291期九个月封闭固收类理财产品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平安理财新启航第291期九个月封闭固收类理财产品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QXFG09M291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徽商银行股份有限公司、华夏银行股份有限公司、中原银行股份有限公司</w:t>
            </w:r>
            <w:r>
              <w:rPr>
                <w:rFonts w:ascii="Arial" w:hAnsi="Arial" w:cs="Arial" w:eastAsiaTheme="minorEastAsia"/>
                <w:color w:val="000000"/>
                <w:sz w:val="22"/>
                <w:szCs w:val="22"/>
                <w:highlight w:val="none"/>
              </w:rPr>
              <w:t>。</w:t>
            </w:r>
            <w:r>
              <w:rPr>
                <w:rFonts w:ascii="Arial" w:hAnsi="Arial" w:cs="Arial" w:eastAsiaTheme="minorEastAsia"/>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w:t>
            </w:r>
            <w:r>
              <w:rPr>
                <w:rFonts w:ascii="Arial" w:hAnsi="Arial" w:cs="Arial" w:eastAsiaTheme="minorEastAsia"/>
                <w:color w:val="000000"/>
                <w:sz w:val="22"/>
                <w:szCs w:val="22"/>
                <w:highlight w:val="none"/>
              </w:rPr>
              <w:t>Z7003324000307</w:t>
            </w:r>
            <w:r>
              <w:rPr>
                <w:rFonts w:ascii="Arial" w:hAnsi="Arial" w:cs="Arial" w:eastAsiaTheme="minorEastAsia"/>
                <w:color w:val="000000"/>
                <w:sz w:val="22"/>
                <w:szCs w:val="22"/>
                <w:highlight w:val="none"/>
              </w:rPr>
              <w:t>】，投资者可以根据该登记编号在中国理财网（网址：https://www.chinawealth.com.cn/）查询产品信息。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color w:val="000000" w:themeColor="text1"/>
                <w:sz w:val="22"/>
                <w:szCs w:val="22"/>
                <w:highlight w:val="none"/>
                <w14:textFill>
                  <w14:solidFill>
                    <w14:schemeClr w14:val="tx1"/>
                  </w14:solidFill>
                </w14:textFill>
              </w:rPr>
              <w:t>，投资者可以按照本理财产品说明书约定的认购期和场所，认购本理财产品。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r>
              <w:rPr>
                <w:rFonts w:ascii="Arial" w:hAnsi="Arial" w:cs="Arial" w:eastAsiaTheme="minorEastAsia"/>
                <w:b/>
                <w:color w:val="000000"/>
                <w:sz w:val="22"/>
                <w:szCs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w:t>
            </w:r>
            <w:r>
              <w:rPr>
                <w:rFonts w:ascii="Arial" w:hAnsi="Arial" w:cs="Arial" w:eastAsiaTheme="minorEastAsia"/>
                <w:color w:val="000000"/>
                <w:sz w:val="22"/>
                <w:szCs w:val="22"/>
                <w:highlight w:val="none"/>
              </w:rPr>
              <w:t>A/B/C</w:t>
            </w:r>
            <w:r>
              <w:rPr>
                <w:rFonts w:ascii="Arial" w:hAnsi="Arial" w:cs="Arial" w:eastAsiaTheme="minorEastAsia"/>
                <w:color w:val="000000"/>
                <w:sz w:val="22"/>
                <w:szCs w:val="22"/>
                <w:highlight w:val="none"/>
              </w:rPr>
              <w:t>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华夏银行股份有限公司的个人投资者和机构投资者销售，相关标准以销售服务机构为准。销售代码【QXFG09291A】，销售名称【平安理财新启航第291期九个月封闭A】；B类份额面向中原银行股份有限公司的个人投资者和机构投资者销售，相关标准以销售服务机构为准。销售代码【QXFG09291B】，销售名称【平安理财新启航第291期九个月封闭B】；C类份额面向徽商银行股份有限公司的个人投资者和机构投资者销售，相关标准以销售服务机构为准。销售代码【QXFG09291C】，销售名称【平安理财新启航第291期九个月封闭C】。</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A份额：认购起点为1元，超过认购起点部分应为0.01元的整数倍；B份额：认购起点为1元，超过认购起点部分应为0.01元的整数倍；C份额：认购起点为1元，超过认购起点部分应为0.01元的整数倍。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A份额单笔认购上限为1亿元；B份额单笔认购上限为1亿元；C份额单笔认购上限为1亿元。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不得接受单一投资者购买超过产品份额总数50%的申请（在产品运作过程中因份额赎回、收益结转等情形导致持有份额被动超过此规则的情形除外）。管理人有权以公告形式调整单一投资者持有上限。如发生超额申请，管理人有权根据实际情况决定拒绝或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A份额的业绩比较基准为年化【2.65%-3.05%】；B份额的业绩比较基准为年化【2.45%-2.85%】；C份额的业绩比较基准为年化【2.60%-3.00%】</w:t>
            </w:r>
            <w:r>
              <w:rPr>
                <w:rFonts w:ascii="Arial" w:hAnsi="Arial" w:cs="Arial" w:eastAsiaTheme="minorEastAsia"/>
                <w:color w:val="000000"/>
                <w:sz w:val="22"/>
                <w:szCs w:val="22"/>
                <w:highlight w:val="none"/>
              </w:rPr>
              <w:t>。</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1.固定管理费：管理人收取本理财产品固定管理费，各类份额固定管理费率不超过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2.销售服务费：销售服务机构收取本理财产品销售服务费，各类份额销售服务费率不超过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3.托管费：托管人对本理财产品收取托管费，各类份额托管费率不超过</w:t>
            </w:r>
            <w:r>
              <w:rPr>
                <w:rFonts w:ascii="Arial" w:hAnsi="Arial" w:cs="Arial" w:eastAsiaTheme="minorEastAsia"/>
                <w:sz w:val="22"/>
                <w:szCs w:val="22"/>
                <w:highlight w:val="none"/>
              </w:rPr>
              <w:t>0.03</w:t>
            </w:r>
            <w:r>
              <w:rPr>
                <w:rFonts w:ascii="Arial" w:hAnsi="Arial" w:cs="Arial" w:eastAsiaTheme="minorEastAsia"/>
                <w:sz w:val="22"/>
                <w:szCs w:val="22"/>
                <w:highlight w:val="none"/>
              </w:rPr>
              <w:t xml:space="preserve">%/年。托管费精确到小数点后2位，小数点2位以后四舍五入。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sz w:val="22"/>
                <w:szCs w:val="22"/>
                <w:highlight w:val="none"/>
              </w:rPr>
              <w:t>【30.00】</w:t>
            </w:r>
            <w:r>
              <w:rPr>
                <w:rFonts w:ascii="Arial" w:hAnsi="Arial" w:cs="Arial" w:eastAsiaTheme="minorEastAsia"/>
                <w:sz w:val="22"/>
                <w:szCs w:val="22"/>
                <w:highlight w:val="none"/>
              </w:rPr>
              <w:t>%作为浮动管理费。本理财产品的浮动管理费计提评价日为本理财产品终止日。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2024年6月26日09:30 - 2024年7月2日17:00</w:t>
            </w:r>
            <w:r>
              <w:rPr>
                <w:rFonts w:ascii="Arial" w:hAnsi="Arial" w:cs="Arial" w:eastAsiaTheme="minorEastAsia"/>
                <w:sz w:val="22"/>
                <w:szCs w:val="22"/>
                <w:highlight w:val="none"/>
              </w:rPr>
              <w:t>（不含），管理人保留延长或提前终止产品认购期的权利。如有变动，本理财产品实际认购期以管理人公告为准。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2024年7月3日</w:t>
            </w:r>
            <w:r>
              <w:rPr>
                <w:rFonts w:ascii="Arial" w:hAnsi="Arial" w:cs="Arial" w:eastAsiaTheme="minorEastAsia"/>
                <w:sz w:val="22"/>
                <w:szCs w:val="22"/>
                <w:highlight w:val="none"/>
              </w:rPr>
              <w:t>（如遇非交易日顺延到下一个交易日）。如本理财产品认购期提前终止或延长，实际认购登记日以管理人实际公告为准。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2024年7月3日</w:t>
            </w:r>
            <w:r>
              <w:rPr>
                <w:rFonts w:ascii="Arial" w:hAnsi="Arial" w:cs="Arial" w:eastAsiaTheme="minorEastAsia"/>
                <w:sz w:val="22"/>
                <w:szCs w:val="22"/>
                <w:highlight w:val="none"/>
              </w:rPr>
              <w:t>（如遇非交易日顺延到下一个交易日）。如本理财产品认购期提前终止或延长，实际成立日以管理人实际公告为准。产品管理人将在本理财产品成立日之后5个工作日内披露成立公告。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2025年4月1日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产品认购期、认购登记日、产品成立日、提前终止日等日期，管理人有权根据节假日进行调整，并以实际公布为准。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平安银行股份有限公司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1987</w:t>
            </w:r>
            <w:r>
              <w:rPr>
                <w:rFonts w:hint="eastAsia" w:asciiTheme="minorEastAsia" w:hAnsiTheme="minorEastAsia" w:eastAsiaTheme="minorEastAsia" w:cstheme="minorEastAsia"/>
                <w:sz w:val="22"/>
                <w:szCs w:val="22"/>
                <w:highlight w:val="none"/>
                <w:lang w:val="en-US" w:eastAsia="zh-CN"/>
              </w:rPr>
              <w:t>年</w:t>
            </w:r>
            <w:r>
              <w:rPr>
                <w:rFonts w:hint="eastAsia" w:asciiTheme="minorEastAsia" w:hAnsiTheme="minorEastAsia" w:eastAsiaTheme="minorEastAsia" w:cstheme="minorEastAsia"/>
                <w:sz w:val="22"/>
                <w:szCs w:val="22"/>
                <w:highlight w:val="none"/>
              </w:rPr>
              <w:t>12</w:t>
            </w:r>
            <w:r>
              <w:rPr>
                <w:rFonts w:hint="eastAsia" w:asciiTheme="minorEastAsia" w:hAnsiTheme="minorEastAsia" w:eastAsiaTheme="minorEastAsia" w:cstheme="minorEastAsia"/>
                <w:sz w:val="22"/>
                <w:szCs w:val="22"/>
                <w:highlight w:val="none"/>
                <w:lang w:val="en-US" w:eastAsia="zh-CN"/>
              </w:rPr>
              <w:t>月</w:t>
            </w:r>
            <w:r>
              <w:rPr>
                <w:rFonts w:hint="eastAsia" w:asciiTheme="minorEastAsia" w:hAnsiTheme="minorEastAsia" w:eastAsiaTheme="minorEastAsia" w:cstheme="minorEastAsia"/>
                <w:sz w:val="22"/>
                <w:szCs w:val="22"/>
                <w:highlight w:val="none"/>
              </w:rPr>
              <w:t>22</w:t>
            </w:r>
            <w:r>
              <w:rPr>
                <w:rFonts w:hint="eastAsia" w:asciiTheme="minorEastAsia" w:hAnsiTheme="minorEastAsia" w:eastAsiaTheme="minorEastAsia" w:cstheme="minorEastAsia"/>
                <w:sz w:val="22"/>
                <w:szCs w:val="22"/>
                <w:highlight w:val="no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50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42"/>
        <w:gridCol w:w="1742"/>
        <w:gridCol w:w="50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Align w:val="center"/>
          </w:tcPr>
          <w:p>
            <w:pPr>
              <w:jc w:val="left"/>
              <w:rPr>
                <w:rFonts w:hint="default" w:ascii="Arial" w:hAnsi="Arial" w:cs="Arial"/>
                <w:sz w:val="22"/>
                <w:szCs w:val="22"/>
                <w:highlight w:val="none"/>
              </w:rPr>
            </w:pPr>
            <w:r>
              <w:rPr>
                <w:rFonts w:hint="default" w:ascii="Arial" w:hAnsi="Arial" w:cs="Arial"/>
                <w:b/>
                <w:sz w:val="22"/>
                <w:szCs w:val="22"/>
                <w:highlight w:val="none"/>
              </w:rPr>
              <w:t>销售服务机构</w:t>
            </w:r>
          </w:p>
        </w:tc>
        <w:tc>
          <w:tcPr>
            <w:tcW w:w="500" w:type="dxa"/>
            <w:gridSpan w:val="2"/>
            <w:vAlign w:val="center"/>
          </w:tcPr>
          <w:p>
            <w:pPr>
              <w:jc w:val="left"/>
              <w:rPr>
                <w:rFonts w:hint="default" w:ascii="Arial" w:hAnsi="Arial" w:cs="Arial"/>
                <w:sz w:val="22"/>
                <w:szCs w:val="22"/>
                <w:highlight w:val="none"/>
              </w:rPr>
            </w:pPr>
            <w:r>
              <w:rPr>
                <w:rFonts w:hint="default" w:ascii="Arial" w:hAnsi="Arial" w:cs="Arial"/>
                <w:b/>
                <w:sz w:val="22"/>
                <w:szCs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rFonts w:hint="default" w:ascii="Arial" w:hAnsi="Arial" w:cs="Arial"/>
                <w:sz w:val="22"/>
                <w:szCs w:val="22"/>
                <w:highlight w:val="none"/>
              </w:rPr>
            </w:pPr>
            <w:r>
              <w:rPr>
                <w:rFonts w:hint="default" w:ascii="Arial" w:hAnsi="Arial" w:cs="Arial"/>
                <w:b/>
                <w:sz w:val="22"/>
                <w:szCs w:val="22"/>
                <w:highlight w:val="none"/>
              </w:rPr>
              <w:t>徽商银行股份有限公司</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成立时间</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1997年4月4日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住所</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安徽省合肥市云谷路1699号徽银大厦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客户服务热线</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4008896588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rFonts w:hint="default" w:ascii="Arial" w:hAnsi="Arial" w:cs="Arial"/>
                <w:sz w:val="22"/>
                <w:szCs w:val="22"/>
                <w:highlight w:val="none"/>
              </w:rPr>
            </w:pPr>
            <w:r>
              <w:rPr>
                <w:rFonts w:hint="default" w:ascii="Arial" w:hAnsi="Arial" w:cs="Arial"/>
                <w:b/>
                <w:sz w:val="22"/>
                <w:szCs w:val="22"/>
                <w:highlight w:val="none"/>
              </w:rPr>
              <w:t>华夏银行股份有限公司</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成立时间</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住所</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客户服务热线</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95577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rFonts w:hint="default" w:ascii="Arial" w:hAnsi="Arial" w:cs="Arial"/>
                <w:sz w:val="22"/>
                <w:szCs w:val="22"/>
                <w:highlight w:val="none"/>
              </w:rPr>
            </w:pPr>
            <w:r>
              <w:rPr>
                <w:rFonts w:hint="default" w:ascii="Arial" w:hAnsi="Arial" w:cs="Arial"/>
                <w:b/>
                <w:sz w:val="22"/>
                <w:szCs w:val="22"/>
                <w:highlight w:val="none"/>
              </w:rPr>
              <w:t>中原银行股份有限公司</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成立时间</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2014年12月23日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住所</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河南省郑州市郑东新区商务外环27号楼景峰国际中原银行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rFonts w:hint="default" w:ascii="Arial" w:hAnsi="Arial" w:cs="Arial"/>
                <w:sz w:val="22"/>
                <w:szCs w:val="22"/>
                <w:highlight w:val="none"/>
              </w:rPr>
            </w:pP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客户服务热线</w:t>
            </w:r>
          </w:p>
        </w:tc>
        <w:tc>
          <w:tcPr>
            <w:tcW w:w="500" w:type="dxa"/>
            <w:vAlign w:val="center"/>
          </w:tcPr>
          <w:p>
            <w:pPr>
              <w:jc w:val="left"/>
              <w:rPr>
                <w:rFonts w:hint="default" w:ascii="Arial" w:hAnsi="Arial" w:cs="Arial"/>
                <w:sz w:val="22"/>
                <w:szCs w:val="22"/>
                <w:highlight w:val="none"/>
              </w:rPr>
            </w:pPr>
            <w:r>
              <w:rPr>
                <w:rFonts w:hint="default" w:ascii="Arial" w:hAnsi="Arial" w:cs="Arial"/>
                <w:sz w:val="22"/>
                <w:szCs w:val="22"/>
                <w:highlight w:val="none"/>
              </w:rPr>
              <w:t>95186</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bookmarkStart w:id="4" w:name="_GoBack"/>
      <w:bookmarkEnd w:id="4"/>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 xml:space="preserve">认购份额：本理财产品份额以“份”为单位，1元人民币为1份。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w:t>
      </w:r>
      <w:r>
        <w:rPr>
          <w:rFonts w:ascii="Arial" w:hAnsi="Arial" w:cs="Arial" w:eastAsiaTheme="minorEastAsia"/>
          <w:snapToGrid w:val="0"/>
          <w:color w:val="000000"/>
          <w:sz w:val="22"/>
          <w:szCs w:val="22"/>
          <w:highlight w:val="none"/>
        </w:rPr>
        <w:t>2024年6月26日09:30</w:t>
      </w:r>
      <w:r>
        <w:rPr>
          <w:rFonts w:ascii="Arial" w:hAnsi="Arial" w:cs="Arial" w:eastAsiaTheme="minorEastAsia"/>
          <w:snapToGrid w:val="0"/>
          <w:color w:val="000000"/>
          <w:sz w:val="22"/>
          <w:szCs w:val="22"/>
          <w:highlight w:val="none"/>
        </w:rPr>
        <w:t xml:space="preserve"> - </w:t>
      </w:r>
      <w:r>
        <w:rPr>
          <w:rFonts w:ascii="Arial" w:hAnsi="Arial" w:cs="Arial" w:eastAsiaTheme="minorEastAsia"/>
          <w:snapToGrid w:val="0"/>
          <w:color w:val="000000"/>
          <w:sz w:val="22"/>
          <w:szCs w:val="22"/>
          <w:highlight w:val="none"/>
        </w:rPr>
        <w:t>2024年7月2日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w:t>
      </w:r>
      <w:r>
        <w:rPr>
          <w:rFonts w:ascii="Arial" w:hAnsi="Arial" w:cs="Arial" w:eastAsiaTheme="minorEastAsia"/>
          <w:snapToGrid w:val="0"/>
          <w:color w:val="000000"/>
          <w:sz w:val="22"/>
          <w:szCs w:val="22"/>
          <w:highlight w:val="none"/>
        </w:rPr>
        <w:t>（不含）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 xml:space="preserve">认购份额：在认购期内， </w:t>
      </w:r>
      <w:r>
        <w:rPr>
          <w:rFonts w:ascii="Arial" w:hAnsi="Arial" w:cs="Arial" w:eastAsiaTheme="minorEastAsia"/>
          <w:color w:val="000000"/>
          <w:sz w:val="22"/>
          <w:szCs w:val="22"/>
          <w:highlight w:val="none"/>
        </w:rPr>
        <w:t>A份额认购起点为1元，超过认购起点部分应为0.01元的整数倍；B份额认购起点为1元，超过认购起点部分应为0.01元的整数倍；C份额认购起点为1元，超过认购起点部分应为0.01元的整数倍</w:t>
      </w:r>
      <w:r>
        <w:rPr>
          <w:rFonts w:ascii="Arial" w:hAnsi="Arial" w:cs="Arial" w:eastAsiaTheme="minorEastAsia"/>
          <w:color w:val="000000"/>
          <w:sz w:val="22"/>
          <w:szCs w:val="22"/>
          <w:highlight w:val="none"/>
        </w:rPr>
        <w:t>。</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（1）因战争、自然灾害、系统故障等不可抗力导致本理财产品无法正常运作。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（4）投资者认购超过本产品说明书约定的发行规模上限、单笔认购上限、单一投资者持有上限等。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（5）理财产品管理人接受某笔或者某些认购申请有可能导致单一投资者持有理财产品份额的比例达到或者超过50%。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（6）当本理财产品规模过大，管理人无法找到合适的投资品种，或存在其他可能对本理财产品投资业绩产生负面影响的情形时。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（7）法律法规规定或国家金融监督管理总局等监管机构认定的其他情形。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w:t>
      </w:r>
      <w:r>
        <w:rPr>
          <w:rFonts w:ascii="Arial" w:hAnsi="Arial" w:cs="Arial" w:eastAsiaTheme="minorEastAsia"/>
          <w:color w:val="000000"/>
          <w:sz w:val="22"/>
          <w:szCs w:val="22"/>
          <w:highlight w:val="none"/>
        </w:rPr>
        <w:t>0.03</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color w:val="000000" w:themeColor="text1"/>
          <w:kern w:val="0"/>
          <w:sz w:val="22"/>
          <w:szCs w:val="22"/>
          <w:highlight w:val="none"/>
          <w14:textFill>
            <w14:solidFill>
              <w14:schemeClr w14:val="tx1"/>
            </w14:solidFill>
          </w14:textFill>
        </w:rPr>
        <w:t>【30.00】</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【30.00】</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CSignDay"/>
      <w:bookmarkEnd w:id="0"/>
      <w:bookmarkStart w:id="1" w:name="TCSignMonth"/>
      <w:bookmarkEnd w:id="1"/>
      <w:bookmarkStart w:id="2" w:name="TCSignYear"/>
      <w:bookmarkEnd w:id="2"/>
      <w:bookmarkStart w:id="3" w:name="TAttachment"/>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w:t>
      </w:r>
      <w:r>
        <w:rPr>
          <w:rFonts w:ascii="Arial" w:hAnsi="Arial" w:cs="Arial" w:eastAsiaTheme="minorEastAsia"/>
          <w:snapToGrid w:val="0"/>
          <w:color w:val="000000"/>
          <w:sz w:val="22"/>
          <w:szCs w:val="22"/>
          <w:highlight w:val="none"/>
        </w:rPr>
        <w:t>平安理财新启航第291期九个月封闭固收类理财产品</w:t>
      </w:r>
      <w:r>
        <w:rPr>
          <w:rFonts w:ascii="Arial" w:hAnsi="Arial" w:cs="Arial" w:eastAsiaTheme="minorEastAsia"/>
          <w:snapToGrid w:val="0"/>
          <w:color w:val="000000"/>
          <w:sz w:val="22"/>
          <w:szCs w:val="22"/>
          <w:highlight w:val="none"/>
        </w:rPr>
        <w:t>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理财产品销售文件违约</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7"/>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本理财产品说明书适用中国法律并依据中国法律解释。为本协议之目的，中国法律指中华人民共和国大陆地区的法律，不包括香港特别行政区、澳门特别行政区和台湾地区的法律。</w:t>
      </w:r>
    </w:p>
    <w:p>
      <w:pPr>
        <w:pStyle w:val="20"/>
        <w:numPr>
          <w:ilvl w:val="0"/>
          <w:numId w:val="27"/>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numPr>
          <w:ilvl w:val="0"/>
          <w:numId w:val="25"/>
        </w:numPr>
        <w:tabs>
          <w:tab w:val="left" w:pos="8647"/>
        </w:tabs>
        <w:adjustRightInd w:val="0"/>
        <w:snapToGrid w:val="0"/>
        <w:spacing w:line="360" w:lineRule="auto"/>
        <w:ind w:firstLineChars="0"/>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w:t>
      </w:r>
      <w:r>
        <w:rPr>
          <w:rFonts w:ascii="Arial" w:hAnsi="Arial" w:cs="Arial" w:eastAsiaTheme="minorEastAsia"/>
          <w:color w:val="000000"/>
          <w:sz w:val="22"/>
          <w:szCs w:val="22"/>
          <w:highlight w:val="none"/>
        </w:rPr>
        <w:t>平安理财新启航第291期九个月封闭固收类理财产品</w:t>
      </w:r>
      <w:r>
        <w:rPr>
          <w:rFonts w:ascii="Arial" w:hAnsi="Arial" w:cs="Arial" w:eastAsiaTheme="minorEastAsia"/>
          <w:color w:val="000000"/>
          <w:sz w:val="22"/>
          <w:szCs w:val="22"/>
          <w:highlight w:val="none"/>
        </w:rPr>
        <w:t>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w:t>
      </w:r>
      <w:r>
        <w:rPr>
          <w:rFonts w:ascii="Arial" w:hAnsi="Arial" w:cs="Arial" w:eastAsiaTheme="minorEastAsia"/>
          <w:b/>
          <w:bCs/>
          <w:color w:val="000000"/>
          <w:kern w:val="0"/>
          <w:sz w:val="22"/>
          <w:szCs w:val="22"/>
          <w:highlight w:val="none"/>
        </w:rPr>
        <w:t>平安理财新启航第291期九个月封闭固收类理财产品</w:t>
      </w:r>
      <w:r>
        <w:rPr>
          <w:rFonts w:ascii="Arial" w:hAnsi="Arial" w:cs="Arial" w:eastAsiaTheme="minorEastAsia"/>
          <w:b/>
          <w:bCs/>
          <w:color w:val="000000"/>
          <w:kern w:val="0"/>
          <w:sz w:val="22"/>
          <w:szCs w:val="22"/>
          <w:highlight w:val="none"/>
        </w:rPr>
        <w:t>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1F29326D"/>
    <w:multiLevelType w:val="multilevel"/>
    <w:tmpl w:val="1F29326D"/>
    <w:lvl w:ilvl="0" w:tentative="0">
      <w:start w:val="1"/>
      <w:numFmt w:val="decimal"/>
      <w:lvlText w:val="%1."/>
      <w:lvlJc w:val="left"/>
      <w:pPr>
        <w:ind w:left="987"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8">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9">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0">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3">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4">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5">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6">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7">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2">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3">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5">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6">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3"/>
  </w:num>
  <w:num w:numId="2">
    <w:abstractNumId w:val="11"/>
  </w:num>
  <w:num w:numId="3">
    <w:abstractNumId w:val="25"/>
  </w:num>
  <w:num w:numId="4">
    <w:abstractNumId w:val="15"/>
  </w:num>
  <w:num w:numId="5">
    <w:abstractNumId w:val="12"/>
  </w:num>
  <w:num w:numId="6">
    <w:abstractNumId w:val="5"/>
  </w:num>
  <w:num w:numId="7">
    <w:abstractNumId w:val="14"/>
  </w:num>
  <w:num w:numId="8">
    <w:abstractNumId w:val="6"/>
  </w:num>
  <w:num w:numId="9">
    <w:abstractNumId w:val="22"/>
  </w:num>
  <w:num w:numId="10">
    <w:abstractNumId w:val="23"/>
  </w:num>
  <w:num w:numId="11">
    <w:abstractNumId w:val="16"/>
  </w:num>
  <w:num w:numId="12">
    <w:abstractNumId w:val="24"/>
  </w:num>
  <w:num w:numId="13">
    <w:abstractNumId w:val="3"/>
  </w:num>
  <w:num w:numId="14">
    <w:abstractNumId w:val="9"/>
  </w:num>
  <w:num w:numId="15">
    <w:abstractNumId w:val="17"/>
  </w:num>
  <w:num w:numId="16">
    <w:abstractNumId w:val="10"/>
  </w:num>
  <w:num w:numId="17">
    <w:abstractNumId w:val="21"/>
  </w:num>
  <w:num w:numId="18">
    <w:abstractNumId w:val="0"/>
  </w:num>
  <w:num w:numId="19">
    <w:abstractNumId w:val="2"/>
  </w:num>
  <w:num w:numId="20">
    <w:abstractNumId w:val="19"/>
  </w:num>
  <w:num w:numId="21">
    <w:abstractNumId w:val="18"/>
  </w:num>
  <w:num w:numId="22">
    <w:abstractNumId w:val="8"/>
  </w:num>
  <w:num w:numId="23">
    <w:abstractNumId w:val="26"/>
  </w:num>
  <w:num w:numId="24">
    <w:abstractNumId w:val="20"/>
  </w:num>
  <w:num w:numId="25">
    <w:abstractNumId w:val="7"/>
  </w:num>
  <w:num w:numId="26">
    <w:abstractNumId w:val="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5198"/>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3C42"/>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4866512"/>
    <w:rsid w:val="04DE57A2"/>
    <w:rsid w:val="18723E5A"/>
    <w:rsid w:val="1B7433FC"/>
    <w:rsid w:val="20C57A31"/>
    <w:rsid w:val="274B2C02"/>
    <w:rsid w:val="2C00355C"/>
    <w:rsid w:val="3EC7711A"/>
    <w:rsid w:val="415F544E"/>
    <w:rsid w:val="44AA4AF3"/>
    <w:rsid w:val="44EB11ED"/>
    <w:rsid w:val="501A1A7A"/>
    <w:rsid w:val="5900068C"/>
    <w:rsid w:val="5D80032B"/>
    <w:rsid w:val="6005523E"/>
    <w:rsid w:val="61D2000C"/>
    <w:rsid w:val="66C407B9"/>
    <w:rsid w:val="68CA43DE"/>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978A3-1FED-4BCE-A358-C60031145156}">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25</Pages>
  <Words>19201</Words>
  <Characters>19948</Characters>
  <Lines>143</Lines>
  <Paragraphs>40</Paragraphs>
  <TotalTime>6</TotalTime>
  <ScaleCrop>false</ScaleCrop>
  <LinksUpToDate>false</LinksUpToDate>
  <CharactersWithSpaces>20036</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2024-06-18T09:45:00Z</dcterms:created>
  <dc:creator>PingAn</dc:creator>
  <cp:lastModifiedBy>EX-CHENJIANIAN001</cp:lastModifiedBy>
  <dcterms:modified xsi:type="dcterms:W3CDTF">2024-06-18T09:54:04Z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