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w:t>
      </w:r>
      <w:permStart w:id="0" w:edGrp="everyone"/>
      <w:r>
        <w:rPr>
          <w:rStyle w:val="27"/>
          <w:rFonts w:hint="eastAsia" w:ascii="黑体" w:hAnsi="黑体" w:eastAsia="黑体"/>
          <w:sz w:val="44"/>
          <w:szCs w:val="44"/>
        </w:rPr>
        <w:t>【稳添利最短持有期日开固收类】</w:t>
      </w:r>
      <w:permEnd w:id="0"/>
      <w:r>
        <w:rPr>
          <w:rStyle w:val="27"/>
          <w:rFonts w:hint="eastAsia" w:ascii="黑体" w:hAnsi="黑体" w:eastAsia="黑体"/>
          <w:sz w:val="44"/>
          <w:szCs w:val="44"/>
        </w:rPr>
        <w:t>理财产品</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permStart w:id="1" w:edGrp="everyone"/>
      <w:r>
        <w:rPr>
          <w:rStyle w:val="27"/>
          <w:rFonts w:hint="eastAsia" w:ascii="宋体" w:hAnsi="宋体" w:cs="Times New Roman"/>
          <w:sz w:val="32"/>
          <w:szCs w:val="32"/>
        </w:rPr>
        <w:t>【2</w:t>
      </w:r>
      <w:r>
        <w:rPr>
          <w:rStyle w:val="27"/>
          <w:rFonts w:ascii="宋体" w:hAnsi="宋体" w:cs="Times New Roman"/>
          <w:sz w:val="32"/>
          <w:szCs w:val="32"/>
        </w:rPr>
        <w:t>024</w:t>
      </w:r>
      <w:r>
        <w:rPr>
          <w:rStyle w:val="27"/>
          <w:rFonts w:hint="eastAsia" w:ascii="宋体" w:hAnsi="宋体" w:cs="Times New Roman"/>
          <w:sz w:val="32"/>
          <w:szCs w:val="32"/>
        </w:rPr>
        <w:t>】年【</w:t>
      </w:r>
      <w:r>
        <w:rPr>
          <w:rStyle w:val="27"/>
          <w:rFonts w:hint="eastAsia" w:ascii="宋体" w:hAnsi="宋体" w:cs="Times New Roman"/>
          <w:sz w:val="32"/>
          <w:szCs w:val="32"/>
          <w:lang w:val="en-US" w:eastAsia="zh-CN"/>
        </w:rPr>
        <w:t>11</w:t>
      </w:r>
      <w:r>
        <w:rPr>
          <w:rStyle w:val="27"/>
          <w:rFonts w:hint="eastAsia" w:ascii="宋体" w:hAnsi="宋体" w:cs="Times New Roman"/>
          <w:sz w:val="32"/>
          <w:szCs w:val="32"/>
        </w:rPr>
        <w:t>】月</w:t>
      </w:r>
      <w:permEnd w:id="1"/>
    </w:p>
    <w:p>
      <w:pPr>
        <w:rPr>
          <w:rStyle w:val="27"/>
          <w:rFonts w:ascii="宋体" w:hAnsi="宋体"/>
          <w:sz w:val="32"/>
          <w:szCs w:val="32"/>
        </w:rPr>
      </w:pPr>
      <w:r>
        <w:rPr>
          <w:rStyle w:val="27"/>
          <w:rFonts w:ascii="宋体" w:hAnsi="宋体"/>
          <w:sz w:val="32"/>
          <w:szCs w:val="32"/>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48"/>
            <w:spacing w:line="360" w:lineRule="auto"/>
            <w:jc w:val="center"/>
          </w:pPr>
          <w:bookmarkStart w:id="0" w:name="_Toc78276587"/>
          <w:r>
            <w:rPr>
              <w:lang w:val="zh-CN"/>
            </w:rPr>
            <w:t>目录</w:t>
          </w:r>
        </w:p>
        <w:p>
          <w:pPr>
            <w:pStyle w:val="16"/>
            <w:tabs>
              <w:tab w:val="right" w:leader="dot" w:pos="8306"/>
            </w:tabs>
          </w:pPr>
          <w:r>
            <w:fldChar w:fldCharType="begin"/>
          </w:r>
          <w:r>
            <w:instrText xml:space="preserve"> TOC \o "1-3" \h \z \u </w:instrText>
          </w:r>
          <w:r>
            <w:fldChar w:fldCharType="separate"/>
          </w:r>
          <w:r>
            <w:fldChar w:fldCharType="begin"/>
          </w:r>
          <w:r>
            <w:instrText xml:space="preserve"> HYPERLINK \l "_Toc26572"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_Toc26572 \h </w:instrText>
          </w:r>
          <w:r>
            <w:fldChar w:fldCharType="separate"/>
          </w:r>
          <w:r>
            <w:t>3</w:t>
          </w:r>
          <w:r>
            <w:fldChar w:fldCharType="end"/>
          </w:r>
          <w:r>
            <w:fldChar w:fldCharType="end"/>
          </w:r>
        </w:p>
        <w:p>
          <w:pPr>
            <w:pStyle w:val="16"/>
            <w:tabs>
              <w:tab w:val="right" w:leader="dot" w:pos="8306"/>
            </w:tabs>
          </w:pPr>
          <w:r>
            <w:fldChar w:fldCharType="begin"/>
          </w:r>
          <w:r>
            <w:instrText xml:space="preserve"> HYPERLINK \l "_Toc14559" </w:instrText>
          </w:r>
          <w:r>
            <w:fldChar w:fldCharType="separate"/>
          </w:r>
          <w:r>
            <w:rPr>
              <w:rFonts w:hint="eastAsia" w:hAnsi="宋体"/>
              <w:szCs w:val="28"/>
            </w:rPr>
            <w:t xml:space="preserve">第二条  理财产品基本情况 </w:t>
          </w:r>
          <w:r>
            <w:tab/>
          </w:r>
          <w:r>
            <w:fldChar w:fldCharType="begin"/>
          </w:r>
          <w:r>
            <w:instrText xml:space="preserve"> PAGEREF _Toc14559 \h </w:instrText>
          </w:r>
          <w:r>
            <w:fldChar w:fldCharType="separate"/>
          </w:r>
          <w:r>
            <w:t>8</w:t>
          </w:r>
          <w:r>
            <w:fldChar w:fldCharType="end"/>
          </w:r>
          <w:r>
            <w:fldChar w:fldCharType="end"/>
          </w:r>
        </w:p>
        <w:p>
          <w:pPr>
            <w:pStyle w:val="16"/>
            <w:tabs>
              <w:tab w:val="right" w:leader="dot" w:pos="8306"/>
            </w:tabs>
          </w:pPr>
          <w:r>
            <w:fldChar w:fldCharType="begin"/>
          </w:r>
          <w:r>
            <w:instrText xml:space="preserve"> HYPERLINK \l "_Toc4403"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_Toc4403 \h </w:instrText>
          </w:r>
          <w:r>
            <w:fldChar w:fldCharType="separate"/>
          </w:r>
          <w:r>
            <w:t>14</w:t>
          </w:r>
          <w:r>
            <w:fldChar w:fldCharType="end"/>
          </w:r>
          <w:r>
            <w:fldChar w:fldCharType="end"/>
          </w:r>
        </w:p>
        <w:p>
          <w:pPr>
            <w:pStyle w:val="16"/>
            <w:tabs>
              <w:tab w:val="right" w:leader="dot" w:pos="8306"/>
            </w:tabs>
          </w:pPr>
          <w:r>
            <w:fldChar w:fldCharType="begin"/>
          </w:r>
          <w:r>
            <w:instrText xml:space="preserve"> HYPERLINK \l "_Toc6529"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_Toc6529 \h </w:instrText>
          </w:r>
          <w:r>
            <w:fldChar w:fldCharType="separate"/>
          </w:r>
          <w:r>
            <w:t>16</w:t>
          </w:r>
          <w:r>
            <w:fldChar w:fldCharType="end"/>
          </w:r>
          <w:r>
            <w:fldChar w:fldCharType="end"/>
          </w:r>
        </w:p>
        <w:p>
          <w:pPr>
            <w:pStyle w:val="16"/>
            <w:tabs>
              <w:tab w:val="right" w:leader="dot" w:pos="8306"/>
            </w:tabs>
          </w:pPr>
          <w:r>
            <w:fldChar w:fldCharType="begin"/>
          </w:r>
          <w:r>
            <w:instrText xml:space="preserve"> HYPERLINK \l "_Toc12517"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_Toc12517 \h </w:instrText>
          </w:r>
          <w:r>
            <w:fldChar w:fldCharType="separate"/>
          </w:r>
          <w:r>
            <w:t>20</w:t>
          </w:r>
          <w:r>
            <w:fldChar w:fldCharType="end"/>
          </w:r>
          <w:r>
            <w:fldChar w:fldCharType="end"/>
          </w:r>
        </w:p>
        <w:p>
          <w:pPr>
            <w:pStyle w:val="16"/>
            <w:tabs>
              <w:tab w:val="right" w:leader="dot" w:pos="8306"/>
            </w:tabs>
          </w:pPr>
          <w:r>
            <w:fldChar w:fldCharType="begin"/>
          </w:r>
          <w:r>
            <w:instrText xml:space="preserve"> HYPERLINK \l "_Toc27967"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_Toc27967 \h </w:instrText>
          </w:r>
          <w:r>
            <w:fldChar w:fldCharType="separate"/>
          </w:r>
          <w:r>
            <w:t>23</w:t>
          </w:r>
          <w:r>
            <w:fldChar w:fldCharType="end"/>
          </w:r>
          <w:r>
            <w:fldChar w:fldCharType="end"/>
          </w:r>
        </w:p>
        <w:p>
          <w:pPr>
            <w:pStyle w:val="16"/>
            <w:tabs>
              <w:tab w:val="right" w:leader="dot" w:pos="8306"/>
            </w:tabs>
          </w:pPr>
          <w:r>
            <w:fldChar w:fldCharType="begin"/>
          </w:r>
          <w:r>
            <w:instrText xml:space="preserve"> HYPERLINK \l "_Toc13903"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_Toc13903 \h </w:instrText>
          </w:r>
          <w:r>
            <w:fldChar w:fldCharType="separate"/>
          </w:r>
          <w:r>
            <w:t>24</w:t>
          </w:r>
          <w:r>
            <w:fldChar w:fldCharType="end"/>
          </w:r>
          <w:r>
            <w:fldChar w:fldCharType="end"/>
          </w:r>
        </w:p>
        <w:p>
          <w:pPr>
            <w:pStyle w:val="16"/>
            <w:tabs>
              <w:tab w:val="right" w:leader="dot" w:pos="8306"/>
            </w:tabs>
          </w:pPr>
          <w:r>
            <w:fldChar w:fldCharType="begin"/>
          </w:r>
          <w:r>
            <w:instrText xml:space="preserve"> HYPERLINK \l "_Toc4020"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_Toc4020 \h </w:instrText>
          </w:r>
          <w:r>
            <w:fldChar w:fldCharType="separate"/>
          </w:r>
          <w:r>
            <w:t>28</w:t>
          </w:r>
          <w:r>
            <w:fldChar w:fldCharType="end"/>
          </w:r>
          <w:r>
            <w:fldChar w:fldCharType="end"/>
          </w:r>
        </w:p>
        <w:p>
          <w:pPr>
            <w:pStyle w:val="16"/>
            <w:tabs>
              <w:tab w:val="right" w:leader="dot" w:pos="8306"/>
            </w:tabs>
          </w:pPr>
          <w:r>
            <w:fldChar w:fldCharType="begin"/>
          </w:r>
          <w:r>
            <w:instrText xml:space="preserve"> HYPERLINK \l "_Toc6394"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_Toc6394 \h </w:instrText>
          </w:r>
          <w:r>
            <w:fldChar w:fldCharType="separate"/>
          </w:r>
          <w:r>
            <w:t>29</w:t>
          </w:r>
          <w:r>
            <w:fldChar w:fldCharType="end"/>
          </w:r>
          <w:r>
            <w:fldChar w:fldCharType="end"/>
          </w:r>
        </w:p>
        <w:p>
          <w:pPr>
            <w:pStyle w:val="16"/>
            <w:tabs>
              <w:tab w:val="right" w:leader="dot" w:pos="8306"/>
            </w:tabs>
          </w:pPr>
          <w:r>
            <w:fldChar w:fldCharType="begin"/>
          </w:r>
          <w:r>
            <w:instrText xml:space="preserve"> HYPERLINK \l "_Toc25397"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_Toc25397 \h </w:instrText>
          </w:r>
          <w:r>
            <w:fldChar w:fldCharType="separate"/>
          </w:r>
          <w:r>
            <w:t>32</w:t>
          </w:r>
          <w:r>
            <w:fldChar w:fldCharType="end"/>
          </w:r>
          <w:r>
            <w:fldChar w:fldCharType="end"/>
          </w:r>
        </w:p>
        <w:p>
          <w:pPr>
            <w:pStyle w:val="16"/>
            <w:tabs>
              <w:tab w:val="right" w:leader="dot" w:pos="8306"/>
            </w:tabs>
          </w:pPr>
          <w:r>
            <w:fldChar w:fldCharType="begin"/>
          </w:r>
          <w:r>
            <w:instrText xml:space="preserve"> HYPERLINK \l "_Toc7953"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_Toc7953 \h </w:instrText>
          </w:r>
          <w:r>
            <w:fldChar w:fldCharType="separate"/>
          </w:r>
          <w:r>
            <w:t>34</w:t>
          </w:r>
          <w:r>
            <w:fldChar w:fldCharType="end"/>
          </w:r>
          <w:r>
            <w:fldChar w:fldCharType="end"/>
          </w:r>
        </w:p>
        <w:p>
          <w:pPr>
            <w:pStyle w:val="16"/>
            <w:tabs>
              <w:tab w:val="right" w:leader="dot" w:pos="8306"/>
            </w:tabs>
          </w:pPr>
          <w:r>
            <w:fldChar w:fldCharType="begin"/>
          </w:r>
          <w:r>
            <w:instrText xml:space="preserve"> HYPERLINK \l "_Toc30149"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_Toc30149 \h </w:instrText>
          </w:r>
          <w:r>
            <w:fldChar w:fldCharType="separate"/>
          </w:r>
          <w:r>
            <w:t>36</w:t>
          </w:r>
          <w:r>
            <w:fldChar w:fldCharType="end"/>
          </w:r>
          <w:r>
            <w:fldChar w:fldCharType="end"/>
          </w:r>
        </w:p>
        <w:p>
          <w:pPr>
            <w:spacing w:line="360" w:lineRule="auto"/>
          </w:pPr>
          <w:r>
            <w:fldChar w:fldCharType="end"/>
          </w:r>
        </w:p>
      </w:sdtContent>
    </w:sdt>
    <w:p>
      <w:pPr>
        <w:rPr>
          <w:rFonts w:ascii="Times New Roman"/>
          <w:sz w:val="30"/>
        </w:rPr>
      </w:pPr>
      <w:r>
        <w:rPr>
          <w:rFonts w:ascii="Times New Roman"/>
          <w:sz w:val="30"/>
        </w:rPr>
        <w:br w:type="page"/>
      </w:r>
    </w:p>
    <w:p>
      <w:pPr>
        <w:pStyle w:val="2"/>
        <w:spacing w:before="0" w:after="0" w:line="360" w:lineRule="auto"/>
        <w:jc w:val="center"/>
        <w:rPr>
          <w:rFonts w:ascii="Times New Roman"/>
          <w:sz w:val="30"/>
        </w:rPr>
      </w:pPr>
      <w:bookmarkStart w:id="1" w:name="_Toc92377130"/>
      <w:bookmarkStart w:id="2" w:name="_Toc26572"/>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bookmarkEnd w:id="2"/>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w:t>
      </w:r>
      <w:permStart w:id="2" w:edGrp="everyone"/>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permEnd w:id="2"/>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w:t>
      </w:r>
      <w:permStart w:id="3" w:edGrp="everyone"/>
      <w:r>
        <w:rPr>
          <w:rFonts w:hint="eastAsia" w:asciiTheme="majorEastAsia" w:hAnsiTheme="majorEastAsia" w:eastAsiaTheme="majorEastAsia"/>
          <w:bCs/>
          <w:sz w:val="18"/>
          <w:szCs w:val="18"/>
        </w:rPr>
        <w:t>【稳添利最短持有期日开固收类】</w:t>
      </w:r>
      <w:permEnd w:id="3"/>
      <w:r>
        <w:rPr>
          <w:rFonts w:hint="eastAsia" w:asciiTheme="majorEastAsia" w:hAnsiTheme="majorEastAsia" w:eastAsiaTheme="majorEastAsia"/>
          <w:bCs/>
          <w:sz w:val="18"/>
          <w:szCs w:val="18"/>
        </w:rPr>
        <w:t>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w:t>
      </w:r>
      <w:permStart w:id="4" w:edGrp="everyone"/>
      <w:r>
        <w:rPr>
          <w:rFonts w:hint="eastAsia" w:asciiTheme="majorEastAsia" w:hAnsiTheme="majorEastAsia" w:eastAsiaTheme="majorEastAsia"/>
          <w:bCs/>
          <w:sz w:val="18"/>
          <w:szCs w:val="18"/>
        </w:rPr>
        <w:t>【稳添利最短持有期日开固收类】</w:t>
      </w:r>
      <w:permEnd w:id="4"/>
      <w:r>
        <w:rPr>
          <w:rFonts w:hint="eastAsia" w:asciiTheme="majorEastAsia" w:hAnsiTheme="majorEastAsia" w:eastAsiaTheme="majorEastAsia"/>
          <w:bCs/>
          <w:sz w:val="18"/>
          <w:szCs w:val="18"/>
        </w:rPr>
        <w:t>理财产品投资协议书》，以及对该文件的有效修改或补充。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w:t>
      </w:r>
      <w:permStart w:id="5" w:edGrp="everyone"/>
      <w:r>
        <w:rPr>
          <w:rFonts w:hint="eastAsia" w:asciiTheme="majorEastAsia" w:hAnsiTheme="majorEastAsia" w:eastAsiaTheme="majorEastAsia"/>
          <w:bCs/>
          <w:sz w:val="18"/>
          <w:szCs w:val="18"/>
        </w:rPr>
        <w:t>【稳添利最短持有期日开固收类】</w:t>
      </w:r>
      <w:permEnd w:id="5"/>
      <w:r>
        <w:rPr>
          <w:rFonts w:hint="eastAsia" w:asciiTheme="majorEastAsia" w:hAnsiTheme="majorEastAsia" w:eastAsiaTheme="majorEastAsia"/>
          <w:bCs/>
          <w:sz w:val="18"/>
          <w:szCs w:val="18"/>
        </w:rPr>
        <w:t>理财产品产品说明书》，以及对该文件的有效修改或补充。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w:t>
      </w:r>
      <w:permStart w:id="6" w:edGrp="everyone"/>
      <w:r>
        <w:rPr>
          <w:rFonts w:hint="eastAsia" w:asciiTheme="majorEastAsia" w:hAnsiTheme="majorEastAsia" w:eastAsiaTheme="majorEastAsia"/>
          <w:bCs/>
          <w:sz w:val="18"/>
          <w:szCs w:val="18"/>
        </w:rPr>
        <w:t>【稳添利最短持有期日开固收类】</w:t>
      </w:r>
      <w:permEnd w:id="6"/>
      <w:r>
        <w:rPr>
          <w:rFonts w:hint="eastAsia" w:asciiTheme="majorEastAsia" w:hAnsiTheme="majorEastAsia" w:eastAsiaTheme="majorEastAsia"/>
          <w:bCs/>
          <w:sz w:val="18"/>
          <w:szCs w:val="18"/>
        </w:rPr>
        <w:t>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7" w:edGrp="everyone"/>
      <w:r>
        <w:rPr>
          <w:rFonts w:hint="eastAsia" w:asciiTheme="majorEastAsia" w:hAnsiTheme="majorEastAsia" w:eastAsiaTheme="majorEastAsia"/>
          <w:bCs/>
          <w:sz w:val="18"/>
          <w:szCs w:val="18"/>
        </w:rPr>
        <w:t>【稳添利最短持有期日开固收类】</w:t>
      </w:r>
      <w:permEnd w:id="7"/>
      <w:r>
        <w:rPr>
          <w:rFonts w:hint="eastAsia" w:asciiTheme="majorEastAsia" w:hAnsiTheme="majorEastAsia" w:eastAsiaTheme="majorEastAsia"/>
          <w:bCs/>
          <w:sz w:val="18"/>
          <w:szCs w:val="18"/>
        </w:rPr>
        <w:t>理财产品（代理）销售协议书》（文件名称以代理销售机构实际编制为准），以及对该文件的有效修改或补充。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w:t>
      </w:r>
      <w:permStart w:id="8" w:edGrp="everyone"/>
      <w:r>
        <w:rPr>
          <w:rFonts w:hint="eastAsia" w:asciiTheme="majorEastAsia" w:hAnsiTheme="majorEastAsia" w:eastAsiaTheme="majorEastAsia"/>
          <w:bCs/>
          <w:sz w:val="18"/>
          <w:szCs w:val="18"/>
        </w:rPr>
        <w:t>【稳添利最短持有期日开固收类】</w:t>
      </w:r>
      <w:permEnd w:id="8"/>
      <w:r>
        <w:rPr>
          <w:rFonts w:hint="eastAsia" w:asciiTheme="majorEastAsia" w:hAnsiTheme="majorEastAsia" w:eastAsiaTheme="majorEastAsia"/>
          <w:bCs/>
          <w:sz w:val="18"/>
          <w:szCs w:val="18"/>
        </w:rPr>
        <w:t>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9" w:edGrp="everyone"/>
      <w:r>
        <w:rPr>
          <w:rFonts w:hint="eastAsia" w:asciiTheme="majorEastAsia" w:hAnsiTheme="majorEastAsia" w:eastAsiaTheme="majorEastAsia"/>
          <w:bCs/>
          <w:sz w:val="18"/>
          <w:szCs w:val="18"/>
        </w:rPr>
        <w:t>【稳添利最短持有期日开固收类】</w:t>
      </w:r>
      <w:permEnd w:id="9"/>
      <w:r>
        <w:rPr>
          <w:rFonts w:hint="eastAsia" w:asciiTheme="majorEastAsia" w:hAnsiTheme="majorEastAsia" w:eastAsiaTheme="majorEastAsia"/>
          <w:bCs/>
          <w:sz w:val="18"/>
          <w:szCs w:val="18"/>
        </w:rPr>
        <w:t>理财产品风险揭示书》（文件名称以代理销售机构实际编制为准），以及对该文件的有效修改或补充。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w:t>
      </w:r>
      <w:permStart w:id="10" w:edGrp="everyone"/>
      <w:r>
        <w:rPr>
          <w:rFonts w:hint="eastAsia" w:asciiTheme="majorEastAsia" w:hAnsiTheme="majorEastAsia" w:eastAsiaTheme="majorEastAsia"/>
          <w:bCs/>
          <w:sz w:val="18"/>
          <w:szCs w:val="18"/>
        </w:rPr>
        <w:t>【稳添利最短持有期日开固收类】</w:t>
      </w:r>
      <w:permEnd w:id="10"/>
      <w:r>
        <w:rPr>
          <w:rFonts w:hint="eastAsia" w:asciiTheme="majorEastAsia" w:hAnsiTheme="majorEastAsia" w:eastAsiaTheme="majorEastAsia"/>
          <w:bCs/>
          <w:sz w:val="18"/>
          <w:szCs w:val="18"/>
        </w:rPr>
        <w:t>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w:t>
      </w:r>
      <w:permStart w:id="11" w:edGrp="everyone"/>
      <w:r>
        <w:rPr>
          <w:rFonts w:hint="eastAsia" w:asciiTheme="majorEastAsia" w:hAnsiTheme="majorEastAsia" w:eastAsiaTheme="majorEastAsia"/>
          <w:bCs/>
          <w:sz w:val="18"/>
          <w:szCs w:val="18"/>
        </w:rPr>
        <w:t>【稳添利最短持有期日开固收类】</w:t>
      </w:r>
      <w:permEnd w:id="11"/>
      <w:r>
        <w:rPr>
          <w:rFonts w:hint="eastAsia" w:asciiTheme="majorEastAsia" w:hAnsiTheme="majorEastAsia" w:eastAsiaTheme="majorEastAsia"/>
          <w:bCs/>
          <w:sz w:val="18"/>
          <w:szCs w:val="18"/>
        </w:rPr>
        <w:t>理财产品投资者权益须知》（文件名称以代理销售机构实际编制为准），以及对该文件的有效修改或补充。</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的唯一性内部识别码。若本款理财产品不设置差异化产品份额类别，理财产品代码即为理财产品销售代码。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）适合投资者：指适合购买理财产品的投资者类型。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理财产品负债总值是指理财产品运作及融资时形成的负债价值总和，包括融资资金本息、应付各项费用（包括托管费、认购费、固定管理费、计入负债的业绩报酬、其他费用等）、应付税金及其他应付款项等。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（20）巨额赎回：每个赎回日，本产品的净赎回申请（赎回申请份额总数扣除申购申请份额总数后的余额,下同）之和达到上一赎回日产品总份额的约定百分比，为巨额赎回。</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22）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w:t>
      </w:r>
      <w:bookmarkStart w:id="170" w:name="_GoBack"/>
      <w:bookmarkEnd w:id="170"/>
      <w:r>
        <w:rPr>
          <w:rFonts w:hint="eastAsia" w:asciiTheme="majorEastAsia" w:hAnsiTheme="majorEastAsia" w:eastAsiaTheme="majorEastAsia"/>
          <w:bCs/>
          <w:color w:val="auto"/>
          <w:sz w:val="18"/>
          <w:szCs w:val="18"/>
        </w:rPr>
        <w:t>证券交易所市场的共同正常开盘交易日。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）成立日：指理财产品开始运作的日期。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）终止日：指理财产品终止的日期。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34"/>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）★最短持有期:指自产品成立日/申购确认日起，投资者持有的产品份额被锁定持有的最短期间。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（12）产品存续期：指自理财产品成立日起，至理财产品终止日的期间。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（13）申购申请日：指投资者做出申购申请的当日。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（14）赎回申请日：指投资者做出赎回申请的当日。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5）申购日：指产品管理人接受投资者申购申请的当日。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6）赎回日：指产品管理人接受投资者赎回申请的当日。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7）申购确认日：指产品管理人确认投资者申购</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8）赎回确认日：指产品管理人确认投资者赎回</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）清算期：指自本理财产品终止日至投资者理财利益到账日之间的期间。</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34"/>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34"/>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）国家金融监督管理总局：为免歧义，原中国银行业监督管理委员会、原中国银行保险监督管理委员会与国家金融监督管理总局均统称为“国家金融监督管理总局”。</w:t>
      </w:r>
    </w:p>
    <w:p>
      <w:pPr>
        <w:spacing w:line="360" w:lineRule="auto"/>
        <w:ind w:firstLine="360" w:firstLineChars="200"/>
        <w:rPr>
          <w:rFonts w:ascii="宋体" w:hAnsi="宋体"/>
          <w:color w:val="000000"/>
          <w:kern w:val="0"/>
          <w:sz w:val="28"/>
          <w:szCs w:val="28"/>
        </w:rPr>
      </w:pPr>
      <w:r>
        <w:rPr>
          <w:rFonts w:hint="eastAsia" w:asciiTheme="majorEastAsia" w:hAnsiTheme="majorEastAsia" w:eastAsiaTheme="majorEastAsia"/>
          <w:bCs/>
          <w:sz w:val="18"/>
          <w:szCs w:val="18"/>
        </w:rPr>
        <w:t>（3）适用法律：指在理财销售文件签署日和履行过程中，适用中华人民共和国法律（为本销售文件之目的，在此不包括香港、澳门特别行政区和台湾地区的法律），包括中国任何立法机构、政府部门、银行业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pPr>
        <w:pStyle w:val="2"/>
        <w:spacing w:before="0" w:after="0" w:line="360" w:lineRule="auto"/>
        <w:jc w:val="center"/>
        <w:rPr>
          <w:rFonts w:hAnsi="宋体"/>
          <w:sz w:val="28"/>
          <w:szCs w:val="28"/>
        </w:rPr>
      </w:pPr>
      <w:bookmarkStart w:id="3" w:name="_Toc92377131"/>
      <w:bookmarkStart w:id="4" w:name="_Toc79154665"/>
      <w:bookmarkStart w:id="5" w:name="_Toc14559"/>
      <w:r>
        <w:rPr>
          <w:rFonts w:hint="eastAsia" w:hAnsi="宋体"/>
          <w:sz w:val="28"/>
          <w:szCs w:val="28"/>
        </w:rPr>
        <w:t>第二条  理财产品基本情况</w:t>
      </w:r>
      <w:bookmarkEnd w:id="3"/>
      <w:bookmarkEnd w:id="4"/>
      <w:r>
        <w:rPr>
          <w:rFonts w:hint="eastAsia" w:hAnsi="宋体"/>
          <w:sz w:val="28"/>
          <w:szCs w:val="28"/>
        </w:rPr>
        <w:t xml:space="preserve"> </w:t>
      </w:r>
      <w:bookmarkEnd w:id="5"/>
    </w:p>
    <w:tbl>
      <w:tblPr>
        <w:tblStyle w:val="24"/>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sz w:val="18"/>
                <w:szCs w:val="18"/>
              </w:rPr>
            </w:pPr>
            <w:permStart w:id="12" w:edGrp="everyone"/>
            <w:r>
              <w:rPr>
                <w:rFonts w:hint="eastAsia" w:hAnsi="宋体"/>
                <w:sz w:val="18"/>
                <w:szCs w:val="18"/>
              </w:rPr>
              <w:t>★</w:t>
            </w:r>
            <w:r>
              <w:rPr>
                <w:rFonts w:hint="eastAsia" w:ascii="宋体" w:hAnsi="宋体"/>
                <w:b/>
                <w:bCs/>
                <w:sz w:val="18"/>
                <w:szCs w:val="18"/>
              </w:rPr>
              <w:t>理财产品名称</w:t>
            </w:r>
          </w:p>
        </w:tc>
        <w:tc>
          <w:tcPr>
            <w:tcW w:w="7704" w:type="dxa"/>
            <w:shd w:val="solid" w:color="FFFFFF" w:fill="FFFFFF"/>
          </w:tcPr>
          <w:p>
            <w:pPr>
              <w:spacing w:line="360" w:lineRule="auto"/>
              <w:jc w:val="left"/>
              <w:rPr>
                <w:rFonts w:ascii="宋体" w:hAnsi="宋体"/>
                <w:bCs/>
                <w:sz w:val="18"/>
                <w:szCs w:val="18"/>
              </w:rPr>
            </w:pPr>
            <w:r>
              <w:rPr>
                <w:rFonts w:hint="eastAsia" w:ascii="宋体" w:hAnsi="宋体"/>
                <w:sz w:val="18"/>
                <w:szCs w:val="18"/>
              </w:rPr>
              <w:t>【兴银理财稳添利陆盈ESG201号(6个月最短持有期)日开固收类理财产品】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83"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tcPr>
          <w:p>
            <w:pPr>
              <w:widowControl/>
              <w:spacing w:line="360" w:lineRule="auto"/>
              <w:jc w:val="left"/>
              <w:rPr>
                <w:rFonts w:ascii="宋体" w:hAnsi="宋体"/>
                <w:kern w:val="0"/>
                <w:sz w:val="22"/>
              </w:rPr>
            </w:pPr>
            <w:r>
              <w:rPr>
                <w:rFonts w:hint="eastAsia" w:asciiTheme="majorEastAsia" w:hAnsiTheme="majorEastAsia" w:eastAsiaTheme="majorEastAsia"/>
                <w:bCs/>
                <w:kern w:val="0"/>
                <w:sz w:val="18"/>
                <w:szCs w:val="18"/>
              </w:rPr>
              <w:t>【</w:t>
            </w:r>
            <w:r>
              <w:rPr>
                <w:rFonts w:hint="eastAsia" w:ascii="宋体" w:hAnsi="宋体"/>
                <w:sz w:val="18"/>
                <w:szCs w:val="18"/>
              </w:rPr>
              <w:t>稳添利ESG陆盈201号</w:t>
            </w:r>
            <w:r>
              <w:rPr>
                <w:rFonts w:hint="eastAsia" w:ascii="宋体" w:hAnsi="宋体"/>
                <w:sz w:val="18"/>
                <w:szCs w:val="18"/>
                <w:lang w:val="en-US" w:eastAsia="zh-CN"/>
              </w:rPr>
              <w:t>F</w:t>
            </w:r>
            <w:r>
              <w:rPr>
                <w:rFonts w:hint="eastAsia" w:asciiTheme="majorEastAsia" w:hAnsiTheme="majorEastAsia" w:eastAsiaTheme="majorEastAsia"/>
                <w:bCs/>
                <w:kern w:val="0"/>
                <w:sz w:val="18"/>
                <w:szCs w:val="18"/>
              </w:rPr>
              <w:t>】</w:t>
            </w:r>
            <w:r>
              <w:rPr>
                <w:rFonts w:hint="eastAsia" w:hAnsi="宋体"/>
                <w:sz w:val="18"/>
                <w:szCs w:val="18"/>
              </w:rPr>
              <w:t>（适用【</w:t>
            </w:r>
            <w:r>
              <w:rPr>
                <w:rFonts w:hint="eastAsia" w:hAnsi="宋体"/>
                <w:sz w:val="18"/>
                <w:szCs w:val="18"/>
                <w:lang w:val="en-US" w:eastAsia="zh-CN"/>
              </w:rPr>
              <w:t>F</w:t>
            </w:r>
            <w:r>
              <w:rPr>
                <w:rFonts w:hint="eastAsia" w:hAnsi="宋体"/>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tcPr>
          <w:p>
            <w:pPr>
              <w:spacing w:line="360" w:lineRule="auto"/>
              <w:jc w:val="left"/>
              <w:rPr>
                <w:rFonts w:ascii="宋体" w:hAnsi="宋体"/>
                <w:b/>
                <w:sz w:val="18"/>
                <w:szCs w:val="18"/>
              </w:rPr>
            </w:pPr>
            <w:r>
              <w:rPr>
                <w:rFonts w:hint="eastAsia" w:asciiTheme="minorEastAsia" w:hAnsiTheme="minorEastAsia"/>
                <w:sz w:val="18"/>
                <w:szCs w:val="18"/>
              </w:rPr>
              <w:t>【Z7002024002105】</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pPr>
              <w:spacing w:line="360" w:lineRule="auto"/>
              <w:jc w:val="left"/>
              <w:rPr>
                <w:rFonts w:ascii="宋体" w:hAnsi="宋体"/>
                <w:bCs/>
                <w:sz w:val="18"/>
                <w:szCs w:val="18"/>
              </w:rPr>
            </w:pPr>
            <w:r>
              <w:rPr>
                <w:rFonts w:ascii="宋体" w:hAnsi="宋体"/>
                <w:bCs/>
                <w:sz w:val="18"/>
                <w:szCs w:val="18"/>
              </w:rPr>
              <w:t>【</w:t>
            </w:r>
            <w:r>
              <w:rPr>
                <w:rFonts w:hint="eastAsia" w:ascii="宋体" w:hAnsi="宋体"/>
                <w:bCs/>
                <w:sz w:val="18"/>
                <w:szCs w:val="18"/>
              </w:rPr>
              <w:t>9E602010】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tcPr>
          <w:p>
            <w:pPr>
              <w:spacing w:line="360" w:lineRule="auto"/>
              <w:jc w:val="left"/>
              <w:rPr>
                <w:rFonts w:hAnsi="宋体"/>
                <w:sz w:val="18"/>
                <w:szCs w:val="18"/>
              </w:rPr>
            </w:pPr>
            <w:r>
              <w:rPr>
                <w:rFonts w:hint="eastAsia" w:hAnsi="宋体"/>
                <w:sz w:val="18"/>
                <w:szCs w:val="18"/>
              </w:rPr>
              <w:t>【</w:t>
            </w:r>
            <w:r>
              <w:rPr>
                <w:rFonts w:hint="eastAsia" w:ascii="宋体" w:hAnsi="宋体"/>
                <w:bCs/>
                <w:sz w:val="18"/>
                <w:szCs w:val="18"/>
              </w:rPr>
              <w:t>9E60201</w:t>
            </w:r>
            <w:r>
              <w:rPr>
                <w:rFonts w:hint="eastAsia" w:ascii="宋体" w:hAnsi="宋体"/>
                <w:bCs/>
                <w:sz w:val="18"/>
                <w:szCs w:val="18"/>
                <w:lang w:val="en-US" w:eastAsia="zh-CN"/>
              </w:rPr>
              <w:t>F</w:t>
            </w:r>
            <w:r>
              <w:rPr>
                <w:rFonts w:hint="eastAsia" w:hAnsi="宋体"/>
                <w:sz w:val="18"/>
                <w:szCs w:val="18"/>
              </w:rPr>
              <w:t>】（适用【</w:t>
            </w:r>
            <w:r>
              <w:rPr>
                <w:rFonts w:hint="eastAsia" w:hAnsi="宋体"/>
                <w:sz w:val="18"/>
                <w:szCs w:val="18"/>
                <w:lang w:val="en-US" w:eastAsia="zh-CN"/>
              </w:rPr>
              <w:t>F</w:t>
            </w:r>
            <w:r>
              <w:rPr>
                <w:rFonts w:hint="eastAsia" w:hAnsi="宋体"/>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.本产品设置不同的理财产品份额，每类理财产品份额以下内容可能单独设置：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pPr>
              <w:adjustRightInd w:val="0"/>
              <w:snapToGrid w:val="0"/>
              <w:spacing w:line="276" w:lineRule="auto"/>
              <w:rPr>
                <w:rFonts w:ascii="宋体" w:hAnsi="宋体"/>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、开放式、固定收益类、非保本浮动</w:t>
            </w:r>
            <w:r>
              <w:rPr>
                <w:rFonts w:ascii="宋体" w:hAnsi="宋体"/>
                <w:bCs/>
                <w:sz w:val="18"/>
                <w:szCs w:val="18"/>
              </w:rPr>
              <w:t>收益</w:t>
            </w:r>
            <w:r>
              <w:rPr>
                <w:rFonts w:hint="eastAsia" w:ascii="宋体" w:hAnsi="宋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704" w:type="dxa"/>
            <w:shd w:val="solid" w:color="FFFFFF" w:fill="FFFFFF"/>
            <w:vAlign w:val="center"/>
          </w:tcPr>
          <w:p>
            <w:pPr>
              <w:adjustRightInd w:val="0"/>
              <w:snapToGrid w:val="0"/>
              <w:spacing w:line="276" w:lineRule="auto"/>
              <w:rPr>
                <w:rFonts w:asciiTheme="majorEastAsia" w:hAnsiTheme="majorEastAsia" w:eastAsiaTheme="majorEastAsia"/>
                <w:b/>
                <w:color w:val="000000" w:themeColor="text1"/>
                <w:sz w:val="18"/>
                <w:szCs w:val="18"/>
                <w14:textFill>
                  <w14:solidFill>
                    <w14:schemeClr w14:val="tx1"/>
                  </w14:solidFill>
                </w14:textFill>
              </w:rPr>
            </w:pPr>
            <w:r>
              <w:rPr>
                <w:rFonts w:hint="eastAsia" w:asciiTheme="majorEastAsia" w:hAnsiTheme="majorEastAsia" w:eastAsiaTheme="majorEastAsia"/>
                <w:b/>
                <w:color w:val="000000" w:themeColor="text1"/>
                <w:sz w:val="18"/>
                <w:szCs w:val="18"/>
                <w14:textFill>
                  <w14:solidFill>
                    <w14:schemeClr w14:val="tx1"/>
                  </w14:solidFill>
                </w14:textFill>
              </w:rPr>
              <w:t>固定收益类</w:t>
            </w:r>
          </w:p>
          <w:p>
            <w:pPr>
              <w:adjustRightInd w:val="0"/>
              <w:snapToGrid w:val="0"/>
              <w:spacing w:line="360" w:lineRule="auto"/>
              <w:rPr>
                <w:rFonts w:ascii="宋体" w:hAnsi="宋体"/>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pPr>
              <w:adjustRightInd w:val="0"/>
              <w:snapToGrid w:val="0"/>
              <w:spacing w:line="360" w:lineRule="auto"/>
              <w:rPr>
                <w:rFonts w:asciiTheme="majorEastAsia" w:hAnsiTheme="majorEastAsia" w:eastAsiaTheme="majorEastAsia"/>
                <w:b/>
                <w:color w:val="000000" w:themeColor="text1"/>
                <w:sz w:val="18"/>
                <w:szCs w:val="18"/>
                <w14:textFill>
                  <w14:solidFill>
                    <w14:schemeClr w14:val="tx1"/>
                  </w14:solidFill>
                </w14:textFill>
              </w:rPr>
            </w:pPr>
            <w:r>
              <w:rPr>
                <w:rFonts w:hint="eastAsia" w:ascii="宋体" w:hAnsi="宋体"/>
                <w:b/>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本产品</w:t>
            </w:r>
            <w:r>
              <w:rPr>
                <w:rFonts w:asciiTheme="majorEastAsia" w:hAnsiTheme="majorEastAsia" w:eastAsiaTheme="majorEastAsia"/>
                <w:bCs/>
                <w:color w:val="000000" w:themeColor="text1"/>
                <w:sz w:val="18"/>
                <w:szCs w:val="18"/>
                <w14:textFill>
                  <w14:solidFill>
                    <w14:schemeClr w14:val="tx1"/>
                  </w14:solidFill>
                </w14:textFill>
              </w:rPr>
              <w:t>适合以下类型投资者：</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 xml:space="preserve">客户 </w:t>
            </w:r>
            <w:r>
              <w:rPr>
                <w:rFonts w:asciiTheme="majorEastAsia" w:hAnsiTheme="majorEastAsia" w:eastAsiaTheme="majorEastAsia"/>
                <w:bCs/>
                <w:color w:val="000000" w:themeColor="text1"/>
                <w:sz w:val="18"/>
                <w:szCs w:val="18"/>
                <w14:textFill>
                  <w14:solidFill>
                    <w14:schemeClr w14:val="tx1"/>
                  </w14:solidFill>
                </w14:textFill>
              </w:rPr>
              <w:t xml:space="preserve">  </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hAnsi="宋体"/>
                <w:sz w:val="18"/>
                <w:szCs w:val="18"/>
              </w:rPr>
              <w:t>★</w:t>
            </w:r>
            <w:r>
              <w:rPr>
                <w:rFonts w:hint="eastAsia" w:ascii="黑体" w:hAnsi="黑体" w:eastAsia="黑体"/>
                <w:bCs/>
                <w:sz w:val="18"/>
                <w:szCs w:val="18"/>
              </w:rPr>
              <w:t>特别提示：当销售机构销售产品风险评级为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hint="eastAsia" w:asciiTheme="majorEastAsia" w:hAnsiTheme="majorEastAsia" w:eastAsiaTheme="majorEastAsia"/>
                <w:bCs/>
                <w:sz w:val="18"/>
                <w:szCs w:val="18"/>
                <w:lang w:val="en-US" w:eastAsia="zh-CN"/>
              </w:rPr>
              <w:t>1</w:t>
            </w:r>
            <w:r>
              <w:rPr>
                <w:rFonts w:hint="eastAsia" w:asciiTheme="majorEastAsia" w:hAnsiTheme="majorEastAsia" w:eastAsiaTheme="majorEastAsia"/>
                <w:bCs/>
                <w:sz w:val="18"/>
                <w:szCs w:val="18"/>
              </w:rPr>
              <w:t>】亿元。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pPr>
              <w:spacing w:line="360" w:lineRule="auto"/>
              <w:rPr>
                <w:rFonts w:cs="仿宋_GB2312"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hint="eastAsia" w:cs="仿宋_GB2312" w:asciiTheme="majorEastAsia" w:hAnsiTheme="majorEastAsia" w:eastAsiaTheme="majorEastAsia"/>
                <w:kern w:val="0"/>
                <w:sz w:val="18"/>
                <w:szCs w:val="18"/>
              </w:rPr>
              <w:t>无固定期限</w:t>
            </w:r>
          </w:p>
          <w:p>
            <w:pPr>
              <w:spacing w:line="360" w:lineRule="auto"/>
              <w:rPr>
                <w:rFonts w:cs="仿宋_GB2312" w:asciiTheme="majorEastAsia" w:hAnsiTheme="majorEastAsia" w:eastAsiaTheme="majorEastAsia"/>
                <w:kern w:val="0"/>
                <w:sz w:val="18"/>
                <w:szCs w:val="18"/>
              </w:rPr>
            </w:pPr>
            <w:r>
              <w:rPr>
                <w:rFonts w:hint="eastAsia" w:ascii="黑体" w:hAnsi="黑体" w:eastAsia="黑体"/>
                <w:bCs/>
                <w:sz w:val="18"/>
                <w:szCs w:val="18"/>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lang w:val="en-US" w:eastAsia="zh-CN"/>
              </w:rPr>
              <w:t>11</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14</w:t>
            </w:r>
            <w:r>
              <w:rPr>
                <w:rFonts w:hint="eastAsia" w:cs="Times New Roman" w:asciiTheme="minorEastAsia" w:hAnsiTheme="minorEastAsia"/>
                <w:sz w:val="18"/>
                <w:szCs w:val="18"/>
              </w:rPr>
              <w:t>】日【9:0</w:t>
            </w:r>
            <w:r>
              <w:rPr>
                <w:rFonts w:cs="Times New Roman" w:asciiTheme="minorEastAsia" w:hAnsiTheme="minorEastAsia"/>
                <w:sz w:val="18"/>
                <w:szCs w:val="18"/>
              </w:rPr>
              <w:t>0</w:t>
            </w:r>
            <w:r>
              <w:rPr>
                <w:rFonts w:hint="eastAsia" w:cs="Times New Roman" w:asciiTheme="minorEastAsia" w:hAnsiTheme="minorEastAsia"/>
                <w:sz w:val="18"/>
                <w:szCs w:val="18"/>
              </w:rPr>
              <w:t>】</w:t>
            </w:r>
            <w:r>
              <w:rPr>
                <w:rFonts w:hint="eastAsia" w:cs="仿宋_GB2312" w:asciiTheme="minorEastAsia" w:hAnsiTheme="minorEastAsia"/>
                <w:sz w:val="18"/>
                <w:szCs w:val="18"/>
              </w:rPr>
              <w:t>至</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lang w:val="en-US" w:eastAsia="zh-CN"/>
              </w:rPr>
              <w:t>11</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20</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【1</w:t>
            </w:r>
            <w:r>
              <w:rPr>
                <w:rFonts w:asciiTheme="majorEastAsia" w:hAnsiTheme="majorEastAsia" w:eastAsiaTheme="majorEastAsia"/>
                <w:sz w:val="18"/>
                <w:szCs w:val="18"/>
              </w:rPr>
              <w:t>5:45</w:t>
            </w:r>
            <w:r>
              <w:rPr>
                <w:rFonts w:hint="eastAsia" w:asciiTheme="majorEastAsia" w:hAnsiTheme="majorEastAsia" w:eastAsiaTheme="majorEastAsia"/>
                <w:sz w:val="18"/>
                <w:szCs w:val="18"/>
              </w:rPr>
              <w:t>】</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认购期/募集期内资金产生的利息不计入认购资金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lang w:val="en-US" w:eastAsia="zh-CN"/>
              </w:rPr>
              <w:t>11</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21</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704" w:type="dxa"/>
            <w:shd w:val="solid" w:color="FFFFFF" w:fill="FFFFFF"/>
          </w:tcPr>
          <w:p>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w:t>
            </w:r>
            <w:r>
              <w:rPr>
                <w:rFonts w:hint="eastAsia" w:asciiTheme="majorEastAsia" w:hAnsiTheme="majorEastAsia" w:eastAsiaTheme="majorEastAsia"/>
                <w:sz w:val="18"/>
                <w:szCs w:val="18"/>
              </w:rPr>
              <w:t>。</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pPr>
              <w:spacing w:line="360" w:lineRule="auto"/>
              <w:rPr>
                <w:rFonts w:asciiTheme="minorEastAsia" w:hAnsiTheme="minorEastAsia"/>
                <w:sz w:val="18"/>
                <w:szCs w:val="18"/>
              </w:rPr>
            </w:pPr>
            <w:r>
              <w:rPr>
                <w:rFonts w:asciiTheme="minorEastAsia" w:hAnsiTheme="minorEastAsia"/>
                <w:sz w:val="18"/>
                <w:szCs w:val="18"/>
              </w:rPr>
              <w:t>1.</w:t>
            </w:r>
            <w:r>
              <w:rPr>
                <w:rFonts w:hint="eastAsia" w:asciiTheme="minorEastAsia" w:hAnsiTheme="minorEastAsia"/>
                <w:sz w:val="18"/>
                <w:szCs w:val="18"/>
              </w:rPr>
              <w:t>本产品的开放日</w:t>
            </w:r>
          </w:p>
          <w:p>
            <w:pPr>
              <w:spacing w:line="360" w:lineRule="auto"/>
              <w:rPr>
                <w:rFonts w:asciiTheme="minorEastAsia" w:hAnsiTheme="minorEastAsia"/>
                <w:sz w:val="18"/>
                <w:szCs w:val="18"/>
              </w:rPr>
            </w:pPr>
            <w:r>
              <w:rPr>
                <w:rFonts w:hint="eastAsia" w:asciiTheme="minorEastAsia" w:hAnsiTheme="minorEastAsia"/>
                <w:sz w:val="18"/>
                <w:szCs w:val="18"/>
              </w:rPr>
              <w:t>本产品最短持有期为【</w:t>
            </w:r>
            <w:r>
              <w:rPr>
                <w:rFonts w:hint="eastAsia" w:asciiTheme="minorEastAsia" w:hAnsiTheme="minorEastAsia"/>
                <w:sz w:val="18"/>
                <w:szCs w:val="18"/>
                <w:lang w:val="en-US" w:eastAsia="zh-CN"/>
              </w:rPr>
              <w:t>180</w:t>
            </w:r>
            <w:r>
              <w:rPr>
                <w:rFonts w:hint="eastAsia" w:asciiTheme="minorEastAsia" w:hAnsiTheme="minorEastAsia"/>
                <w:sz w:val="18"/>
                <w:szCs w:val="18"/>
              </w:rPr>
              <w:t>】个自然日。本产品封闭期结束后的第一个工作日起每日开放（产品管理人公告暂停开放的日期除外），投资者可于开放日提交申购申请。</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自产品成立日/申购确认日起第【</w:t>
            </w:r>
            <w:r>
              <w:rPr>
                <w:rFonts w:hint="eastAsia" w:asciiTheme="minorEastAsia" w:hAnsiTheme="minorEastAsia" w:eastAsiaTheme="majorEastAsia"/>
                <w:sz w:val="18"/>
                <w:szCs w:val="18"/>
                <w:lang w:val="en-US" w:eastAsia="zh-CN"/>
              </w:rPr>
              <w:t>180</w:t>
            </w:r>
            <w:r>
              <w:rPr>
                <w:rFonts w:hint="eastAsia" w:asciiTheme="majorEastAsia" w:hAnsiTheme="majorEastAsia" w:eastAsiaTheme="majorEastAsia"/>
                <w:bCs/>
                <w:sz w:val="18"/>
                <w:szCs w:val="18"/>
              </w:rPr>
              <w:t>】个自然日内（不含当日）投资者不能赎回该产品份额，自产品成立日/申购确认日起第【</w:t>
            </w:r>
            <w:r>
              <w:rPr>
                <w:rFonts w:hint="eastAsia" w:asciiTheme="minorEastAsia" w:hAnsiTheme="minorEastAsia" w:eastAsiaTheme="majorEastAsia"/>
                <w:sz w:val="18"/>
                <w:szCs w:val="18"/>
                <w:lang w:val="en-US" w:eastAsia="zh-CN"/>
              </w:rPr>
              <w:t>180</w:t>
            </w:r>
            <w:r>
              <w:rPr>
                <w:rFonts w:hint="eastAsia" w:asciiTheme="majorEastAsia" w:hAnsiTheme="majorEastAsia" w:eastAsiaTheme="majorEastAsia"/>
                <w:bCs/>
                <w:sz w:val="18"/>
                <w:szCs w:val="18"/>
              </w:rPr>
              <w:t>】个自然日起（含当日），投资者</w:t>
            </w:r>
            <w:r>
              <w:rPr>
                <w:rFonts w:hint="eastAsia" w:asciiTheme="minorEastAsia" w:hAnsiTheme="minorEastAsia"/>
                <w:sz w:val="18"/>
                <w:szCs w:val="18"/>
              </w:rPr>
              <w:t>可于任一开放日</w:t>
            </w:r>
            <w:r>
              <w:rPr>
                <w:rFonts w:hint="eastAsia" w:asciiTheme="majorEastAsia" w:hAnsiTheme="majorEastAsia" w:eastAsiaTheme="majorEastAsia"/>
                <w:bCs/>
                <w:sz w:val="18"/>
                <w:szCs w:val="18"/>
              </w:rPr>
              <w:t>赎回该产品份额。</w:t>
            </w:r>
          </w:p>
          <w:p>
            <w:pPr>
              <w:spacing w:line="360" w:lineRule="auto"/>
              <w:rPr>
                <w:rFonts w:asciiTheme="minorEastAsia" w:hAnsiTheme="minorEastAsia"/>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（1）申购的时间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【1</w:t>
            </w:r>
            <w:r>
              <w:rPr>
                <w:rFonts w:cs="Times New Roman" w:asciiTheme="minorEastAsia" w:hAnsiTheme="minorEastAsia"/>
                <w:sz w:val="18"/>
                <w:szCs w:val="18"/>
              </w:rPr>
              <w:t>5</w:t>
            </w:r>
            <w:r>
              <w:rPr>
                <w:rFonts w:hint="eastAsia" w:cs="Times New Roman" w:asciiTheme="minorEastAsia" w:hAnsiTheme="minorEastAsia"/>
                <w:sz w:val="18"/>
                <w:szCs w:val="18"/>
              </w:rPr>
              <w:t>：4</w:t>
            </w:r>
            <w:r>
              <w:rPr>
                <w:rFonts w:cs="Times New Roman" w:asciiTheme="minorEastAsia" w:hAnsiTheme="minorEastAsia"/>
                <w:sz w:val="18"/>
                <w:szCs w:val="18"/>
              </w:rPr>
              <w:t>5</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前提交申购申请的，提交当日为申购日。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【1</w:t>
            </w:r>
            <w:r>
              <w:rPr>
                <w:rFonts w:cs="Times New Roman" w:asciiTheme="minorEastAsia" w:hAnsiTheme="minorEastAsia"/>
                <w:sz w:val="18"/>
                <w:szCs w:val="18"/>
              </w:rPr>
              <w:t>5</w:t>
            </w:r>
            <w:r>
              <w:rPr>
                <w:rFonts w:hint="eastAsia" w:cs="Times New Roman" w:asciiTheme="minorEastAsia" w:hAnsiTheme="minorEastAsia"/>
                <w:sz w:val="18"/>
                <w:szCs w:val="18"/>
              </w:rPr>
              <w:t>：4</w:t>
            </w:r>
            <w:r>
              <w:rPr>
                <w:rFonts w:cs="Times New Roman" w:asciiTheme="minorEastAsia" w:hAnsiTheme="minorEastAsia"/>
                <w:sz w:val="18"/>
                <w:szCs w:val="18"/>
              </w:rPr>
              <w:t>5</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w:t>
            </w:r>
            <w:r>
              <w:rPr>
                <w:rFonts w:asciiTheme="minorEastAsia" w:hAnsiTheme="minorEastAsia" w:eastAsiaTheme="minorEastAsia"/>
                <w:sz w:val="18"/>
                <w:szCs w:val="18"/>
              </w:rPr>
              <w:t>申购的确认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产品管理人在申购日后【</w:t>
            </w:r>
            <w:r>
              <w:rPr>
                <w:rFonts w:cs="Times New Roman" w:asciiTheme="minorEastAsia" w:hAnsiTheme="minorEastAsia" w:eastAsiaTheme="minorEastAsia"/>
                <w:bCs/>
                <w:sz w:val="18"/>
                <w:szCs w:val="18"/>
              </w:rPr>
              <w:t>2</w:t>
            </w:r>
            <w:r>
              <w:rPr>
                <w:rFonts w:hint="eastAsia" w:cs="Times New Roman" w:asciiTheme="minorEastAsia" w:hAnsiTheme="minorEastAsia" w:eastAsiaTheme="minorEastAsia"/>
                <w:bCs/>
                <w:sz w:val="18"/>
                <w:szCs w:val="18"/>
              </w:rPr>
              <w:t>】个工作日内对投资者的申购申请的有效性进行确认，并登记理财份额。</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3.赎回安排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w:t>
            </w:r>
            <w:r>
              <w:rPr>
                <w:rFonts w:hint="eastAsia" w:ascii="宋体" w:hAnsi="宋体"/>
                <w:bCs/>
                <w:sz w:val="18"/>
                <w:szCs w:val="18"/>
              </w:rPr>
              <w:t>赎回的时间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【1</w:t>
            </w:r>
            <w:r>
              <w:rPr>
                <w:rFonts w:cs="Times New Roman" w:asciiTheme="minorEastAsia" w:hAnsiTheme="minorEastAsia"/>
                <w:sz w:val="18"/>
                <w:szCs w:val="18"/>
              </w:rPr>
              <w:t>5</w:t>
            </w:r>
            <w:r>
              <w:rPr>
                <w:rFonts w:hint="eastAsia" w:cs="Times New Roman" w:asciiTheme="minorEastAsia" w:hAnsiTheme="minorEastAsia"/>
                <w:sz w:val="18"/>
                <w:szCs w:val="18"/>
              </w:rPr>
              <w:t>：4</w:t>
            </w:r>
            <w:r>
              <w:rPr>
                <w:rFonts w:cs="Times New Roman" w:asciiTheme="minorEastAsia" w:hAnsiTheme="minorEastAsia"/>
                <w:sz w:val="18"/>
                <w:szCs w:val="18"/>
              </w:rPr>
              <w:t>5</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前提交赎回申请的，提交当日为赎回日。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【1</w:t>
            </w:r>
            <w:r>
              <w:rPr>
                <w:rFonts w:cs="Times New Roman" w:asciiTheme="minorEastAsia" w:hAnsiTheme="minorEastAsia"/>
                <w:sz w:val="18"/>
                <w:szCs w:val="18"/>
              </w:rPr>
              <w:t>5</w:t>
            </w:r>
            <w:r>
              <w:rPr>
                <w:rFonts w:hint="eastAsia" w:cs="Times New Roman" w:asciiTheme="minorEastAsia" w:hAnsiTheme="minorEastAsia"/>
                <w:sz w:val="18"/>
                <w:szCs w:val="18"/>
              </w:rPr>
              <w:t>：4</w:t>
            </w:r>
            <w:r>
              <w:rPr>
                <w:rFonts w:cs="Times New Roman" w:asciiTheme="minorEastAsia" w:hAnsiTheme="minorEastAsia"/>
                <w:sz w:val="18"/>
                <w:szCs w:val="18"/>
              </w:rPr>
              <w:t>5</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（2）赎回</w:t>
            </w:r>
            <w:r>
              <w:rPr>
                <w:rFonts w:asciiTheme="minorEastAsia" w:hAnsiTheme="minorEastAsia" w:eastAsiaTheme="minorEastAsia"/>
                <w:sz w:val="18"/>
                <w:szCs w:val="18"/>
              </w:rPr>
              <w:t>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产品管理人在赎回日后【</w:t>
            </w:r>
            <w:r>
              <w:rPr>
                <w:rFonts w:cs="Times New Roman" w:asciiTheme="minorEastAsia" w:hAnsiTheme="minorEastAsia" w:eastAsiaTheme="minorEastAsia"/>
                <w:bCs/>
                <w:sz w:val="18"/>
                <w:szCs w:val="18"/>
              </w:rPr>
              <w:t>2</w:t>
            </w:r>
            <w:r>
              <w:rPr>
                <w:rFonts w:hint="eastAsia" w:cs="Times New Roman" w:asciiTheme="minorEastAsia" w:hAnsiTheme="minorEastAsia" w:eastAsiaTheme="minorEastAsia"/>
                <w:bCs/>
                <w:sz w:val="18"/>
                <w:szCs w:val="18"/>
              </w:rPr>
              <w:t>】个工作日内对投资者的赎回申请的有效性进行确认，并注销理财份额。</w:t>
            </w:r>
          </w:p>
          <w:p>
            <w:pPr>
              <w:spacing w:line="360" w:lineRule="auto"/>
              <w:rPr>
                <w:rFonts w:ascii="黑体" w:hAnsi="黑体" w:eastAsia="黑体" w:cs="黑体"/>
                <w:sz w:val="18"/>
                <w:szCs w:val="18"/>
              </w:rPr>
            </w:pPr>
            <w:r>
              <w:rPr>
                <w:rFonts w:hint="eastAsia" w:ascii="黑体" w:hAnsi="黑体" w:eastAsia="黑体" w:cs="黑体"/>
                <w:sz w:val="18"/>
                <w:szCs w:val="18"/>
              </w:rPr>
              <w:t>注：</w:t>
            </w:r>
            <w:r>
              <w:rPr>
                <w:rFonts w:hint="eastAsia" w:ascii="黑体" w:hAnsi="黑体" w:eastAsia="黑体" w:cs="黑体"/>
                <w:color w:val="000000" w:themeColor="text1"/>
                <w:sz w:val="18"/>
                <w14:textFill>
                  <w14:solidFill>
                    <w14:schemeClr w14:val="tx1"/>
                  </w14:solidFill>
                </w14:textFill>
              </w:rPr>
              <w:t>赎回</w:t>
            </w:r>
            <w:r>
              <w:rPr>
                <w:rFonts w:hint="eastAsia" w:ascii="黑体" w:hAnsi="黑体" w:eastAsia="黑体" w:cs="黑体"/>
                <w:bCs/>
                <w:color w:val="000000" w:themeColor="text1"/>
                <w:sz w:val="18"/>
                <w:szCs w:val="18"/>
                <w14:textFill>
                  <w14:solidFill>
                    <w14:schemeClr w14:val="tx1"/>
                  </w14:solidFill>
                </w14:textFill>
              </w:rPr>
              <w:t>款项于</w:t>
            </w:r>
            <w:r>
              <w:rPr>
                <w:rFonts w:hint="eastAsia" w:ascii="黑体" w:hAnsi="黑体" w:eastAsia="黑体" w:cs="黑体"/>
                <w:bCs/>
                <w:kern w:val="0"/>
                <w:sz w:val="18"/>
                <w:szCs w:val="18"/>
              </w:rPr>
              <w:t>赎回</w:t>
            </w:r>
            <w:r>
              <w:rPr>
                <w:rFonts w:hint="eastAsia" w:ascii="黑体" w:hAnsi="黑体" w:eastAsia="黑体" w:cs="黑体"/>
                <w:kern w:val="0"/>
                <w:sz w:val="18"/>
              </w:rPr>
              <w:t>日后【3】个工作日</w:t>
            </w:r>
            <w:r>
              <w:rPr>
                <w:rFonts w:hint="eastAsia" w:ascii="黑体" w:hAnsi="黑体" w:eastAsia="黑体" w:cs="黑体"/>
                <w:bCs/>
                <w:kern w:val="0"/>
                <w:sz w:val="18"/>
                <w:szCs w:val="18"/>
              </w:rPr>
              <w:t>内支付给</w:t>
            </w:r>
            <w:r>
              <w:rPr>
                <w:rFonts w:hint="eastAsia" w:ascii="黑体" w:hAnsi="黑体" w:eastAsia="黑体" w:cs="黑体"/>
                <w:kern w:val="0"/>
                <w:sz w:val="18"/>
              </w:rPr>
              <w:t>投资者</w:t>
            </w:r>
            <w:r>
              <w:rPr>
                <w:rFonts w:hint="eastAsia" w:ascii="黑体" w:hAnsi="黑体" w:eastAsia="黑体" w:cs="黑体"/>
                <w:bCs/>
                <w:kern w:val="0"/>
                <w:sz w:val="18"/>
                <w:szCs w:val="18"/>
              </w:rPr>
              <w:t>。</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注：关于代理销售机构的实际工作服务时段的提示</w:t>
            </w:r>
          </w:p>
          <w:p>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sz w:val="18"/>
                <w:szCs w:val="18"/>
              </w:rPr>
              <w:t>以</w:t>
            </w:r>
            <w:r>
              <w:rPr>
                <w:rFonts w:hint="eastAsia" w:ascii="黑体" w:hAnsi="黑体" w:eastAsia="黑体"/>
                <w:sz w:val="18"/>
                <w:szCs w:val="18"/>
              </w:rPr>
              <w:t>代理销售机构的展示</w:t>
            </w:r>
            <w:r>
              <w:rPr>
                <w:rFonts w:ascii="黑体" w:hAnsi="黑体" w:eastAsia="黑体"/>
                <w:sz w:val="18"/>
                <w:szCs w:val="18"/>
              </w:rPr>
              <w:t>为准</w:t>
            </w:r>
            <w:r>
              <w:rPr>
                <w:rFonts w:hint="eastAsia" w:ascii="黑体" w:hAnsi="黑体" w:eastAsia="黑体"/>
                <w:sz w:val="18"/>
                <w:szCs w:val="18"/>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sz w:val="18"/>
                <w:szCs w:val="18"/>
              </w:rPr>
              <w:t>②代理销售机构的实际工作服务时段，最早不得早于销售文件约定</w:t>
            </w:r>
            <w:r>
              <w:rPr>
                <w:rFonts w:ascii="黑体" w:hAnsi="黑体" w:eastAsia="黑体"/>
                <w:sz w:val="18"/>
                <w:szCs w:val="18"/>
              </w:rPr>
              <w:t>的</w:t>
            </w:r>
            <w:r>
              <w:rPr>
                <w:rFonts w:hint="eastAsia" w:ascii="黑体" w:hAnsi="黑体" w:eastAsia="黑体"/>
                <w:sz w:val="18"/>
                <w:szCs w:val="18"/>
              </w:rPr>
              <w:t>起始时点、最晚不得晚于销售文件</w:t>
            </w:r>
            <w:r>
              <w:rPr>
                <w:rFonts w:ascii="黑体" w:hAnsi="黑体" w:eastAsia="黑体"/>
                <w:sz w:val="18"/>
                <w:szCs w:val="18"/>
              </w:rPr>
              <w:t>约定的</w:t>
            </w:r>
            <w:r>
              <w:rPr>
                <w:rFonts w:hint="eastAsia" w:ascii="黑体" w:hAnsi="黑体" w:eastAsia="黑体"/>
                <w:sz w:val="18"/>
                <w:szCs w:val="18"/>
              </w:rPr>
              <w:t>终止时点</w:t>
            </w:r>
            <w:r>
              <w:rPr>
                <w:rFonts w:ascii="黑体" w:hAnsi="黑体" w:eastAsia="黑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购买起点金额为【1】元；超出起点金额的部分以【0</w:t>
            </w:r>
            <w:r>
              <w:rPr>
                <w:rFonts w:asciiTheme="majorEastAsia" w:hAnsiTheme="majorEastAsia" w:eastAsiaTheme="majorEastAsia"/>
                <w:bCs/>
                <w:sz w:val="18"/>
                <w:szCs w:val="18"/>
              </w:rPr>
              <w:t>.01</w:t>
            </w:r>
            <w:r>
              <w:rPr>
                <w:rFonts w:hint="eastAsia" w:asciiTheme="majorEastAsia" w:hAnsiTheme="majorEastAsia" w:eastAsiaTheme="majorEastAsia"/>
                <w:bCs/>
                <w:sz w:val="18"/>
                <w:szCs w:val="18"/>
              </w:rPr>
              <w:t>】元的整数倍递增。</w:t>
            </w:r>
            <w:r>
              <w:rPr>
                <w:rFonts w:hint="eastAsia" w:asciiTheme="majorEastAsia" w:hAnsiTheme="majorEastAsia" w:eastAsiaTheme="majorEastAsia"/>
                <w:bCs/>
                <w:color w:val="000000" w:themeColor="text1"/>
                <w:sz w:val="18"/>
                <w:szCs w:val="18"/>
                <w14:textFill>
                  <w14:solidFill>
                    <w14:schemeClr w14:val="tx1"/>
                  </w14:solidFill>
                </w14:textFill>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F</w:t>
            </w:r>
            <w:r>
              <w:rPr>
                <w:rFonts w:hint="eastAsia" w:asciiTheme="majorEastAsia" w:hAnsiTheme="majorEastAsia" w:eastAsiaTheme="majorEastAsia"/>
                <w:bCs/>
                <w:color w:val="000000" w:themeColor="text1"/>
                <w:sz w:val="18"/>
                <w:szCs w:val="18"/>
                <w14:textFill>
                  <w14:solidFill>
                    <w14:schemeClr w14:val="tx1"/>
                  </w14:solidFill>
                </w14:textFill>
              </w:rPr>
              <w:t>】类份额）</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关于代理销售机构的实际销售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的提示</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color w:val="000000" w:themeColor="text1"/>
                <w:sz w:val="18"/>
                <w:szCs w:val="18"/>
                <w14:textFill>
                  <w14:solidFill>
                    <w14:schemeClr w14:val="tx1"/>
                  </w14:solidFill>
                </w14:textFill>
              </w:rPr>
              <w:t>以</w:t>
            </w:r>
            <w:r>
              <w:rPr>
                <w:rFonts w:hint="eastAsia" w:ascii="黑体" w:hAnsi="黑体" w:eastAsia="黑体"/>
                <w:color w:val="000000" w:themeColor="text1"/>
                <w:sz w:val="18"/>
                <w:szCs w:val="18"/>
                <w14:textFill>
                  <w14:solidFill>
                    <w14:schemeClr w14:val="tx1"/>
                  </w14:solidFill>
                </w14:textFill>
              </w:rPr>
              <w:t>代理销售机构展示</w:t>
            </w:r>
            <w:r>
              <w:rPr>
                <w:rFonts w:ascii="黑体" w:hAnsi="黑体" w:eastAsia="黑体"/>
                <w:color w:val="000000" w:themeColor="text1"/>
                <w:sz w:val="18"/>
                <w:szCs w:val="18"/>
                <w14:textFill>
                  <w14:solidFill>
                    <w14:schemeClr w14:val="tx1"/>
                  </w14:solidFill>
                </w14:textFill>
              </w:rPr>
              <w:t>为准</w:t>
            </w:r>
            <w:r>
              <w:rPr>
                <w:rFonts w:hint="eastAsia" w:ascii="黑体" w:hAnsi="黑体" w:eastAsia="黑体"/>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sz w:val="18"/>
                <w:szCs w:val="18"/>
              </w:rPr>
            </w:pPr>
            <w:r>
              <w:rPr>
                <w:rFonts w:hint="eastAsia" w:ascii="黑体" w:hAnsi="黑体" w:eastAsia="黑体"/>
                <w:color w:val="000000" w:themeColor="text1"/>
                <w:sz w:val="18"/>
                <w:szCs w:val="18"/>
                <w14:textFill>
                  <w14:solidFill>
                    <w14:schemeClr w14:val="tx1"/>
                  </w14:solidFill>
                </w14:textFill>
              </w:rPr>
              <w:t>②代理销售机构的实际销售起点金额，</w:t>
            </w:r>
            <w:r>
              <w:rPr>
                <w:rFonts w:ascii="黑体" w:hAnsi="黑体" w:eastAsia="黑体"/>
                <w:color w:val="000000" w:themeColor="text1"/>
                <w:sz w:val="18"/>
                <w:szCs w:val="18"/>
                <w14:textFill>
                  <w14:solidFill>
                    <w14:schemeClr w14:val="tx1"/>
                  </w14:solidFill>
                </w14:textFill>
              </w:rPr>
              <w:t>不得低于</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文件约定的</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autoSpaceDE w:val="0"/>
              <w:autoSpaceDN w:val="0"/>
              <w:adjustRightInd w:val="0"/>
              <w:spacing w:line="360" w:lineRule="auto"/>
              <w:jc w:val="left"/>
              <w:rPr>
                <w:rFonts w:hAnsi="宋体"/>
                <w:b/>
                <w:sz w:val="18"/>
                <w:szCs w:val="18"/>
              </w:rPr>
            </w:pPr>
            <w:r>
              <w:rPr>
                <w:rFonts w:hint="eastAsia" w:hAnsi="宋体"/>
                <w:b/>
                <w:sz w:val="18"/>
                <w:szCs w:val="18"/>
              </w:rPr>
              <w:t>★认购、申购与赎回的数量限制</w:t>
            </w:r>
          </w:p>
        </w:tc>
        <w:tc>
          <w:tcPr>
            <w:tcW w:w="7704" w:type="dxa"/>
            <w:shd w:val="solid" w:color="FFFFFF" w:fill="FFFFFF"/>
            <w:vAlign w:val="center"/>
          </w:tcPr>
          <w:p>
            <w:pPr>
              <w:pStyle w:val="34"/>
              <w:spacing w:line="360" w:lineRule="auto"/>
              <w:rPr>
                <w:rFonts w:asciiTheme="minorEastAsia" w:hAnsiTheme="minorEastAsia" w:eastAsiaTheme="minorEastAsia"/>
                <w:color w:val="auto"/>
                <w:sz w:val="18"/>
                <w:szCs w:val="18"/>
              </w:rPr>
            </w:pPr>
            <w:r>
              <w:rPr>
                <w:rFonts w:hint="eastAsia" w:hAnsi="宋体"/>
                <w:bCs/>
                <w:sz w:val="18"/>
                <w:szCs w:val="18"/>
              </w:rPr>
              <w:t>（适用【</w:t>
            </w:r>
            <w:r>
              <w:rPr>
                <w:rFonts w:hint="eastAsia" w:hAnsi="宋体"/>
                <w:bCs/>
                <w:sz w:val="18"/>
                <w:szCs w:val="18"/>
                <w:lang w:val="en-US" w:eastAsia="zh-CN"/>
              </w:rPr>
              <w:t>F</w:t>
            </w:r>
            <w:r>
              <w:rPr>
                <w:rFonts w:hint="eastAsia" w:hAnsi="宋体"/>
                <w:bCs/>
                <w:sz w:val="18"/>
                <w:szCs w:val="18"/>
              </w:rPr>
              <w:t>】类份额）</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34"/>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】元。如需突破上限，请与产品管理人或销售机构客户经理联系。</w:t>
            </w:r>
          </w:p>
          <w:p>
            <w:pPr>
              <w:pStyle w:val="34"/>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】元。</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】份，符合产品管理人流动性管理的稳定资金除外。</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份。受理财利益分配去尾规则的影响，投资者持有产品份额较低时可能无法取得利益。巨额赎回情景发生时，投资者的可赎回份额需要根据巨额赎回规则确定。</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本产品单一投资者持有份额不得超过产品总份额50%。</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pPr>
              <w:pStyle w:val="34"/>
              <w:spacing w:line="360" w:lineRule="auto"/>
              <w:rPr>
                <w:rFonts w:asciiTheme="minorEastAsia" w:hAnsiTheme="minorEastAsia" w:eastAsiaTheme="minorEastAsia"/>
                <w:color w:val="auto"/>
                <w:sz w:val="18"/>
                <w:szCs w:val="18"/>
              </w:rPr>
            </w:pPr>
            <w:r>
              <w:rPr>
                <w:rFonts w:hint="eastAsia" w:asciiTheme="majorEastAsia" w:hAnsiTheme="majorEastAsia" w:eastAsiaTheme="majorEastAsia"/>
                <w:bCs/>
                <w:sz w:val="18"/>
                <w:szCs w:val="18"/>
              </w:rPr>
              <w:t>每</w:t>
            </w:r>
            <w:r>
              <w:rPr>
                <w:rFonts w:asciiTheme="majorEastAsia" w:hAnsiTheme="majorEastAsia" w:eastAsiaTheme="majorEastAsia"/>
                <w:bCs/>
                <w:sz w:val="18"/>
                <w:szCs w:val="18"/>
              </w:rPr>
              <w:t>个</w:t>
            </w:r>
            <w:r>
              <w:rPr>
                <w:rFonts w:hint="eastAsia" w:asciiTheme="majorEastAsia" w:hAnsiTheme="majorEastAsia" w:eastAsiaTheme="majorEastAsia"/>
                <w:bCs/>
                <w:sz w:val="18"/>
                <w:szCs w:val="18"/>
              </w:rPr>
              <w:t>赎回</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，本产品的净赎回申请（赎回</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份额总数扣除申购</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下同）之和达到上一赎回日产品总份额的【</w:t>
            </w:r>
            <w:r>
              <w:rPr>
                <w:rFonts w:asciiTheme="majorEastAsia" w:hAnsiTheme="majorEastAsia" w:eastAsiaTheme="majorEastAsia"/>
                <w:bCs/>
                <w:sz w:val="18"/>
                <w:szCs w:val="18"/>
              </w:rPr>
              <w:t>10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理财产品的费用和税收</w:t>
            </w:r>
            <w:r>
              <w:rPr>
                <w:rFonts w:asciiTheme="majorEastAsia" w:hAnsiTheme="majorEastAsia" w:eastAsiaTheme="majorEastAsia"/>
                <w:bCs/>
                <w:sz w:val="18"/>
                <w:szCs w:val="18"/>
              </w:rPr>
              <w:t>。</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pPr>
              <w:spacing w:line="360" w:lineRule="auto"/>
              <w:jc w:val="left"/>
              <w:rPr>
                <w:rFonts w:ascii="宋体" w:hAnsi="宋体"/>
                <w:b/>
                <w:bCs/>
                <w:sz w:val="18"/>
                <w:szCs w:val="18"/>
              </w:rPr>
            </w:pPr>
            <w:r>
              <w:rPr>
                <w:rFonts w:hint="eastAsia" w:hAnsi="宋体"/>
                <w:bCs/>
                <w:sz w:val="18"/>
                <w:szCs w:val="18"/>
              </w:rPr>
              <w:t>（适用【</w:t>
            </w:r>
            <w:r>
              <w:rPr>
                <w:rFonts w:hint="eastAsia" w:hAnsi="宋体"/>
                <w:bCs/>
                <w:sz w:val="18"/>
                <w:szCs w:val="18"/>
                <w:lang w:val="en-US" w:eastAsia="zh-CN"/>
              </w:rPr>
              <w:t>F</w:t>
            </w:r>
            <w:r>
              <w:rPr>
                <w:rFonts w:hint="eastAsia" w:hAnsi="宋体"/>
                <w:bCs/>
                <w:sz w:val="18"/>
                <w:szCs w:val="18"/>
              </w:rPr>
              <w:t>】类份额）</w:t>
            </w:r>
          </w:p>
          <w:p>
            <w:pPr>
              <w:spacing w:line="360" w:lineRule="auto"/>
              <w:jc w:val="left"/>
              <w:rPr>
                <w:rFonts w:ascii="宋体" w:hAnsi="宋体"/>
                <w:b/>
                <w:bCs/>
                <w:sz w:val="18"/>
                <w:szCs w:val="18"/>
              </w:rPr>
            </w:pPr>
            <w:r>
              <w:rPr>
                <w:rFonts w:hint="eastAsia" w:ascii="宋体" w:hAnsi="宋体"/>
                <w:b/>
                <w:bCs/>
                <w:sz w:val="18"/>
                <w:szCs w:val="18"/>
              </w:rPr>
              <w:t>1.业绩比较基准的设置</w:t>
            </w:r>
          </w:p>
          <w:p>
            <w:pPr>
              <w:autoSpaceDE w:val="0"/>
              <w:autoSpaceDN w:val="0"/>
              <w:adjustRightInd w:val="0"/>
              <w:spacing w:line="360" w:lineRule="auto"/>
              <w:jc w:val="left"/>
              <w:rPr>
                <w:rFonts w:asciiTheme="majorEastAsia" w:hAnsiTheme="majorEastAsia" w:eastAsiaTheme="majorEastAsia"/>
                <w:b/>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
                <w:kern w:val="0"/>
                <w:sz w:val="18"/>
                <w:szCs w:val="18"/>
              </w:rPr>
              <w:t>产品管理人设置业绩比较基准。</w:t>
            </w:r>
          </w:p>
          <w:p>
            <w:pPr>
              <w:spacing w:line="360" w:lineRule="auto"/>
              <w:jc w:val="left"/>
              <w:rPr>
                <w:rFonts w:asciiTheme="majorEastAsia" w:hAnsiTheme="majorEastAsia"/>
                <w:bCs/>
                <w:sz w:val="18"/>
                <w:szCs w:val="18"/>
              </w:rPr>
            </w:pPr>
            <w:r>
              <w:rPr>
                <w:rFonts w:hint="eastAsia" w:ascii="宋体" w:hAnsi="宋体"/>
                <w:bCs/>
                <w:sz w:val="18"/>
                <w:szCs w:val="18"/>
              </w:rPr>
              <w:t>（1）业绩比较基准的说明：【</w:t>
            </w:r>
            <w:r>
              <w:rPr>
                <w:rFonts w:hint="eastAsia" w:asciiTheme="majorEastAsia" w:hAnsiTheme="majorEastAsia" w:eastAsiaTheme="majorEastAsia"/>
                <w:bCs/>
                <w:sz w:val="18"/>
                <w:szCs w:val="18"/>
              </w:rPr>
              <w:t>基于当前对未来市场的判断，根据拟投资债权类资产的信用利差、久期敞口以及流动性溢价，预判组合的波动幅度</w:t>
            </w:r>
            <w:r>
              <w:rPr>
                <w:rFonts w:ascii="宋体" w:hAnsi="宋体"/>
                <w:bCs/>
                <w:sz w:val="18"/>
                <w:szCs w:val="18"/>
              </w:rPr>
              <w:t>】</w:t>
            </w:r>
            <w:r>
              <w:rPr>
                <w:rFonts w:hint="eastAsia" w:ascii="宋体" w:hAnsi="宋体"/>
                <w:bCs/>
                <w:sz w:val="18"/>
                <w:szCs w:val="18"/>
              </w:rPr>
              <w:t>。</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w:t>
            </w:r>
            <w:r>
              <w:rPr>
                <w:rFonts w:asciiTheme="majorEastAsia" w:hAnsiTheme="majorEastAsia" w:eastAsiaTheme="majorEastAsia"/>
                <w:bCs/>
                <w:sz w:val="18"/>
                <w:szCs w:val="18"/>
              </w:rPr>
              <w:t>业绩比较基准的设定</w:t>
            </w:r>
            <w:r>
              <w:rPr>
                <w:rFonts w:hint="eastAsia" w:asciiTheme="majorEastAsia" w:hAnsiTheme="majorEastAsia" w:eastAsiaTheme="majorEastAsia"/>
                <w:bCs/>
                <w:sz w:val="18"/>
                <w:szCs w:val="18"/>
              </w:rPr>
              <w:t>：</w:t>
            </w:r>
            <w:r>
              <w:rPr>
                <w:rFonts w:hint="eastAsia" w:asciiTheme="majorEastAsia" w:hAnsiTheme="majorEastAsia"/>
                <w:sz w:val="18"/>
              </w:rPr>
              <w:t>管理人对</w:t>
            </w:r>
            <w:r>
              <w:rPr>
                <w:rFonts w:asciiTheme="majorEastAsia" w:hAnsiTheme="majorEastAsia"/>
                <w:sz w:val="18"/>
              </w:rPr>
              <w:t>本产品设定</w:t>
            </w:r>
            <w:r>
              <w:rPr>
                <w:rFonts w:hint="eastAsia" w:asciiTheme="majorEastAsia" w:hAnsiTheme="majorEastAsia"/>
                <w:sz w:val="18"/>
              </w:rPr>
              <w:t>业绩比较基准：年化</w:t>
            </w:r>
            <w:r>
              <w:rPr>
                <w:rFonts w:hint="eastAsia" w:ascii="宋体" w:hAnsi="宋体"/>
                <w:bCs/>
                <w:sz w:val="18"/>
                <w:szCs w:val="18"/>
              </w:rPr>
              <w:t>【</w:t>
            </w:r>
            <w:r>
              <w:rPr>
                <w:rFonts w:hint="eastAsia" w:ascii="宋体" w:hAnsi="宋体"/>
                <w:bCs/>
                <w:sz w:val="18"/>
                <w:szCs w:val="18"/>
                <w:lang w:val="en-US" w:eastAsia="zh-CN"/>
              </w:rPr>
              <w:t>1.60</w:t>
            </w:r>
            <w:r>
              <w:rPr>
                <w:rFonts w:hint="eastAsia" w:ascii="宋体" w:hAnsi="宋体"/>
                <w:bCs/>
                <w:sz w:val="18"/>
                <w:szCs w:val="18"/>
              </w:rPr>
              <w:t>%</w:t>
            </w:r>
            <w:r>
              <w:rPr>
                <w:rFonts w:ascii="宋体" w:hAnsi="宋体"/>
                <w:bCs/>
                <w:sz w:val="18"/>
                <w:szCs w:val="18"/>
              </w:rPr>
              <w:t>-</w:t>
            </w:r>
            <w:r>
              <w:rPr>
                <w:rFonts w:hint="eastAsia" w:ascii="宋体" w:hAnsi="宋体"/>
                <w:bCs/>
                <w:sz w:val="18"/>
                <w:szCs w:val="18"/>
              </w:rPr>
              <w:t>3.</w:t>
            </w:r>
            <w:r>
              <w:rPr>
                <w:rFonts w:hint="eastAsia" w:ascii="宋体" w:hAnsi="宋体"/>
                <w:bCs/>
                <w:sz w:val="18"/>
                <w:szCs w:val="18"/>
                <w:lang w:val="en-US" w:eastAsia="zh-CN"/>
              </w:rPr>
              <w:t>60</w:t>
            </w:r>
            <w:r>
              <w:rPr>
                <w:rFonts w:hint="eastAsia" w:ascii="宋体" w:hAnsi="宋体"/>
                <w:bCs/>
                <w:sz w:val="18"/>
                <w:szCs w:val="18"/>
              </w:rPr>
              <w:t>%</w:t>
            </w:r>
            <w:r>
              <w:rPr>
                <w:rFonts w:ascii="宋体" w:hAnsi="宋体"/>
                <w:bCs/>
                <w:sz w:val="18"/>
                <w:szCs w:val="18"/>
              </w:rPr>
              <w:t>】</w:t>
            </w:r>
            <w:r>
              <w:rPr>
                <w:rFonts w:hint="eastAsia" w:ascii="宋体" w:hAnsi="宋体"/>
                <w:bCs/>
                <w:sz w:val="18"/>
                <w:szCs w:val="18"/>
              </w:rPr>
              <w:t>。</w:t>
            </w:r>
          </w:p>
          <w:p>
            <w:pPr>
              <w:autoSpaceDE w:val="0"/>
              <w:autoSpaceDN w:val="0"/>
              <w:adjustRightInd w:val="0"/>
              <w:spacing w:line="360" w:lineRule="auto"/>
              <w:jc w:val="left"/>
              <w:rPr>
                <w:rFonts w:asciiTheme="majorEastAsia" w:hAnsiTheme="majorEastAsia" w:eastAsiaTheme="majorEastAsia"/>
                <w:b/>
                <w:kern w:val="0"/>
                <w:sz w:val="18"/>
                <w:szCs w:val="18"/>
              </w:rPr>
            </w:pPr>
            <w:r>
              <w:rPr>
                <w:rFonts w:hint="eastAsia" w:asciiTheme="majorEastAsia" w:hAnsiTheme="majorEastAsia" w:eastAsiaTheme="majorEastAsia"/>
                <w:b/>
                <w:kern w:val="0"/>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
                <w:kern w:val="0"/>
                <w:sz w:val="18"/>
                <w:szCs w:val="18"/>
              </w:rPr>
              <w:t>产品管理人不设置业绩比较基准。</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2.业绩比较基准的提示：</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（1）</w:t>
            </w:r>
            <w:r>
              <w:rPr>
                <w:rFonts w:hint="eastAsia"/>
                <w:sz w:val="18"/>
                <w:szCs w:val="18"/>
              </w:rPr>
              <w:t>★</w:t>
            </w:r>
            <w:r>
              <w:rPr>
                <w:rFonts w:hint="eastAsia"/>
                <w:b/>
                <w:sz w:val="18"/>
              </w:rPr>
              <w:t>业绩比较基准</w:t>
            </w:r>
            <w:r>
              <w:rPr>
                <w:rFonts w:hint="eastAsia"/>
                <w:b/>
                <w:bCs/>
                <w:sz w:val="18"/>
                <w:szCs w:val="18"/>
              </w:rPr>
              <w:t>不是预期收益率，</w:t>
            </w:r>
            <w:r>
              <w:rPr>
                <w:rFonts w:hint="eastAsia"/>
                <w:b/>
                <w:sz w:val="18"/>
              </w:rPr>
              <w:t>不代表产品</w:t>
            </w:r>
            <w:r>
              <w:rPr>
                <w:rFonts w:hint="eastAsia"/>
                <w:b/>
                <w:bCs/>
                <w:sz w:val="18"/>
                <w:szCs w:val="18"/>
              </w:rPr>
              <w:t>的</w:t>
            </w:r>
            <w:r>
              <w:rPr>
                <w:rFonts w:hint="eastAsia"/>
                <w:b/>
                <w:sz w:val="18"/>
              </w:rPr>
              <w:t>未来表现</w:t>
            </w:r>
            <w:r>
              <w:rPr>
                <w:rFonts w:hint="eastAsia"/>
                <w:b/>
                <w:bCs/>
                <w:sz w:val="18"/>
                <w:szCs w:val="18"/>
              </w:rPr>
              <w:t>和</w:t>
            </w:r>
            <w:r>
              <w:rPr>
                <w:rFonts w:hint="eastAsia"/>
                <w:b/>
                <w:sz w:val="18"/>
              </w:rPr>
              <w:t>实际收益，不</w:t>
            </w:r>
            <w:r>
              <w:rPr>
                <w:rFonts w:hint="eastAsia"/>
                <w:b/>
                <w:bCs/>
                <w:sz w:val="18"/>
                <w:szCs w:val="18"/>
              </w:rPr>
              <w:t>构成对</w:t>
            </w:r>
            <w:r>
              <w:rPr>
                <w:rFonts w:hint="eastAsia"/>
                <w:b/>
                <w:sz w:val="18"/>
              </w:rPr>
              <w:t>产品收益的</w:t>
            </w:r>
            <w:r>
              <w:rPr>
                <w:rFonts w:hint="eastAsia"/>
                <w:b/>
                <w:bCs/>
                <w:sz w:val="18"/>
                <w:szCs w:val="18"/>
              </w:rPr>
              <w:t>承诺</w:t>
            </w:r>
            <w:r>
              <w:rPr>
                <w:rFonts w:hint="eastAsia"/>
                <w:b/>
                <w:sz w:val="18"/>
              </w:rPr>
              <w:t>，投资须谨慎。</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（适用【</w:t>
            </w:r>
            <w:r>
              <w:rPr>
                <w:rFonts w:hint="eastAsia" w:hAnsi="宋体"/>
                <w:bCs/>
                <w:sz w:val="18"/>
                <w:szCs w:val="18"/>
                <w:lang w:val="en-US" w:eastAsia="zh-CN"/>
              </w:rPr>
              <w:t>F</w:t>
            </w:r>
            <w:r>
              <w:rPr>
                <w:rFonts w:hint="eastAsia" w:hAnsi="宋体"/>
                <w:bCs/>
                <w:sz w:val="18"/>
                <w:szCs w:val="18"/>
              </w:rPr>
              <w:t>】类份额）</w:t>
            </w:r>
          </w:p>
          <w:p>
            <w:pPr>
              <w:spacing w:line="360" w:lineRule="auto"/>
              <w:jc w:val="left"/>
              <w:rPr>
                <w:rFonts w:ascii="宋体" w:hAnsi="宋体"/>
                <w:sz w:val="18"/>
              </w:rPr>
            </w:pPr>
            <w:r>
              <w:rPr>
                <w:rFonts w:ascii="宋体" w:hAnsi="宋体"/>
                <w:b/>
                <w:bCs/>
                <w:sz w:val="18"/>
                <w:szCs w:val="18"/>
              </w:rPr>
              <w:t>1.业绩报酬计提基准的设置</w:t>
            </w:r>
          </w:p>
          <w:p>
            <w:pPr>
              <w:spacing w:line="360" w:lineRule="auto"/>
              <w:jc w:val="left"/>
              <w:rPr>
                <w:rFonts w:ascii="宋体" w:hAnsi="宋体"/>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
                <w:kern w:val="0"/>
                <w:sz w:val="18"/>
                <w:szCs w:val="18"/>
              </w:rPr>
              <w:t xml:space="preserve"> 产品管理人不设置业绩报酬计提基准。</w:t>
            </w:r>
          </w:p>
          <w:p>
            <w:pPr>
              <w:spacing w:line="360" w:lineRule="auto"/>
              <w:jc w:val="left"/>
              <w:rPr>
                <w:rFonts w:ascii="宋体" w:hAnsi="宋体"/>
                <w:b/>
                <w:bCs/>
                <w:sz w:val="18"/>
                <w:szCs w:val="18"/>
              </w:rPr>
            </w:pPr>
            <w:r>
              <w:rPr>
                <w:rFonts w:hint="eastAsia" w:ascii="宋体" w:hAnsi="宋体"/>
                <w:b/>
                <w:bCs/>
                <w:sz w:val="18"/>
                <w:szCs w:val="18"/>
              </w:rPr>
              <w:t>2</w:t>
            </w:r>
            <w:r>
              <w:rPr>
                <w:rFonts w:ascii="宋体" w:hAnsi="宋体"/>
                <w:b/>
                <w:bCs/>
                <w:sz w:val="18"/>
                <w:szCs w:val="18"/>
              </w:rPr>
              <w:t>.业绩报酬计提基准的提示</w:t>
            </w:r>
            <w:r>
              <w:rPr>
                <w:rFonts w:hint="eastAsia" w:ascii="宋体" w:hAnsi="宋体"/>
                <w:b/>
                <w:bCs/>
                <w:sz w:val="18"/>
                <w:szCs w:val="18"/>
              </w:rPr>
              <w:t>：</w:t>
            </w:r>
          </w:p>
          <w:p>
            <w:pPr>
              <w:autoSpaceDE w:val="0"/>
              <w:autoSpaceDN w:val="0"/>
              <w:adjustRightInd w:val="0"/>
              <w:spacing w:line="360" w:lineRule="auto"/>
              <w:jc w:val="left"/>
              <w:rPr>
                <w:rFonts w:ascii="宋体" w:hAnsi="宋体"/>
                <w:b/>
                <w:bCs/>
                <w:sz w:val="18"/>
                <w:szCs w:val="18"/>
              </w:rPr>
            </w:pPr>
            <w:r>
              <w:rPr>
                <w:rFonts w:hint="eastAsia" w:ascii="宋体" w:hAnsi="宋体"/>
                <w:b/>
                <w:bCs/>
                <w:sz w:val="18"/>
                <w:szCs w:val="18"/>
              </w:rPr>
              <w:t>（1）</w:t>
            </w:r>
            <w:r>
              <w:rPr>
                <w:rFonts w:hint="eastAsia"/>
                <w:sz w:val="18"/>
                <w:szCs w:val="18"/>
              </w:rPr>
              <w:t>★</w:t>
            </w:r>
            <w:r>
              <w:rPr>
                <w:rFonts w:hint="eastAsia" w:ascii="宋体" w:hAnsi="宋体"/>
                <w:b/>
                <w:bCs/>
                <w:sz w:val="18"/>
                <w:szCs w:val="18"/>
              </w:rPr>
              <w:t>业绩报酬计提基准仅作为管理人计算超额业绩报酬的参照标准。业绩报酬计提基准不是预期收益率，不代表产品的未来表现和实际收益，不构成对产品收益的承诺，投资须谨慎。</w:t>
            </w:r>
          </w:p>
          <w:p>
            <w:pPr>
              <w:spacing w:line="360" w:lineRule="auto"/>
              <w:jc w:val="left"/>
              <w:rPr>
                <w:rFonts w:ascii="宋体" w:hAnsi="宋体"/>
                <w:b/>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pPr>
              <w:spacing w:line="360" w:lineRule="auto"/>
              <w:jc w:val="left"/>
              <w:rPr>
                <w:rFonts w:ascii="宋体"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F</w:t>
            </w:r>
            <w:r>
              <w:rPr>
                <w:rFonts w:hint="eastAsia" w:asciiTheme="majorEastAsia" w:hAnsiTheme="majorEastAsia" w:eastAsiaTheme="majorEastAsia"/>
                <w:bCs/>
                <w:color w:val="000000" w:themeColor="text1"/>
                <w:sz w:val="18"/>
                <w:szCs w:val="18"/>
                <w14:textFill>
                  <w14:solidFill>
                    <w14:schemeClr w14:val="tx1"/>
                  </w14:solidFill>
                </w14:textFill>
              </w:rPr>
              <w:t>】类份额）</w:t>
            </w:r>
          </w:p>
          <w:p>
            <w:pPr>
              <w:spacing w:line="360" w:lineRule="auto"/>
              <w:rPr>
                <w:rFonts w:ascii="宋体" w:hAnsi="宋体"/>
                <w:b/>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1.</w:t>
            </w:r>
            <w:r>
              <w:rPr>
                <w:rFonts w:hint="eastAsia" w:ascii="宋体" w:hAnsi="宋体"/>
                <w:b/>
                <w:bCs/>
                <w:color w:val="000000" w:themeColor="text1"/>
                <w:sz w:val="18"/>
                <w:szCs w:val="18"/>
                <w14:textFill>
                  <w14:solidFill>
                    <w14:schemeClr w14:val="tx1"/>
                  </w14:solidFill>
                </w14:textFill>
              </w:rPr>
              <w:t>理财产品的费率标准</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（1）认购费：</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（2）</w:t>
            </w:r>
            <w:r>
              <w:rPr>
                <w:rFonts w:ascii="宋体" w:hAnsi="宋体"/>
                <w:b/>
                <w:bCs/>
                <w:color w:val="000000" w:themeColor="text1"/>
                <w:sz w:val="18"/>
                <w:szCs w:val="18"/>
                <w14:textFill>
                  <w14:solidFill>
                    <w14:schemeClr w14:val="tx1"/>
                  </w14:solidFill>
                </w14:textFill>
              </w:rPr>
              <w:t>申购费：</w:t>
            </w:r>
            <w:r>
              <w:rPr>
                <w:rFonts w:hint="eastAsia" w:ascii="宋体" w:hAnsi="宋体"/>
                <w:bCs/>
                <w:color w:val="000000" w:themeColor="text1"/>
                <w:sz w:val="18"/>
                <w:szCs w:val="18"/>
                <w14:textFill>
                  <w14:solidFill>
                    <w14:schemeClr w14:val="tx1"/>
                  </w14:solidFill>
                </w14:textFill>
              </w:rPr>
              <w:t>【/】</w:t>
            </w:r>
            <w:r>
              <w:rPr>
                <w:rFonts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（3）赎回费：</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Theme="majorEastAsia" w:hAnsiTheme="majorEastAsia" w:eastAsiaTheme="majorEastAsia"/>
                <w:b/>
                <w:bCs/>
                <w:color w:val="000000" w:themeColor="text1"/>
                <w:sz w:val="18"/>
                <w:szCs w:val="18"/>
                <w14:textFill>
                  <w14:solidFill>
                    <w14:schemeClr w14:val="tx1"/>
                  </w14:solidFill>
                </w14:textFill>
              </w:rPr>
              <w:t>（4）</w:t>
            </w:r>
            <w:r>
              <w:rPr>
                <w:rFonts w:asciiTheme="majorEastAsia" w:hAnsiTheme="majorEastAsia" w:eastAsiaTheme="majorEastAsia"/>
                <w:b/>
                <w:bCs/>
                <w:color w:val="000000" w:themeColor="text1"/>
                <w:sz w:val="18"/>
                <w:szCs w:val="18"/>
                <w14:textFill>
                  <w14:solidFill>
                    <w14:schemeClr w14:val="tx1"/>
                  </w14:solidFill>
                </w14:textFill>
              </w:rPr>
              <w:t>销售服</w:t>
            </w:r>
            <w:r>
              <w:rPr>
                <w:rFonts w:hint="eastAsia" w:ascii="宋体" w:hAnsi="宋体"/>
                <w:b/>
                <w:bCs/>
                <w:color w:val="000000" w:themeColor="text1"/>
                <w:sz w:val="18"/>
                <w:szCs w:val="18"/>
                <w14:textFill>
                  <w14:solidFill>
                    <w14:schemeClr w14:val="tx1"/>
                  </w14:solidFill>
                </w14:textFill>
              </w:rPr>
              <w:t>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w:t>
            </w:r>
            <w:r>
              <w:rPr>
                <w:rFonts w:hint="eastAsia" w:asciiTheme="majorEastAsia" w:hAnsiTheme="majorEastAsia" w:eastAsiaTheme="majorEastAsia"/>
                <w:sz w:val="18"/>
                <w:szCs w:val="18"/>
              </w:rPr>
              <w:t>4</w:t>
            </w:r>
            <w:r>
              <w:rPr>
                <w:rFonts w:asciiTheme="majorEastAsia" w:hAnsiTheme="majorEastAsia" w:eastAsiaTheme="majorEastAsia"/>
                <w:sz w:val="18"/>
                <w:szCs w:val="18"/>
              </w:rPr>
              <w:t>0</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（5）投资管理费：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.30】</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（6）产品托管费：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.03】</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widowControl/>
              <w:spacing w:line="360" w:lineRule="auto"/>
              <w:jc w:val="left"/>
              <w:rPr>
                <w:rFonts w:ascii="宋体" w:hAnsi="宋体"/>
                <w:b/>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（7）超额业绩报酬：</w:t>
            </w:r>
          </w:p>
          <w:p>
            <w:pPr>
              <w:widowControl/>
              <w:spacing w:line="360" w:lineRule="auto"/>
              <w:jc w:val="left"/>
              <w:rPr>
                <w:rFonts w:ascii="宋体" w:hAnsi="宋体"/>
                <w:sz w:val="18"/>
                <w:szCs w:val="18"/>
              </w:rPr>
            </w:pPr>
            <w:r>
              <w:rPr>
                <w:rFonts w:hint="eastAsia" w:ascii="宋体" w:hAnsi="宋体"/>
                <w:sz w:val="18"/>
                <w:szCs w:val="18"/>
              </w:rPr>
              <w:t>无。</w:t>
            </w:r>
          </w:p>
          <w:p>
            <w:pPr>
              <w:spacing w:line="360" w:lineRule="auto"/>
              <w:rPr>
                <w:rFonts w:ascii="黑体" w:hAnsi="黑体" w:eastAsia="黑体"/>
                <w:bCs/>
                <w:sz w:val="18"/>
                <w:szCs w:val="18"/>
              </w:rPr>
            </w:pPr>
            <w:r>
              <w:rPr>
                <w:rFonts w:hint="eastAsia" w:ascii="宋体" w:hAnsi="宋体"/>
                <w:bCs/>
                <w:sz w:val="18"/>
                <w:szCs w:val="18"/>
              </w:rPr>
              <w:t>2</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permEnd w:id="12"/>
    </w:tbl>
    <w:p>
      <w:pPr>
        <w:pStyle w:val="34"/>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6" w:name="_Toc92377132"/>
      <w:bookmarkStart w:id="7" w:name="_Toc79154666"/>
      <w:bookmarkStart w:id="8" w:name="_Toc4403"/>
      <w:r>
        <w:rPr>
          <w:rFonts w:ascii="Times New Roman"/>
          <w:sz w:val="30"/>
        </w:rPr>
        <w:t>第</w:t>
      </w:r>
      <w:r>
        <w:rPr>
          <w:rFonts w:hint="eastAsia" w:ascii="Times New Roman"/>
          <w:sz w:val="30"/>
        </w:rPr>
        <w:t>三条</w:t>
      </w:r>
      <w:r>
        <w:rPr>
          <w:rFonts w:ascii="Times New Roman"/>
          <w:sz w:val="30"/>
        </w:rPr>
        <w:t xml:space="preserve">  </w:t>
      </w:r>
      <w:bookmarkStart w:id="9" w:name="_Toc79392573"/>
      <w:r>
        <w:rPr>
          <w:rFonts w:hint="eastAsia" w:ascii="Times New Roman"/>
          <w:sz w:val="30"/>
        </w:rPr>
        <w:t>理财产品的认购</w:t>
      </w:r>
      <w:bookmarkEnd w:id="6"/>
      <w:bookmarkEnd w:id="7"/>
      <w:bookmarkEnd w:id="8"/>
    </w:p>
    <w:p>
      <w:pPr>
        <w:spacing w:line="360" w:lineRule="auto"/>
        <w:ind w:firstLine="361" w:firstLineChars="200"/>
        <w:rPr>
          <w:rFonts w:asciiTheme="minorEastAsia" w:hAnsiTheme="minorEastAsia"/>
          <w:b/>
          <w:bCs/>
          <w:sz w:val="18"/>
          <w:szCs w:val="18"/>
        </w:rPr>
      </w:pPr>
      <w:bookmarkStart w:id="10" w:name="_Hlt88031774"/>
      <w:bookmarkEnd w:id="10"/>
      <w:bookmarkStart w:id="11"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12" w:name="_Toc79154667"/>
      <w:bookmarkStart w:id="13" w:name="_Toc92377133"/>
      <w:bookmarkStart w:id="14" w:name="_Toc6529"/>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12"/>
      <w:bookmarkEnd w:id="13"/>
      <w:bookmarkEnd w:id="14"/>
    </w:p>
    <w:bookmarkEnd w:id="11"/>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具体申购时间以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2.申购的方式</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34"/>
        <w:spacing w:line="360" w:lineRule="auto"/>
        <w:ind w:firstLine="360" w:firstLineChars="200"/>
        <w:rPr>
          <w:rFonts w:asciiTheme="majorEastAsia" w:hAnsiTheme="majorEastAsia" w:eastAsiaTheme="majorEastAsia"/>
          <w:bCs/>
          <w:sz w:val="18"/>
          <w:szCs w:val="18"/>
        </w:rPr>
      </w:pPr>
      <w:r>
        <w:rPr>
          <w:rFonts w:hint="eastAsia" w:asciiTheme="minorEastAsia" w:hAnsiTheme="minorEastAsia"/>
          <w:bCs/>
          <w:color w:val="auto"/>
          <w:sz w:val="18"/>
          <w:szCs w:val="18"/>
        </w:rPr>
        <w:t>投资者</w:t>
      </w:r>
      <w:r>
        <w:rPr>
          <w:rFonts w:hint="eastAsia" w:asciiTheme="majorEastAsia" w:hAnsiTheme="majorEastAsia" w:eastAsiaTheme="majorEastAsia"/>
          <w:color w:val="auto"/>
          <w:sz w:val="18"/>
          <w:szCs w:val="18"/>
        </w:rPr>
        <w:t>提交申购申请并不代表申购成功，产品管理人将在申购确认日确认投资者是否申购成功。申购是否成功以管理人的确认结果为准</w:t>
      </w:r>
      <w:r>
        <w:rPr>
          <w:rFonts w:hint="eastAsia" w:asciiTheme="minorEastAsia" w:hAnsiTheme="minorEastAsia" w:eastAsiaTheme="minorEastAsia"/>
          <w:color w:val="auto"/>
          <w:sz w:val="18"/>
          <w:szCs w:val="18"/>
        </w:rPr>
        <w:t>。</w:t>
      </w:r>
      <w:r>
        <w:rPr>
          <w:rFonts w:hint="eastAsia" w:asciiTheme="minorEastAsia" w:hAnsiTheme="minorEastAsia" w:eastAsiaTheme="minorEastAsia"/>
          <w:bCs/>
          <w:color w:val="auto"/>
          <w:sz w:val="18"/>
          <w:szCs w:val="18"/>
        </w:rPr>
        <w:t>投资者可以在申购确认日系统完成处理后，查询产品份额。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w:t>
      </w:r>
      <w:r>
        <w:rPr>
          <w:rFonts w:asciiTheme="minorEastAsia" w:hAnsiTheme="minorEastAsia"/>
          <w:bCs/>
          <w:color w:val="auto"/>
          <w:sz w:val="18"/>
          <w:szCs w:val="18"/>
        </w:rPr>
        <w:t>=申购金额/（1+申购费率）</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w:t>
      </w:r>
      <w:r>
        <w:rPr>
          <w:rFonts w:asciiTheme="minorEastAsia" w:hAnsiTheme="minorEastAsia"/>
          <w:bCs/>
          <w:color w:val="auto"/>
          <w:sz w:val="18"/>
          <w:szCs w:val="18"/>
        </w:rPr>
        <w:t>=申购金额－净申购金额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w:t>
      </w:r>
      <w:r>
        <w:rPr>
          <w:rFonts w:asciiTheme="minorEastAsia" w:hAnsiTheme="minorEastAsia"/>
          <w:bCs/>
          <w:color w:val="auto"/>
          <w:sz w:val="18"/>
          <w:szCs w:val="18"/>
        </w:rPr>
        <w:t>=净申购金额/申购日产品份额净值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具体赎回时间以</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2.赎回的方式</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w:t>
      </w: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w:t>
      </w:r>
      <w:r>
        <w:rPr>
          <w:rFonts w:asciiTheme="majorEastAsia" w:hAnsiTheme="majorEastAsia" w:eastAsiaTheme="majorEastAsia"/>
          <w:color w:val="auto"/>
          <w:sz w:val="18"/>
          <w:szCs w:val="18"/>
        </w:rPr>
        <w:t>=赎回份额×赎回日该产品份额净值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w:t>
      </w:r>
      <w:r>
        <w:rPr>
          <w:rFonts w:asciiTheme="majorEastAsia" w:hAnsiTheme="majorEastAsia" w:eastAsiaTheme="majorEastAsia"/>
          <w:color w:val="auto"/>
          <w:sz w:val="18"/>
          <w:szCs w:val="18"/>
        </w:rPr>
        <w:t>=赎回总金额×赎回费率</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w:t>
      </w:r>
      <w:r>
        <w:rPr>
          <w:rFonts w:asciiTheme="majorEastAsia" w:hAnsiTheme="majorEastAsia" w:eastAsiaTheme="majorEastAsia"/>
          <w:color w:val="auto"/>
          <w:sz w:val="18"/>
          <w:szCs w:val="18"/>
        </w:rPr>
        <w:t>=赎回总金额-赎回费用</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w:t>
      </w:r>
      <w:r>
        <w:rPr>
          <w:rFonts w:hint="eastAsia" w:asciiTheme="majorEastAsia" w:hAnsiTheme="majorEastAsia" w:eastAsiaTheme="majorEastAsia"/>
          <w:b/>
          <w:color w:val="auto"/>
          <w:sz w:val="18"/>
          <w:szCs w:val="18"/>
        </w:rPr>
        <w:t>申购与赎回的原则</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日交易时间截止</w:t>
      </w:r>
      <w:r>
        <w:rPr>
          <w:rFonts w:asciiTheme="majorEastAsia" w:hAnsiTheme="majorEastAsia" w:eastAsiaTheme="majorEastAsia"/>
          <w:color w:val="auto"/>
          <w:sz w:val="18"/>
          <w:szCs w:val="18"/>
        </w:rPr>
        <w:t>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（四）拒绝或暂停申购的情形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（五）暂停赎回或延缓支付赎回款项的情形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。（3）法律法规规定或监管机构规定的其他措施。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（七）日期遇非工作日的调整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（八）投资者持有理财份额的限额和理财产品总规模限额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9"/>
    <w:p>
      <w:pPr>
        <w:pStyle w:val="2"/>
        <w:spacing w:before="0" w:after="0" w:line="360" w:lineRule="auto"/>
        <w:jc w:val="center"/>
        <w:rPr>
          <w:rFonts w:ascii="Times New Roman"/>
          <w:sz w:val="30"/>
        </w:rPr>
      </w:pPr>
      <w:bookmarkStart w:id="15" w:name="_Toc29948"/>
      <w:bookmarkStart w:id="16" w:name="_Toc12517"/>
      <w:bookmarkStart w:id="17" w:name="_Toc15203"/>
      <w:bookmarkStart w:id="18" w:name="_Toc27189"/>
      <w:bookmarkStart w:id="19" w:name="_Toc29784"/>
      <w:bookmarkStart w:id="20" w:name="_Toc90742688"/>
      <w:bookmarkStart w:id="21" w:name="_Toc90742390"/>
      <w:bookmarkStart w:id="22" w:name="_Toc79154668"/>
      <w:bookmarkStart w:id="23" w:name="_Toc3266"/>
      <w:bookmarkStart w:id="24" w:name="_Toc90742321"/>
      <w:bookmarkStart w:id="25" w:name="_Toc16265"/>
      <w:bookmarkStart w:id="26" w:name="_Toc27226"/>
      <w:bookmarkStart w:id="27" w:name="_Toc92377134"/>
      <w:bookmarkStart w:id="28" w:name="_Toc7151"/>
      <w:bookmarkStart w:id="29" w:name="_Toc6714"/>
      <w:bookmarkStart w:id="30" w:name="_Toc74065741"/>
      <w:bookmarkStart w:id="31" w:name="_Toc22074"/>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34"/>
        <w:spacing w:line="360" w:lineRule="auto"/>
        <w:ind w:firstLine="360" w:firstLineChars="200"/>
        <w:rPr>
          <w:rFonts w:asciiTheme="majorEastAsia" w:hAnsiTheme="majorEastAsia" w:eastAsiaTheme="majorEastAsia"/>
          <w:bCs/>
          <w:sz w:val="18"/>
          <w:szCs w:val="18"/>
        </w:rPr>
      </w:pPr>
      <w:permStart w:id="13" w:edGrp="everyone"/>
      <w:r>
        <w:rPr>
          <w:rFonts w:hint="eastAsia" w:asciiTheme="majorEastAsia" w:hAnsiTheme="majorEastAsia" w:eastAsiaTheme="majorEastAsia"/>
          <w:bCs/>
          <w:color w:val="auto"/>
          <w:sz w:val="18"/>
          <w:szCs w:val="18"/>
        </w:rPr>
        <w:t>【</w:t>
      </w:r>
      <w:r>
        <w:rPr>
          <w:rFonts w:hint="eastAsia" w:asciiTheme="majorEastAsia" w:hAnsiTheme="majorEastAsia" w:eastAsiaTheme="majorEastAsia"/>
          <w:color w:val="auto"/>
          <w:sz w:val="18"/>
          <w:szCs w:val="18"/>
        </w:rPr>
        <w:t>在严格控制组合风险的前提下，通过不断优化组合，力争实现超越业绩比较基准的收益。</w:t>
      </w:r>
      <w:r>
        <w:rPr>
          <w:rFonts w:hint="eastAsia" w:asciiTheme="majorEastAsia" w:hAnsiTheme="majorEastAsia" w:eastAsiaTheme="majorEastAsia"/>
          <w:bCs/>
          <w:color w:val="auto"/>
          <w:sz w:val="18"/>
          <w:szCs w:val="18"/>
        </w:rPr>
        <w:t>】</w:t>
      </w:r>
    </w:p>
    <w:permEnd w:id="13"/>
    <w:p>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本产品主要投资范围包括但不限于（实际投资范围可根据法律法规及监管规定进行调整）：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permStart w:id="14" w:edGrp="everyone"/>
      <w:r>
        <w:rPr>
          <w:rFonts w:hint="eastAsia" w:asciiTheme="majorEastAsia" w:hAnsiTheme="majorEastAsia" w:eastAsiaTheme="majorEastAsia"/>
          <w:bCs/>
          <w:kern w:val="0"/>
          <w:sz w:val="18"/>
          <w:szCs w:val="18"/>
        </w:rPr>
        <w:t>（1）银行存款、债券逆回购、货币基金等货币市场工具及其它银行间和交易所资金融通工具。</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国债、金融债、地方政府债、央行票据、同业存单、短期融资券、超短期融资券、中期票据、企业债、公司债、非公开定向债务融资工具、项目收益债、项目收益票据、资产支持证券、次级债等银行间和交易所市场债券及债务融资工具，以及其他固定收益类投资工具等。</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（3）国债期货、利率互换、债券借贷。</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（4）投资于上述资产的符合监管要求的公募基金、基金公司或子公司资产管理计划、证券公司资产管理计划、保险资产管理计划及信托计划等。</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（5）其他风险不高于前述资产的资产。</w:t>
      </w:r>
    </w:p>
    <w:permEnd w:id="14"/>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2.投资组合比例</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permStart w:id="15" w:edGrp="everyone"/>
      <w:r>
        <w:rPr>
          <w:rFonts w:hint="eastAsia" w:asciiTheme="majorEastAsia" w:hAnsiTheme="majorEastAsia" w:eastAsiaTheme="majorEastAsia"/>
          <w:bCs/>
          <w:kern w:val="0"/>
          <w:sz w:val="18"/>
          <w:szCs w:val="18"/>
        </w:rPr>
        <w:t>本产品投资于债权类资产的比例不低于产品总资产的80%。</w:t>
      </w:r>
    </w:p>
    <w:permEnd w:id="15"/>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.如果法律法规对本销售文件约定投资组合比例限制进行变更的，以变更后的规定为准。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permStart w:id="16" w:edGrp="everyone"/>
      <w:r>
        <w:rPr>
          <w:rFonts w:hint="eastAsia" w:asciiTheme="majorEastAsia" w:hAnsiTheme="majorEastAsia" w:eastAsiaTheme="majorEastAsia"/>
          <w:bCs/>
          <w:sz w:val="18"/>
          <w:szCs w:val="18"/>
        </w:rPr>
        <w:t>【</w:t>
      </w:r>
      <w:r>
        <w:rPr>
          <w:rFonts w:ascii="黑体" w:hAnsi="黑体" w:eastAsia="黑体"/>
          <w:bCs/>
          <w:sz w:val="18"/>
          <w:szCs w:val="18"/>
        </w:rPr>
        <w:t>3】</w:t>
      </w:r>
      <w:r>
        <w:rPr>
          <w:rFonts w:hint="eastAsia" w:ascii="黑体" w:hAnsi="黑体" w:eastAsia="黑体"/>
          <w:bCs/>
          <w:sz w:val="18"/>
          <w:szCs w:val="18"/>
        </w:rPr>
        <w:t>个月</w:t>
      </w:r>
      <w:permEnd w:id="16"/>
      <w:r>
        <w:rPr>
          <w:rFonts w:hint="eastAsia" w:ascii="黑体" w:hAnsi="黑体" w:eastAsia="黑体"/>
          <w:bCs/>
          <w:sz w:val="18"/>
          <w:szCs w:val="18"/>
        </w:rPr>
        <w:t>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应当符合本销售文件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销售文件</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pStyle w:val="34"/>
        <w:spacing w:line="360" w:lineRule="auto"/>
        <w:ind w:firstLine="360" w:firstLineChars="200"/>
        <w:rPr>
          <w:rFonts w:asciiTheme="majorEastAsia" w:hAnsiTheme="majorEastAsia" w:eastAsiaTheme="majorEastAsia"/>
          <w:color w:val="auto"/>
          <w:sz w:val="18"/>
          <w:szCs w:val="18"/>
        </w:rPr>
      </w:pPr>
      <w:permStart w:id="17" w:edGrp="everyone"/>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每只公募理财产品投资单只证券或者单只公募证券投资基金的市值不得超过该理财产品净资产的10%。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（3）全部理财产品持有单一上市公司发行的股票，不得超过该上市公司可流通股票的30%。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（4）全部开放式公募理财产品投资单一上市公司发行的股票不得超过该上市公司可流通股票的15%。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每只开放式公募理财产品和每个交易日开放的私募理财产品直接投资于流动性受限资产的市值在开放日不得超过该产品资产净值的15%。每只定期开放式私募理财产品直接投资于流动性受限资产的市值在开放日不得超过该产品资产净值的20%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面向单一投资者发行的私募理财产品可不受前款比例限制。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6）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7）每只开放式理财产品每日确认且需当日支付的净赎回申请不超过前一工作日产品7个工作日可变现资产的可变现价值，银保监会另有规定的除外。在开放日前一工作日内，每只开放式理财产品7个工作日可变现资产的可变现价值应当不低于该产品资产净值的10%。 </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面向单一投资者发行的私募理财产品可不受本条规定限制。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（8）本产品因为流动性需要可开展存单质押、债券正回购等融资业务，本产品总资产不超过净资产的140%。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ermEnd w:id="17"/>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销售文件</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34"/>
        <w:spacing w:line="360" w:lineRule="auto"/>
        <w:ind w:firstLine="360" w:firstLineChars="200"/>
        <w:rPr>
          <w:rFonts w:hint="eastAsia" w:asciiTheme="majorEastAsia" w:hAnsiTheme="majorEastAsia" w:eastAsiaTheme="majorEastAsia"/>
          <w:bCs/>
          <w:color w:val="auto"/>
          <w:sz w:val="18"/>
          <w:szCs w:val="18"/>
        </w:rPr>
      </w:pPr>
      <w:permStart w:id="18" w:edGrp="everyone"/>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本产品将采用ESG投资理念，引入对融资主体和项目在社会责任、环境保护、公司治理方面的考量，在追求投资业绩的同时，影响或者推动企业社会责任的履行，促进社会的和谐发展。】</w:t>
      </w:r>
    </w:p>
    <w:permEnd w:id="18"/>
    <w:p>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32" w:name="_Toc21988"/>
      <w:bookmarkStart w:id="33" w:name="_Toc26986"/>
      <w:bookmarkStart w:id="34" w:name="_Toc92377135"/>
      <w:bookmarkStart w:id="35" w:name="_Toc27967"/>
      <w:bookmarkStart w:id="36" w:name="_Toc18526"/>
      <w:bookmarkStart w:id="37" w:name="_Toc7848"/>
      <w:bookmarkStart w:id="38" w:name="_Toc139991735"/>
      <w:bookmarkStart w:id="39" w:name="_Toc79154669"/>
      <w:bookmarkStart w:id="40" w:name="_Toc74065742"/>
      <w:bookmarkStart w:id="41" w:name="_Toc14893"/>
      <w:bookmarkStart w:id="42" w:name="_Toc4741"/>
      <w:bookmarkStart w:id="43" w:name="_Toc18329"/>
      <w:bookmarkStart w:id="44" w:name="_Toc17912"/>
      <w:bookmarkStart w:id="45" w:name="_Toc1823"/>
      <w:bookmarkStart w:id="46" w:name="_Toc141703885"/>
      <w:bookmarkStart w:id="47" w:name="_Toc18797"/>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pPr>
        <w:pStyle w:val="34"/>
        <w:spacing w:line="360" w:lineRule="auto"/>
        <w:ind w:firstLine="361" w:firstLineChars="200"/>
        <w:rPr>
          <w:rFonts w:asciiTheme="majorEastAsia" w:hAnsiTheme="majorEastAsia" w:eastAsiaTheme="majorEastAsia"/>
          <w:b/>
          <w:color w:val="auto"/>
          <w:sz w:val="18"/>
          <w:szCs w:val="18"/>
        </w:rPr>
      </w:pPr>
      <w:bookmarkStart w:id="48" w:name="_Hlk490214295"/>
      <w:r>
        <w:rPr>
          <w:rFonts w:hint="eastAsia" w:asciiTheme="majorEastAsia" w:hAnsiTheme="majorEastAsia" w:eastAsiaTheme="majorEastAsia"/>
          <w:b/>
          <w:color w:val="auto"/>
          <w:sz w:val="18"/>
          <w:szCs w:val="18"/>
        </w:rPr>
        <w:t>（一）理财产品的资产的保管和处分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48"/>
    <w:p>
      <w:pPr>
        <w:pStyle w:val="2"/>
        <w:spacing w:before="0" w:after="0" w:line="360" w:lineRule="auto"/>
        <w:jc w:val="center"/>
        <w:rPr>
          <w:rFonts w:ascii="Times New Roman"/>
          <w:sz w:val="28"/>
          <w:szCs w:val="28"/>
        </w:rPr>
      </w:pPr>
      <w:bookmarkStart w:id="49" w:name="_Toc83391971"/>
      <w:bookmarkStart w:id="50" w:name="_Toc13903"/>
      <w:bookmarkStart w:id="51" w:name="_Toc92377136"/>
      <w:bookmarkStart w:id="52" w:name="_Toc79392606"/>
      <w:bookmarkStart w:id="53" w:name="_Toc79154670"/>
      <w:bookmarkStart w:id="54" w:name="_Toc123112234"/>
      <w:bookmarkStart w:id="55" w:name="_Toc610"/>
      <w:bookmarkStart w:id="56" w:name="_Toc74065743"/>
      <w:bookmarkStart w:id="57" w:name="_Toc17244"/>
      <w:bookmarkStart w:id="58" w:name="_Toc141703886"/>
      <w:bookmarkStart w:id="59" w:name="_Toc4003"/>
      <w:bookmarkStart w:id="60" w:name="_Toc7920"/>
      <w:bookmarkStart w:id="61" w:name="_Toc48649707"/>
      <w:bookmarkStart w:id="62" w:name="_Toc98560352"/>
      <w:bookmarkStart w:id="63" w:name="_Toc23261"/>
      <w:bookmarkStart w:id="64" w:name="_Toc1270"/>
      <w:bookmarkStart w:id="65" w:name="_Toc20733"/>
      <w:bookmarkStart w:id="66" w:name="_Toc1427"/>
      <w:bookmarkStart w:id="67" w:name="_Toc123051452"/>
      <w:bookmarkStart w:id="68" w:name="_Toc23822"/>
      <w:bookmarkStart w:id="69" w:name="_Toc123102453"/>
      <w:bookmarkStart w:id="70" w:name="_Toc139991736"/>
      <w:bookmarkStart w:id="71" w:name="_Toc10463"/>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49"/>
      <w:bookmarkEnd w:id="50"/>
      <w:bookmarkEnd w:id="51"/>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pPr>
        <w:pStyle w:val="20"/>
        <w:spacing w:line="360" w:lineRule="auto"/>
        <w:ind w:firstLine="360" w:firstLineChars="200"/>
        <w:rPr>
          <w:rFonts w:asciiTheme="minorEastAsia" w:hAnsiTheme="minorEastAsia" w:eastAsiaTheme="minorEastAsia"/>
          <w:color w:val="2E3033"/>
          <w:sz w:val="18"/>
          <w:szCs w:val="18"/>
        </w:rPr>
      </w:pPr>
      <w:permStart w:id="19" w:edGrp="everyone"/>
      <w:r>
        <w:rPr>
          <w:rFonts w:hint="eastAsia" w:asciiTheme="minorEastAsia" w:hAnsiTheme="minorEastAsia" w:eastAsiaTheme="minorEastAsia"/>
          <w:sz w:val="18"/>
          <w:szCs w:val="18"/>
        </w:rPr>
        <w:t>本产品存续期间</w:t>
      </w:r>
      <w:r>
        <w:rPr>
          <w:rFonts w:hint="eastAsia" w:cs="Times New Roman" w:asciiTheme="minorEastAsia" w:hAnsiTheme="minorEastAsia" w:eastAsiaTheme="minorEastAsia"/>
          <w:sz w:val="18"/>
          <w:szCs w:val="18"/>
        </w:rPr>
        <w:t>，每个【工作日】进行一次估值</w:t>
      </w:r>
      <w:r>
        <w:rPr>
          <w:rFonts w:hint="eastAsia" w:asciiTheme="minorEastAsia" w:hAnsiTheme="minorEastAsia" w:eastAsiaTheme="minorEastAsia"/>
          <w:color w:val="2E3033"/>
          <w:sz w:val="18"/>
          <w:szCs w:val="18"/>
        </w:rPr>
        <w:t>。</w:t>
      </w:r>
    </w:p>
    <w:permEnd w:id="19"/>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pPr>
        <w:pStyle w:val="34"/>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标准化债权类资产估值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1）债券类资产以公允价值计量，主要依据为第三方估值机构提供的价格数据。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2）在证券交易所上市的债券，如第三方估值机构提供的估值价格与市场收盘价存在差异，且管理人认为收盘价更能体现其公允价值，可与托管人协商一致后采用收盘价进行估值。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对在交易所上市的资产支持证券和私募债，鉴于其不存在活跃市场，或未来现金流难以确定，导致第三方估值数据和市场收盘价均无法准确反映其公允价值的，可采用估值技术对其进行估值，管理人会对估值模型的有效性进行持续有效评估，并尽可能地予以修正。</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对在银行间市场或交易所市场已发行未上市流通的债券，且第三方估值机构未提供估值数据，采用估值技术确定其公允价值。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5）同一债券同时在两个或两个以上市场交易的，按债券所处的市场及相应的估值标准，分别进行估值。</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b/>
          <w:color w:val="auto"/>
          <w:sz w:val="18"/>
        </w:rPr>
        <w:t>2.</w:t>
      </w:r>
      <w:r>
        <w:rPr>
          <w:rFonts w:hint="eastAsia" w:asciiTheme="majorEastAsia" w:hAnsiTheme="majorEastAsia" w:eastAsiaTheme="majorEastAsia"/>
          <w:b/>
          <w:bCs/>
          <w:color w:val="auto"/>
          <w:sz w:val="18"/>
          <w:szCs w:val="18"/>
        </w:rPr>
        <w:t>境外债券</w:t>
      </w:r>
    </w:p>
    <w:p>
      <w:pPr>
        <w:pStyle w:val="34"/>
        <w:spacing w:line="360" w:lineRule="auto"/>
        <w:ind w:firstLine="360" w:firstLineChars="200"/>
        <w:rPr>
          <w:rFonts w:asciiTheme="majorEastAsia" w:hAnsi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3.非标准化债权类资产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4.上市公司股票</w:t>
      </w:r>
      <w:r>
        <w:rPr>
          <w:rFonts w:hint="eastAsia" w:asciiTheme="majorEastAsia" w:hAnsiTheme="majorEastAsia" w:eastAsiaTheme="majorEastAsia"/>
          <w:b/>
          <w:bCs/>
          <w:color w:val="auto"/>
          <w:sz w:val="18"/>
          <w:szCs w:val="18"/>
        </w:rPr>
        <w:t>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5.未上市公司股权</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6.</w:t>
      </w:r>
      <w:r>
        <w:rPr>
          <w:rFonts w:hint="eastAsia" w:asciiTheme="minorEastAsia" w:hAnsiTheme="minorEastAsia" w:eastAsiaTheme="minorEastAsia"/>
          <w:b/>
          <w:color w:val="auto"/>
          <w:sz w:val="18"/>
          <w:szCs w:val="18"/>
        </w:rPr>
        <w:t>优先股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eastAsiaTheme="minorEastAsia"/>
          <w:b/>
          <w:color w:val="auto"/>
          <w:sz w:val="18"/>
          <w:szCs w:val="18"/>
        </w:rPr>
        <w:t>证券投资基金估值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2)本产品投资的境内上市开放式基金（LOF），按所投资基金估值日的基金份额净值估值；估值日基金净值未公布的，以基金管理人公布的最近一个工作日基金份额净值计算。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其他资产管理产品的估值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若无法获取净值，产品管理人可与托管人商定后，采用在当前情况下适用的估值技术确定公允价值。</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9.衍生金融工具估值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hAnsiTheme="minorEastAsia" w:eastAsiaTheme="minorEastAsia"/>
          <w:color w:val="auto"/>
          <w:sz w:val="18"/>
          <w:szCs w:val="18"/>
        </w:rPr>
        <w:t xml:space="preserve"> </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10.</w:t>
      </w:r>
      <w:r>
        <w:rPr>
          <w:rFonts w:hint="eastAsia" w:asciiTheme="minorEastAsia" w:hAnsiTheme="minorEastAsia" w:eastAsiaTheme="minorEastAsia"/>
          <w:b/>
          <w:color w:val="auto"/>
          <w:sz w:val="18"/>
          <w:szCs w:val="18"/>
        </w:rPr>
        <w:t>存款、拆借、回购等货币市场工具的估值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w:t>
      </w:r>
      <w:r>
        <w:rPr>
          <w:rFonts w:hint="eastAsia"/>
        </w:rPr>
        <w:t xml:space="preserve"> </w:t>
      </w:r>
      <w:r>
        <w:rPr>
          <w:rFonts w:hint="eastAsia" w:asciiTheme="minorEastAsia" w:hAnsiTheme="minorEastAsia" w:eastAsiaTheme="minorEastAsia"/>
          <w:color w:val="auto"/>
          <w:sz w:val="18"/>
          <w:szCs w:val="18"/>
        </w:rPr>
        <w:t>当开放式公募理财产品（现金管理类理财产品除外）遭遇大额申购或赎回时，管理人可以采用摆动定价机制，以确保估值的公平性。具体操作按照相关法律法规、监管规定和自律规则执行。</w:t>
      </w:r>
    </w:p>
    <w:p>
      <w:pPr>
        <w:pStyle w:val="34"/>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pPr>
        <w:pStyle w:val="34"/>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 xml:space="preserve">3. </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34"/>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Pr>
        <w:pStyle w:val="2"/>
        <w:spacing w:before="0" w:after="0" w:line="360" w:lineRule="auto"/>
        <w:ind w:left="60" w:firstLine="10"/>
        <w:jc w:val="center"/>
        <w:rPr>
          <w:rFonts w:ascii="Times New Roman"/>
          <w:sz w:val="30"/>
        </w:rPr>
      </w:pPr>
      <w:bookmarkStart w:id="72" w:name="_Hlt70481650"/>
      <w:bookmarkEnd w:id="72"/>
      <w:bookmarkStart w:id="73" w:name="_Toc4020"/>
      <w:bookmarkStart w:id="74" w:name="_Toc123112235"/>
      <w:bookmarkStart w:id="75" w:name="_Toc139991737"/>
      <w:bookmarkStart w:id="76" w:name="_Toc141703887"/>
      <w:bookmarkStart w:id="77" w:name="_Toc31235"/>
      <w:bookmarkStart w:id="78" w:name="_Toc29251"/>
      <w:bookmarkStart w:id="79" w:name="_Toc12245"/>
      <w:bookmarkStart w:id="80" w:name="_Toc123051453"/>
      <w:bookmarkStart w:id="81" w:name="_Toc98560353"/>
      <w:bookmarkStart w:id="82" w:name="_Toc123102454"/>
      <w:bookmarkStart w:id="83" w:name="_Toc3601"/>
      <w:bookmarkStart w:id="84" w:name="_Toc26207"/>
      <w:bookmarkStart w:id="85" w:name="_Toc79154671"/>
      <w:bookmarkStart w:id="86" w:name="_Toc31644"/>
      <w:bookmarkStart w:id="87" w:name="_Toc31653"/>
      <w:bookmarkStart w:id="88" w:name="_Toc74065744"/>
      <w:bookmarkStart w:id="89" w:name="_Toc15143"/>
      <w:bookmarkStart w:id="90" w:name="_Toc6405"/>
      <w:bookmarkStart w:id="91" w:name="_Toc14835"/>
      <w:bookmarkStart w:id="92" w:name="_Toc92377137"/>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Start w:id="93" w:name="_Hlt55355235"/>
      <w:bookmarkEnd w:id="93"/>
      <w:bookmarkStart w:id="94" w:name="_Toc79392580"/>
      <w:bookmarkStart w:id="95" w:name="_Toc15118234"/>
      <w:bookmarkStart w:id="96" w:name="_Toc523711668"/>
      <w:bookmarkStart w:id="97" w:name="_Toc57530239"/>
    </w:p>
    <w:p>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34"/>
        <w:spacing w:line="360" w:lineRule="auto"/>
        <w:ind w:firstLine="361" w:firstLineChars="200"/>
        <w:rPr>
          <w:rFonts w:hAnsi="宋体"/>
          <w:b/>
          <w:bCs/>
          <w:color w:val="auto"/>
          <w:sz w:val="18"/>
          <w:szCs w:val="18"/>
        </w:rPr>
      </w:pPr>
      <w:permStart w:id="20" w:edGrp="everyone"/>
      <w:r>
        <w:rPr>
          <w:rFonts w:hint="eastAsia" w:hAnsi="宋体"/>
          <w:b/>
          <w:bCs/>
          <w:color w:val="auto"/>
          <w:sz w:val="18"/>
          <w:szCs w:val="18"/>
        </w:rPr>
        <w:t>1.分配方案要点：</w:t>
      </w:r>
    </w:p>
    <w:p>
      <w:pPr>
        <w:pStyle w:val="34"/>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34"/>
        <w:spacing w:line="360" w:lineRule="auto"/>
        <w:ind w:firstLine="360" w:firstLineChars="200"/>
        <w:rPr>
          <w:rFonts w:hAnsi="宋体"/>
          <w:color w:val="auto"/>
          <w:sz w:val="18"/>
          <w:szCs w:val="18"/>
        </w:rPr>
      </w:pPr>
      <w:r>
        <w:rPr>
          <w:rFonts w:hint="eastAsia" w:hAnsi="宋体"/>
          <w:color w:val="auto"/>
          <w:sz w:val="18"/>
          <w:szCs w:val="18"/>
        </w:rPr>
        <w:t>3.理财产品存续期间，产品管理人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ermEnd w:id="20"/>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34"/>
        <w:spacing w:line="360" w:lineRule="auto"/>
        <w:ind w:firstLine="360" w:firstLineChars="200"/>
        <w:rPr>
          <w:rFonts w:hAnsi="宋体"/>
          <w:color w:val="auto"/>
          <w:sz w:val="18"/>
          <w:szCs w:val="18"/>
        </w:rPr>
      </w:pPr>
      <w:permStart w:id="21" w:edGrp="everyone"/>
      <w:r>
        <w:rPr>
          <w:rFonts w:hint="eastAsia" w:hAnsi="宋体"/>
          <w:color w:val="auto"/>
          <w:sz w:val="18"/>
          <w:szCs w:val="18"/>
        </w:rPr>
        <w:t>1.理财利益的分配日</w:t>
      </w:r>
    </w:p>
    <w:p>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34"/>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
    <w:permEnd w:id="21"/>
    <w:p>
      <w:pPr>
        <w:widowControl/>
        <w:spacing w:line="360" w:lineRule="auto"/>
        <w:jc w:val="left"/>
        <w:rPr>
          <w:rFonts w:ascii="宋体" w:hAnsi="宋体"/>
          <w:kern w:val="0"/>
          <w:sz w:val="18"/>
          <w:szCs w:val="18"/>
        </w:rPr>
      </w:pPr>
      <w:r>
        <w:rPr>
          <w:rFonts w:hAnsi="宋体"/>
          <w:sz w:val="18"/>
          <w:szCs w:val="18"/>
        </w:rPr>
        <w:br w:type="page"/>
      </w:r>
    </w:p>
    <w:bookmarkEnd w:id="94"/>
    <w:bookmarkEnd w:id="95"/>
    <w:bookmarkEnd w:id="96"/>
    <w:bookmarkEnd w:id="97"/>
    <w:p>
      <w:pPr>
        <w:pStyle w:val="2"/>
        <w:spacing w:before="0" w:after="0" w:line="360" w:lineRule="auto"/>
        <w:jc w:val="center"/>
        <w:rPr>
          <w:rFonts w:ascii="Times New Roman"/>
          <w:sz w:val="30"/>
        </w:rPr>
      </w:pPr>
      <w:bookmarkStart w:id="98" w:name="_Hlt88825574"/>
      <w:bookmarkEnd w:id="98"/>
      <w:bookmarkStart w:id="99" w:name="_Hlt88897298"/>
      <w:bookmarkEnd w:id="99"/>
      <w:bookmarkStart w:id="100" w:name="_Toc18567"/>
      <w:bookmarkStart w:id="101" w:name="_Toc10650"/>
      <w:bookmarkStart w:id="102" w:name="_Toc6394"/>
      <w:bookmarkStart w:id="103" w:name="_Toc7058"/>
      <w:bookmarkStart w:id="104" w:name="_Toc25783"/>
      <w:bookmarkStart w:id="105" w:name="_Toc123051454"/>
      <w:bookmarkStart w:id="106" w:name="_Toc6447"/>
      <w:bookmarkStart w:id="107" w:name="_Toc123102455"/>
      <w:bookmarkStart w:id="108" w:name="_Toc123112236"/>
      <w:bookmarkStart w:id="109" w:name="_Toc74065745"/>
      <w:bookmarkStart w:id="110" w:name="_Toc3321"/>
      <w:bookmarkStart w:id="111" w:name="_Toc98560354"/>
      <w:bookmarkStart w:id="112" w:name="_Toc139991738"/>
      <w:bookmarkStart w:id="113" w:name="_Toc92377138"/>
      <w:bookmarkStart w:id="114" w:name="_Toc141703888"/>
      <w:bookmarkStart w:id="115" w:name="_Toc79154672"/>
      <w:bookmarkStart w:id="116" w:name="_Toc79392583"/>
      <w:bookmarkStart w:id="117" w:name="_Toc11030"/>
      <w:bookmarkStart w:id="118" w:name="_Toc9706"/>
      <w:bookmarkStart w:id="119" w:name="_Toc3771"/>
      <w:bookmarkStart w:id="120" w:name="_Toc4559"/>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Style w:val="30"/>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Theme="majorEastAsia" w:hAnsiTheme="majorEastAsia" w:eastAsiaTheme="majorEastAsia"/>
          <w:sz w:val="18"/>
          <w:szCs w:val="18"/>
        </w:rPr>
      </w:pPr>
      <w:permStart w:id="22" w:edGrp="everyone"/>
      <w:r>
        <w:rPr>
          <w:rFonts w:hint="eastAsia" w:asciiTheme="majorEastAsia" w:hAnsiTheme="majorEastAsia" w:eastAsiaTheme="majorEastAsia"/>
          <w:sz w:val="18"/>
          <w:szCs w:val="18"/>
        </w:rPr>
        <w:t>在超额业绩报酬计提日时，若理财资产扣除销售服务费、产品托管费和投资管理费等相关费用和税收后，超额业绩报酬计提日产品份额净值折算的当前年化收益率超过当前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，则产品管理人收取超出部分的一定比例作为超额业绩报酬。</w:t>
      </w:r>
      <w:r>
        <w:rPr>
          <w:rFonts w:hint="eastAsia" w:ascii="黑体" w:hAnsi="黑体" w:eastAsia="黑体"/>
          <w:sz w:val="18"/>
          <w:szCs w:val="18"/>
        </w:rPr>
        <w:t>★</w:t>
      </w:r>
      <w:r>
        <w:rPr>
          <w:rFonts w:hint="eastAsia" w:asciiTheme="majorEastAsia" w:hAnsiTheme="majorEastAsia" w:eastAsiaTheme="majorEastAsia"/>
          <w:sz w:val="18"/>
          <w:szCs w:val="18"/>
        </w:rPr>
        <w:t>由此造成超额业绩报酬计提日产品份额净值调整的，以调整后的数值为准进行利益分配。</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业绩报酬计提基准的设置、超额业绩报酬的具体比例数值以《</w:t>
      </w:r>
      <w:r>
        <w:rPr>
          <w:rFonts w:hint="eastAsia" w:asciiTheme="majorEastAsia" w:hAnsiTheme="majorEastAsia" w:eastAsiaTheme="majorEastAsia"/>
          <w:bCs/>
          <w:sz w:val="18"/>
          <w:szCs w:val="18"/>
        </w:rPr>
        <w:t>产品说明</w:t>
      </w:r>
      <w:r>
        <w:rPr>
          <w:rFonts w:hint="eastAsia" w:asciiTheme="majorEastAsia" w:hAnsiTheme="majorEastAsia" w:eastAsiaTheme="majorEastAsia"/>
          <w:sz w:val="18"/>
          <w:szCs w:val="18"/>
        </w:rPr>
        <w:t>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1）收取超额业绩报酬的原则：</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①按投资者每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产品份额分别计算年化收益率并计提超额业绩报酬；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②在超额业绩报酬计提日，本产品对符合超额业绩报酬提取条件的产品份额计提超额业绩报酬；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③在投资者提出赎回申请的产品份额所对应的赎回日提取超额业绩报酬的，超额业绩报酬从赎回资金中扣除；在产品终止日提取超额业绩报酬的，超额业绩报酬从清算资金中扣除；</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2）超额业绩报酬计提方法</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产品份额超额业绩报酬计提起始日为：a.募集期内认购的产品份额，以产品成立日为该笔产品份额超额业绩报酬计提起始日；b.存续期内申购的产品份额，以申购日为该笔产品份额超额业绩报酬计提起始日。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②超额业绩报酬计提日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产品份额超额业绩报酬计提日为投资者提出赎回申请的产品份额所对应的赎回日或产品终止日。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③超额业绩报酬的计算</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产品管理人对每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份额当前年化收益率（R）超过当前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的部分，按比例（N）以及产品份额持有天数（D）提取超额业绩报酬，计算方法如下：</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，超额业绩报酬=0；</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，超额业绩报酬=赎回的产品份额或产品终止时投资者持有的产品份额×产品成立日或产品份额申购日的产品份额净值×（R-当前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）×N×D/365。</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若该产品份额持有期间，业绩报酬计提基准和比例有所调整，以该产品份额持有期间调整前后的业绩报酬计提基准和比例分别测算整个份额持有期间应收取的超额业绩报酬数值，并以较小的数值来收取超额业绩报酬。</w:t>
      </w:r>
    </w:p>
    <w:permEnd w:id="22"/>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34"/>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21" w:name="_Toc1745"/>
      <w:bookmarkStart w:id="122" w:name="_Toc3963"/>
      <w:r>
        <w:br w:type="page"/>
      </w:r>
      <w:bookmarkStart w:id="123" w:name="_Toc18206"/>
      <w:bookmarkStart w:id="124" w:name="_Toc21735"/>
      <w:bookmarkStart w:id="125" w:name="_Toc123051455"/>
      <w:bookmarkStart w:id="126" w:name="_Toc725"/>
      <w:bookmarkStart w:id="127" w:name="_Toc123102456"/>
      <w:bookmarkStart w:id="128" w:name="_Toc10398"/>
      <w:bookmarkStart w:id="129" w:name="_Toc74065746"/>
      <w:bookmarkStart w:id="130" w:name="_Toc3080"/>
      <w:bookmarkStart w:id="131" w:name="_Toc31821"/>
      <w:bookmarkStart w:id="132" w:name="_Toc139991739"/>
      <w:bookmarkStart w:id="133" w:name="_Toc141703889"/>
      <w:bookmarkStart w:id="134" w:name="_Toc79154673"/>
      <w:bookmarkStart w:id="135" w:name="_Toc92377139"/>
      <w:bookmarkStart w:id="136" w:name="_Toc123112237"/>
      <w:bookmarkStart w:id="137" w:name="_Toc3572"/>
      <w:bookmarkStart w:id="138" w:name="_Toc25397"/>
      <w:bookmarkStart w:id="139" w:name="_Toc16164"/>
      <w:bookmarkStart w:id="140" w:name="_Toc98560355"/>
      <w:r>
        <w:rPr>
          <w:rFonts w:hint="eastAsia"/>
          <w:sz w:val="30"/>
        </w:rPr>
        <w:t>第十条</w:t>
      </w:r>
      <w:r>
        <w:rPr>
          <w:sz w:val="30"/>
        </w:rPr>
        <w:t xml:space="preserve">  </w:t>
      </w:r>
      <w:r>
        <w:rPr>
          <w:rFonts w:hint="eastAsia"/>
          <w:sz w:val="30"/>
        </w:rPr>
        <w:t>理财产品的终止与清算</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pPr>
        <w:spacing w:line="360" w:lineRule="auto"/>
        <w:ind w:firstLine="361" w:firstLineChars="200"/>
        <w:rPr>
          <w:rFonts w:asciiTheme="majorEastAsia" w:hAnsiTheme="majorEastAsia" w:eastAsiaTheme="majorEastAsia"/>
          <w:b/>
          <w:bCs/>
          <w:sz w:val="18"/>
          <w:szCs w:val="18"/>
        </w:rPr>
      </w:pPr>
      <w:bookmarkStart w:id="141" w:name="_Toc57530252"/>
      <w:bookmarkStart w:id="142" w:name="_Toc15118245"/>
      <w:bookmarkStart w:id="143" w:name="_Toc79392593"/>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或延期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eastAsiaTheme="majorEastAsia"/>
          <w:bCs/>
          <w:sz w:val="18"/>
          <w:szCs w:val="18"/>
        </w:rPr>
        <w:t>将依约</w:t>
      </w:r>
      <w:r>
        <w:rPr>
          <w:rFonts w:hint="eastAsia" w:asciiTheme="majorEastAsia" w:hAnsiTheme="majorEastAsia" w:eastAsiaTheme="majorEastAsia"/>
          <w:bCs/>
          <w:sz w:val="18"/>
          <w:szCs w:val="18"/>
        </w:rPr>
        <w:t>定进行公告。</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产品管理人决定部分提前终止理财产品的，按以下约定处理：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部分提前终止的比例：理财产品将按比例（已变现资产</w:t>
      </w:r>
      <w:r>
        <w:rPr>
          <w:rFonts w:asciiTheme="majorEastAsia" w:hAnsiTheme="majorEastAsia" w:eastAsiaTheme="majorEastAsia"/>
          <w:bCs/>
          <w:sz w:val="18"/>
          <w:szCs w:val="18"/>
        </w:rPr>
        <w:t>/理财产品净资产）</w:t>
      </w:r>
      <w:r>
        <w:rPr>
          <w:rFonts w:hint="eastAsia" w:asciiTheme="majorEastAsia" w:hAnsiTheme="majorEastAsia" w:eastAsiaTheme="majorEastAsia"/>
          <w:bCs/>
          <w:sz w:val="18"/>
          <w:szCs w:val="18"/>
        </w:rPr>
        <w:t>部分提前终止，同时根据产品最新的理财产品份额净值和份额计算并支付投资者相应的理财利益，投资者所持有的理财份额则按比例注销。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部分提前终止的利益分配：产品管理人将依照销售文件公布部分提前终止日并指定利益分配日（一般为部分提前终止日之后的【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bookmarkEnd w:id="141"/>
    <w:bookmarkEnd w:id="142"/>
    <w:bookmarkEnd w:id="143"/>
    <w:p>
      <w:pPr>
        <w:pStyle w:val="2"/>
        <w:spacing w:before="0" w:after="0" w:line="360" w:lineRule="auto"/>
        <w:jc w:val="center"/>
        <w:rPr>
          <w:rFonts w:ascii="Times New Roman"/>
          <w:sz w:val="18"/>
          <w:szCs w:val="18"/>
        </w:rPr>
      </w:pPr>
      <w:r>
        <w:rPr>
          <w:rFonts w:ascii="Times New Roman"/>
          <w:b w:val="0"/>
          <w:bCs w:val="0"/>
          <w:kern w:val="2"/>
        </w:rPr>
        <w:br w:type="page"/>
      </w:r>
      <w:bookmarkStart w:id="144" w:name="_Toc7953"/>
      <w:bookmarkStart w:id="145" w:name="_Toc92377140"/>
      <w:bookmarkStart w:id="146" w:name="_Toc74065747"/>
      <w:bookmarkStart w:id="147" w:name="_Toc98560356"/>
      <w:bookmarkStart w:id="148" w:name="_Toc21237"/>
      <w:bookmarkStart w:id="149" w:name="_Toc48649708"/>
      <w:bookmarkStart w:id="150" w:name="_Toc17920"/>
      <w:bookmarkStart w:id="151" w:name="_Toc3329"/>
      <w:bookmarkStart w:id="152" w:name="_Toc8791"/>
      <w:bookmarkStart w:id="153" w:name="_Toc79154674"/>
      <w:bookmarkStart w:id="154" w:name="_Toc5170"/>
      <w:bookmarkStart w:id="155" w:name="_Toc123102457"/>
      <w:bookmarkStart w:id="156" w:name="_Toc123051456"/>
      <w:bookmarkStart w:id="157" w:name="_Toc32092"/>
      <w:bookmarkStart w:id="158" w:name="_Toc139991740"/>
      <w:bookmarkStart w:id="159" w:name="_Toc79392622"/>
      <w:bookmarkStart w:id="160" w:name="_Toc739"/>
      <w:bookmarkStart w:id="161" w:name="_Toc29408"/>
      <w:bookmarkStart w:id="162" w:name="_Toc141703890"/>
      <w:bookmarkStart w:id="163" w:name="_Toc17198"/>
      <w:bookmarkStart w:id="164" w:name="_Toc83391975"/>
      <w:bookmarkStart w:id="165" w:name="_Toc123112238"/>
      <w:bookmarkStart w:id="166" w:name="_Toc32584"/>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144"/>
      <w:bookmarkEnd w:id="145"/>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w:t>
      </w:r>
      <w:r>
        <w:rPr>
          <w:rFonts w:hint="eastAsia" w:ascii="宋体" w:hAnsi="宋体"/>
          <w:bCs/>
          <w:sz w:val="18"/>
          <w:szCs w:val="18"/>
        </w:rPr>
        <w:t>产品管理人</w:t>
      </w:r>
      <w:r>
        <w:rPr>
          <w:rFonts w:ascii="宋体" w:hAnsi="宋体"/>
          <w:bCs/>
          <w:sz w:val="18"/>
          <w:szCs w:val="18"/>
        </w:rPr>
        <w:t>或销售机构的信息披露渠道开展理财产品的信息披露工作。请投资者及时关注。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ascii="宋体" w:hAnsi="宋体"/>
          <w:bCs/>
          <w:sz w:val="18"/>
          <w:szCs w:val="18"/>
        </w:rPr>
        <w:t>4.到期公告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5.开放日公告</w:t>
      </w:r>
    </w:p>
    <w:p>
      <w:pPr>
        <w:spacing w:line="360" w:lineRule="auto"/>
        <w:ind w:firstLine="360" w:firstLineChars="200"/>
        <w:rPr>
          <w:rFonts w:ascii="宋体" w:hAnsi="宋体"/>
          <w:bCs/>
          <w:sz w:val="18"/>
          <w:szCs w:val="18"/>
        </w:rPr>
      </w:pPr>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/赎回日结束后2个工作日内披露开放日公告，公告内容包括申购日/赎回日</w:t>
      </w:r>
      <w:r>
        <w:rPr>
          <w:rFonts w:hint="eastAsia" w:ascii="宋体" w:hAnsi="宋体"/>
          <w:bCs/>
          <w:sz w:val="18"/>
          <w:szCs w:val="18"/>
        </w:rPr>
        <w:t>的产品份额净值、产品份额累计净值等。</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.估值日公告</w:t>
      </w:r>
    </w:p>
    <w:p>
      <w:pPr>
        <w:spacing w:line="360" w:lineRule="auto"/>
        <w:ind w:firstLine="360" w:firstLineChars="200"/>
        <w:rPr>
          <w:rFonts w:ascii="宋体" w:hAnsi="宋体"/>
          <w:bCs/>
          <w:sz w:val="18"/>
          <w:szCs w:val="18"/>
        </w:rPr>
      </w:pPr>
      <w:permStart w:id="23" w:edGrp="everyone"/>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期间，每个【工作日】向投资者披露一次估值日公告，估值日公告披露的内容包括估值日的产品份额净值、产品份额累计净值等。如遇法定节假日顺延。此外，如遇其他特殊情况，以产品管理人信息披露为准。</w:t>
      </w:r>
      <w:r>
        <w:rPr>
          <w:rFonts w:ascii="宋体" w:hAnsi="宋体"/>
          <w:bCs/>
          <w:sz w:val="18"/>
          <w:szCs w:val="18"/>
        </w:rPr>
        <w:t xml:space="preserve"> </w:t>
      </w:r>
    </w:p>
    <w:permEnd w:id="23"/>
    <w:p>
      <w:pPr>
        <w:spacing w:line="360" w:lineRule="auto"/>
        <w:ind w:firstLine="360" w:firstLineChars="200"/>
        <w:rPr>
          <w:rFonts w:ascii="宋体" w:hAnsi="宋体"/>
          <w:bCs/>
          <w:sz w:val="18"/>
          <w:szCs w:val="18"/>
        </w:rPr>
      </w:pPr>
      <w:r>
        <w:rPr>
          <w:rFonts w:ascii="宋体" w:hAnsi="宋体"/>
          <w:bCs/>
          <w:sz w:val="18"/>
          <w:szCs w:val="18"/>
        </w:rPr>
        <w:t>7.临时公告</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b/>
          <w:bCs/>
          <w:sz w:val="18"/>
          <w:szCs w:val="18"/>
        </w:rPr>
        <w:t>并提前2个工作日进行</w:t>
      </w:r>
      <w:r>
        <w:rPr>
          <w:rFonts w:hint="eastAsia" w:ascii="黑体" w:hAnsi="黑体" w:eastAsia="黑体"/>
          <w:b/>
          <w:bCs/>
          <w:sz w:val="18"/>
          <w:szCs w:val="18"/>
        </w:rPr>
        <w:t>公告。若投资者未选择退出本产品的，则视为已理解并接受管理人的相应变更。</w:t>
      </w:r>
    </w:p>
    <w:p>
      <w:pPr>
        <w:spacing w:line="360" w:lineRule="auto"/>
        <w:ind w:firstLine="480" w:firstLineChars="200"/>
        <w:rPr>
          <w:bCs/>
          <w:sz w:val="24"/>
        </w:rPr>
      </w:pPr>
      <w:r>
        <w:rPr>
          <w:sz w:val="24"/>
        </w:rPr>
        <w:br w:type="page"/>
      </w:r>
    </w:p>
    <w:p>
      <w:pPr>
        <w:pStyle w:val="2"/>
        <w:spacing w:before="0" w:after="0" w:line="360" w:lineRule="auto"/>
        <w:jc w:val="center"/>
        <w:rPr>
          <w:rFonts w:ascii="Times New Roman"/>
          <w:b w:val="0"/>
          <w:sz w:val="30"/>
        </w:rPr>
      </w:pPr>
      <w:bookmarkStart w:id="167" w:name="_Toc30149"/>
      <w:bookmarkStart w:id="168" w:name="_Toc79154675"/>
      <w:bookmarkStart w:id="169" w:name="_Toc92377141"/>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167"/>
      <w:bookmarkEnd w:id="168"/>
      <w:bookmarkEnd w:id="169"/>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permStart w:id="24" w:edGrp="everyone"/>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spacing w:line="360" w:lineRule="auto"/>
        <w:ind w:firstLine="360" w:firstLineChars="200"/>
        <w:rPr>
          <w:rFonts w:ascii="宋体" w:hAnsi="宋体"/>
          <w:sz w:val="18"/>
          <w:szCs w:val="18"/>
        </w:rPr>
      </w:pPr>
      <w:r>
        <w:rPr>
          <w:rFonts w:hint="eastAsia" w:ascii="宋体" w:hAnsi="宋体"/>
          <w:sz w:val="18"/>
          <w:szCs w:val="18"/>
        </w:rPr>
        <w:t>】</w:t>
      </w:r>
    </w:p>
    <w:permEnd w:id="24"/>
    <w:p>
      <w:pPr>
        <w:pStyle w:val="38"/>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w:t>
      </w:r>
    </w:p>
    <w:p>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延期终止风险</w:t>
      </w:r>
    </w:p>
    <w:p>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w:t>
      </w:r>
    </w:p>
    <w:p>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spacing w:line="360" w:lineRule="auto"/>
        <w:ind w:firstLine="360" w:firstLineChars="200"/>
        <w:rPr>
          <w:rFonts w:ascii="宋体" w:hAnsi="宋体"/>
          <w:sz w:val="18"/>
          <w:szCs w:val="18"/>
        </w:rPr>
      </w:pPr>
    </w:p>
    <w:p>
      <w:pPr>
        <w:pStyle w:val="34"/>
        <w:spacing w:line="360" w:lineRule="auto"/>
        <w:rPr>
          <w:rFonts w:hAnsi="宋体"/>
          <w:sz w:val="18"/>
          <w:szCs w:val="18"/>
        </w:rPr>
      </w:pPr>
    </w:p>
    <w:sectPr>
      <w:headerReference r:id="rId3" w:type="default"/>
      <w:footerReference r:id="rId4" w:type="default"/>
      <w:pgSz w:w="11906" w:h="16838"/>
      <w:pgMar w:top="1276" w:right="1800" w:bottom="1418" w:left="1800" w:header="567" w:footer="96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alibri Light">
    <w:panose1 w:val="020F03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15647"/>
    </w:sdtPr>
    <w:sdtContent>
      <w:p>
        <w:pPr>
          <w:pStyle w:val="14"/>
          <w:jc w:val="center"/>
        </w:pPr>
        <w:r>
          <w:fldChar w:fldCharType="begin"/>
        </w:r>
        <w:r>
          <w:instrText xml:space="preserve"> PAGE   \* MERGEFORMAT </w:instrText>
        </w:r>
        <w:r>
          <w:fldChar w:fldCharType="separate"/>
        </w:r>
        <w:r>
          <w:rPr>
            <w:lang w:val="zh-CN"/>
          </w:rPr>
          <w:t>1</w:t>
        </w:r>
        <w:r>
          <w:fldChar w:fldCharType="end"/>
        </w:r>
      </w:p>
    </w:sdtContent>
  </w:sdt>
  <w:p>
    <w:pPr>
      <w:pStyle w:val="8"/>
      <w:jc w:val="both"/>
      <w:rPr>
        <w:rFonts w:ascii="黑体" w:hAnsi="黑体" w:eastAsia="黑体"/>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rFonts w:ascii="Times New Roman" w:hAnsi="Times New Roman" w:cs="Times New Roman"/>
        <w:b/>
        <w:szCs w:val="20"/>
      </w:rPr>
    </w:pPr>
    <w:r>
      <w:rPr>
        <w:rFonts w:hint="eastAsia"/>
      </w:rPr>
      <w:t xml:space="preserve"> </w:t>
    </w:r>
    <w:r>
      <w:rPr>
        <w:rFonts w:hint="eastAsia" w:ascii="Times New Roman" w:hAnsi="Times New Roman" w:cs="Times New Roman"/>
        <w:b/>
        <w:szCs w:val="20"/>
      </w:rPr>
      <w:t>产品说明书</w:t>
    </w:r>
  </w:p>
  <w:p>
    <w:pPr>
      <w:pStyle w:val="15"/>
      <w:jc w:val="right"/>
      <w:rPr>
        <w:rFonts w:ascii="Times New Roman" w:hAnsi="Times New Roman" w:cs="Times New Roman"/>
        <w:b/>
        <w:szCs w:val="20"/>
      </w:rPr>
    </w:pPr>
    <w:r>
      <w:rPr>
        <w:rFonts w:hint="eastAsia" w:ascii="Times New Roman" w:hAnsi="Times New Roman" w:cs="Times New Roman"/>
        <w:b/>
        <w:szCs w:val="20"/>
      </w:rPr>
      <w:t>注：本文件由兴银理财有限责任公司统一编制</w:t>
    </w:r>
  </w:p>
  <w:p>
    <w:pPr>
      <w:pStyle w:val="15"/>
      <w:pBdr>
        <w:bottom w:val="none" w:color="auto" w:sz="0" w:space="0"/>
      </w:pBdr>
      <w:jc w:val="right"/>
      <w:rPr>
        <w:rFonts w:ascii="Times New Roman" w:hAnsi="Times New Roman" w:cs="Times New Roman"/>
        <w:b/>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dit="readOnly" w:enforcement="1" w:cryptProviderType="rsaAES" w:cryptAlgorithmClass="hash" w:cryptAlgorithmType="typeAny" w:cryptAlgorithmSid="14" w:cryptSpinCount="100000" w:hash="QVVWQ4j5kyOX9VCeHVBuDgtMMtTVeiJLZM3kg585ZESUwb2Qhrdvsw/mIxrJKGp9eckyN6igntBZRLJByseSjw==" w:salt="ANTHfFkYH5iERfV/TAyo3w=="/>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591"/>
    <w:rsid w:val="0000208C"/>
    <w:rsid w:val="00002480"/>
    <w:rsid w:val="00007765"/>
    <w:rsid w:val="0001202B"/>
    <w:rsid w:val="000124BB"/>
    <w:rsid w:val="00014A51"/>
    <w:rsid w:val="000160F8"/>
    <w:rsid w:val="00020E26"/>
    <w:rsid w:val="00022093"/>
    <w:rsid w:val="000240C1"/>
    <w:rsid w:val="0002421F"/>
    <w:rsid w:val="00024B59"/>
    <w:rsid w:val="00024D52"/>
    <w:rsid w:val="000257FD"/>
    <w:rsid w:val="00026801"/>
    <w:rsid w:val="0002771C"/>
    <w:rsid w:val="00027CAD"/>
    <w:rsid w:val="000307FF"/>
    <w:rsid w:val="00030826"/>
    <w:rsid w:val="000308D2"/>
    <w:rsid w:val="000310FD"/>
    <w:rsid w:val="00033D3E"/>
    <w:rsid w:val="000360AD"/>
    <w:rsid w:val="00036724"/>
    <w:rsid w:val="0004119D"/>
    <w:rsid w:val="0004124F"/>
    <w:rsid w:val="00042C76"/>
    <w:rsid w:val="00042CE7"/>
    <w:rsid w:val="000438E6"/>
    <w:rsid w:val="00044823"/>
    <w:rsid w:val="00045941"/>
    <w:rsid w:val="00050766"/>
    <w:rsid w:val="0005088E"/>
    <w:rsid w:val="00051DE2"/>
    <w:rsid w:val="00055773"/>
    <w:rsid w:val="000565A5"/>
    <w:rsid w:val="0005743B"/>
    <w:rsid w:val="00057BC6"/>
    <w:rsid w:val="0006031B"/>
    <w:rsid w:val="00061C70"/>
    <w:rsid w:val="00062695"/>
    <w:rsid w:val="000629DD"/>
    <w:rsid w:val="00063B03"/>
    <w:rsid w:val="000705EE"/>
    <w:rsid w:val="00073A90"/>
    <w:rsid w:val="000747D8"/>
    <w:rsid w:val="0007672E"/>
    <w:rsid w:val="0007760F"/>
    <w:rsid w:val="000776F7"/>
    <w:rsid w:val="00077A54"/>
    <w:rsid w:val="00077C13"/>
    <w:rsid w:val="00077CD3"/>
    <w:rsid w:val="00080277"/>
    <w:rsid w:val="0008037A"/>
    <w:rsid w:val="00080815"/>
    <w:rsid w:val="00081DC7"/>
    <w:rsid w:val="000826C9"/>
    <w:rsid w:val="00082E45"/>
    <w:rsid w:val="00085DD5"/>
    <w:rsid w:val="0009086F"/>
    <w:rsid w:val="00091121"/>
    <w:rsid w:val="00092A5F"/>
    <w:rsid w:val="00094CA6"/>
    <w:rsid w:val="00094DDA"/>
    <w:rsid w:val="00095235"/>
    <w:rsid w:val="00097047"/>
    <w:rsid w:val="000A0882"/>
    <w:rsid w:val="000A0CC9"/>
    <w:rsid w:val="000A0DC8"/>
    <w:rsid w:val="000A1E0C"/>
    <w:rsid w:val="000A3063"/>
    <w:rsid w:val="000A35E5"/>
    <w:rsid w:val="000A45C6"/>
    <w:rsid w:val="000A57AC"/>
    <w:rsid w:val="000A5A4A"/>
    <w:rsid w:val="000A5AAB"/>
    <w:rsid w:val="000B00D8"/>
    <w:rsid w:val="000B378B"/>
    <w:rsid w:val="000B4391"/>
    <w:rsid w:val="000B6819"/>
    <w:rsid w:val="000B7F67"/>
    <w:rsid w:val="000C31AC"/>
    <w:rsid w:val="000C3B81"/>
    <w:rsid w:val="000C69CB"/>
    <w:rsid w:val="000C6BF4"/>
    <w:rsid w:val="000C7C96"/>
    <w:rsid w:val="000D0C3A"/>
    <w:rsid w:val="000D10B1"/>
    <w:rsid w:val="000D1473"/>
    <w:rsid w:val="000D19CF"/>
    <w:rsid w:val="000D1A89"/>
    <w:rsid w:val="000D2623"/>
    <w:rsid w:val="000D3E2A"/>
    <w:rsid w:val="000D4DAE"/>
    <w:rsid w:val="000D548F"/>
    <w:rsid w:val="000D591B"/>
    <w:rsid w:val="000E008C"/>
    <w:rsid w:val="000E10C7"/>
    <w:rsid w:val="000E181B"/>
    <w:rsid w:val="000E18C8"/>
    <w:rsid w:val="000E2054"/>
    <w:rsid w:val="000E5A74"/>
    <w:rsid w:val="000E7029"/>
    <w:rsid w:val="000E798C"/>
    <w:rsid w:val="000E7BB9"/>
    <w:rsid w:val="000F09FA"/>
    <w:rsid w:val="000F4322"/>
    <w:rsid w:val="000F556F"/>
    <w:rsid w:val="000F6919"/>
    <w:rsid w:val="000F7FB5"/>
    <w:rsid w:val="00100295"/>
    <w:rsid w:val="00100789"/>
    <w:rsid w:val="00100D6E"/>
    <w:rsid w:val="00103221"/>
    <w:rsid w:val="001048D9"/>
    <w:rsid w:val="00104FAF"/>
    <w:rsid w:val="0010605A"/>
    <w:rsid w:val="0011092D"/>
    <w:rsid w:val="00111430"/>
    <w:rsid w:val="00112922"/>
    <w:rsid w:val="001139C8"/>
    <w:rsid w:val="001157E6"/>
    <w:rsid w:val="00115A4C"/>
    <w:rsid w:val="00116240"/>
    <w:rsid w:val="00117B00"/>
    <w:rsid w:val="00121A98"/>
    <w:rsid w:val="00122AA4"/>
    <w:rsid w:val="00122E28"/>
    <w:rsid w:val="001232D0"/>
    <w:rsid w:val="0012639A"/>
    <w:rsid w:val="00127FAE"/>
    <w:rsid w:val="00134EC8"/>
    <w:rsid w:val="00140FD0"/>
    <w:rsid w:val="00142E86"/>
    <w:rsid w:val="00144336"/>
    <w:rsid w:val="00144A06"/>
    <w:rsid w:val="00144E84"/>
    <w:rsid w:val="00146F91"/>
    <w:rsid w:val="001507DF"/>
    <w:rsid w:val="00153415"/>
    <w:rsid w:val="001547CA"/>
    <w:rsid w:val="00154F9C"/>
    <w:rsid w:val="001562FA"/>
    <w:rsid w:val="0016331D"/>
    <w:rsid w:val="00163655"/>
    <w:rsid w:val="00163854"/>
    <w:rsid w:val="00165A9A"/>
    <w:rsid w:val="001679EE"/>
    <w:rsid w:val="00167B0D"/>
    <w:rsid w:val="00171033"/>
    <w:rsid w:val="001715BB"/>
    <w:rsid w:val="00172A27"/>
    <w:rsid w:val="00172BBF"/>
    <w:rsid w:val="0017394A"/>
    <w:rsid w:val="0017488D"/>
    <w:rsid w:val="00175F68"/>
    <w:rsid w:val="00176589"/>
    <w:rsid w:val="00176C88"/>
    <w:rsid w:val="0017731A"/>
    <w:rsid w:val="00180376"/>
    <w:rsid w:val="001822B0"/>
    <w:rsid w:val="0018230F"/>
    <w:rsid w:val="001844D6"/>
    <w:rsid w:val="0018459A"/>
    <w:rsid w:val="001852D8"/>
    <w:rsid w:val="001864AE"/>
    <w:rsid w:val="00186521"/>
    <w:rsid w:val="00187F37"/>
    <w:rsid w:val="0019010B"/>
    <w:rsid w:val="00190633"/>
    <w:rsid w:val="0019071D"/>
    <w:rsid w:val="00190B9A"/>
    <w:rsid w:val="0019134D"/>
    <w:rsid w:val="00191C98"/>
    <w:rsid w:val="0019285E"/>
    <w:rsid w:val="00192C78"/>
    <w:rsid w:val="00194E1F"/>
    <w:rsid w:val="0019519C"/>
    <w:rsid w:val="0019545E"/>
    <w:rsid w:val="00196469"/>
    <w:rsid w:val="00196E62"/>
    <w:rsid w:val="001A0033"/>
    <w:rsid w:val="001A141C"/>
    <w:rsid w:val="001A32C8"/>
    <w:rsid w:val="001A352E"/>
    <w:rsid w:val="001A434D"/>
    <w:rsid w:val="001B218F"/>
    <w:rsid w:val="001B21AE"/>
    <w:rsid w:val="001B5BBB"/>
    <w:rsid w:val="001C247A"/>
    <w:rsid w:val="001C31CB"/>
    <w:rsid w:val="001C3B80"/>
    <w:rsid w:val="001C41C7"/>
    <w:rsid w:val="001C5A86"/>
    <w:rsid w:val="001C5E54"/>
    <w:rsid w:val="001C7184"/>
    <w:rsid w:val="001C730C"/>
    <w:rsid w:val="001C770D"/>
    <w:rsid w:val="001C7B1B"/>
    <w:rsid w:val="001D03C8"/>
    <w:rsid w:val="001D06D0"/>
    <w:rsid w:val="001D0990"/>
    <w:rsid w:val="001D1C72"/>
    <w:rsid w:val="001D1D5B"/>
    <w:rsid w:val="001D2824"/>
    <w:rsid w:val="001D2F98"/>
    <w:rsid w:val="001D3E8B"/>
    <w:rsid w:val="001D4AC9"/>
    <w:rsid w:val="001D4BC1"/>
    <w:rsid w:val="001D570A"/>
    <w:rsid w:val="001D5D3E"/>
    <w:rsid w:val="001D688E"/>
    <w:rsid w:val="001D760B"/>
    <w:rsid w:val="001E14FD"/>
    <w:rsid w:val="001E291D"/>
    <w:rsid w:val="001E461E"/>
    <w:rsid w:val="001E54CE"/>
    <w:rsid w:val="001E61BD"/>
    <w:rsid w:val="001E6BA6"/>
    <w:rsid w:val="001E6C14"/>
    <w:rsid w:val="001E70FE"/>
    <w:rsid w:val="001E77D6"/>
    <w:rsid w:val="001E794F"/>
    <w:rsid w:val="001F00E4"/>
    <w:rsid w:val="001F08F9"/>
    <w:rsid w:val="001F4671"/>
    <w:rsid w:val="001F6BB0"/>
    <w:rsid w:val="001F6DE3"/>
    <w:rsid w:val="001F7B81"/>
    <w:rsid w:val="001F7E0A"/>
    <w:rsid w:val="00201415"/>
    <w:rsid w:val="0020141D"/>
    <w:rsid w:val="00204063"/>
    <w:rsid w:val="0020563F"/>
    <w:rsid w:val="0020668E"/>
    <w:rsid w:val="00211510"/>
    <w:rsid w:val="002126B6"/>
    <w:rsid w:val="0021340F"/>
    <w:rsid w:val="00214771"/>
    <w:rsid w:val="0021477B"/>
    <w:rsid w:val="002160B9"/>
    <w:rsid w:val="0021611E"/>
    <w:rsid w:val="00216882"/>
    <w:rsid w:val="002168CF"/>
    <w:rsid w:val="002173E9"/>
    <w:rsid w:val="00217789"/>
    <w:rsid w:val="00220D74"/>
    <w:rsid w:val="002213EA"/>
    <w:rsid w:val="00223351"/>
    <w:rsid w:val="002237A8"/>
    <w:rsid w:val="00223B5B"/>
    <w:rsid w:val="00224505"/>
    <w:rsid w:val="002265AA"/>
    <w:rsid w:val="00226925"/>
    <w:rsid w:val="00226E60"/>
    <w:rsid w:val="00227359"/>
    <w:rsid w:val="00231FC0"/>
    <w:rsid w:val="002366D2"/>
    <w:rsid w:val="00242CDB"/>
    <w:rsid w:val="0024357F"/>
    <w:rsid w:val="0024456C"/>
    <w:rsid w:val="0024625D"/>
    <w:rsid w:val="00247F2A"/>
    <w:rsid w:val="002509C7"/>
    <w:rsid w:val="00251975"/>
    <w:rsid w:val="00252788"/>
    <w:rsid w:val="002533A3"/>
    <w:rsid w:val="00253B8C"/>
    <w:rsid w:val="00254D9A"/>
    <w:rsid w:val="00255373"/>
    <w:rsid w:val="002553DF"/>
    <w:rsid w:val="0025557C"/>
    <w:rsid w:val="0025790B"/>
    <w:rsid w:val="00264630"/>
    <w:rsid w:val="002653AC"/>
    <w:rsid w:val="00265722"/>
    <w:rsid w:val="00266037"/>
    <w:rsid w:val="00266978"/>
    <w:rsid w:val="00266DAB"/>
    <w:rsid w:val="00272C40"/>
    <w:rsid w:val="00273F65"/>
    <w:rsid w:val="00274DDB"/>
    <w:rsid w:val="00275526"/>
    <w:rsid w:val="00275757"/>
    <w:rsid w:val="00276ACE"/>
    <w:rsid w:val="00281B9A"/>
    <w:rsid w:val="002826EB"/>
    <w:rsid w:val="00282B2B"/>
    <w:rsid w:val="002869B1"/>
    <w:rsid w:val="002877ED"/>
    <w:rsid w:val="00290893"/>
    <w:rsid w:val="0029197D"/>
    <w:rsid w:val="00293329"/>
    <w:rsid w:val="002A1894"/>
    <w:rsid w:val="002A2964"/>
    <w:rsid w:val="002A3DA0"/>
    <w:rsid w:val="002A6688"/>
    <w:rsid w:val="002B0460"/>
    <w:rsid w:val="002B0A68"/>
    <w:rsid w:val="002B1C83"/>
    <w:rsid w:val="002B2349"/>
    <w:rsid w:val="002B389F"/>
    <w:rsid w:val="002B4AAF"/>
    <w:rsid w:val="002B5421"/>
    <w:rsid w:val="002B6616"/>
    <w:rsid w:val="002B75A8"/>
    <w:rsid w:val="002C0CF5"/>
    <w:rsid w:val="002C1384"/>
    <w:rsid w:val="002C3DA6"/>
    <w:rsid w:val="002C3DD6"/>
    <w:rsid w:val="002C446D"/>
    <w:rsid w:val="002C6117"/>
    <w:rsid w:val="002C6DB5"/>
    <w:rsid w:val="002D1DEF"/>
    <w:rsid w:val="002D3AB7"/>
    <w:rsid w:val="002D3AEF"/>
    <w:rsid w:val="002D6AFD"/>
    <w:rsid w:val="002D7737"/>
    <w:rsid w:val="002E134B"/>
    <w:rsid w:val="002E25FC"/>
    <w:rsid w:val="002E393C"/>
    <w:rsid w:val="002E5F4C"/>
    <w:rsid w:val="002E6721"/>
    <w:rsid w:val="002E7C23"/>
    <w:rsid w:val="002F0CD5"/>
    <w:rsid w:val="002F11BA"/>
    <w:rsid w:val="002F29C4"/>
    <w:rsid w:val="002F389F"/>
    <w:rsid w:val="002F45BC"/>
    <w:rsid w:val="002F4C49"/>
    <w:rsid w:val="00301106"/>
    <w:rsid w:val="003029FF"/>
    <w:rsid w:val="0030325C"/>
    <w:rsid w:val="00304C4E"/>
    <w:rsid w:val="00304D9D"/>
    <w:rsid w:val="00306DA6"/>
    <w:rsid w:val="0031156D"/>
    <w:rsid w:val="003122D5"/>
    <w:rsid w:val="00313E17"/>
    <w:rsid w:val="003141DA"/>
    <w:rsid w:val="00317397"/>
    <w:rsid w:val="00320153"/>
    <w:rsid w:val="00321AFE"/>
    <w:rsid w:val="003224C7"/>
    <w:rsid w:val="00327E26"/>
    <w:rsid w:val="00330DD8"/>
    <w:rsid w:val="00331380"/>
    <w:rsid w:val="00331423"/>
    <w:rsid w:val="00331AA1"/>
    <w:rsid w:val="00332367"/>
    <w:rsid w:val="0033357B"/>
    <w:rsid w:val="003363E0"/>
    <w:rsid w:val="0033710A"/>
    <w:rsid w:val="00337172"/>
    <w:rsid w:val="00337AF2"/>
    <w:rsid w:val="00337BCF"/>
    <w:rsid w:val="00337EC3"/>
    <w:rsid w:val="003405D3"/>
    <w:rsid w:val="00341DFC"/>
    <w:rsid w:val="003444E9"/>
    <w:rsid w:val="00350B80"/>
    <w:rsid w:val="0035109F"/>
    <w:rsid w:val="0035299D"/>
    <w:rsid w:val="00356734"/>
    <w:rsid w:val="00356F2E"/>
    <w:rsid w:val="003601A7"/>
    <w:rsid w:val="00361109"/>
    <w:rsid w:val="00363191"/>
    <w:rsid w:val="00363271"/>
    <w:rsid w:val="00363504"/>
    <w:rsid w:val="0036433E"/>
    <w:rsid w:val="00370696"/>
    <w:rsid w:val="00371546"/>
    <w:rsid w:val="003727DA"/>
    <w:rsid w:val="00373305"/>
    <w:rsid w:val="003745A5"/>
    <w:rsid w:val="00375BC6"/>
    <w:rsid w:val="00380628"/>
    <w:rsid w:val="00380DB4"/>
    <w:rsid w:val="00381A67"/>
    <w:rsid w:val="003823A6"/>
    <w:rsid w:val="003838B9"/>
    <w:rsid w:val="0038451B"/>
    <w:rsid w:val="00387255"/>
    <w:rsid w:val="00387E86"/>
    <w:rsid w:val="00391268"/>
    <w:rsid w:val="00391BBC"/>
    <w:rsid w:val="00392F32"/>
    <w:rsid w:val="0039407B"/>
    <w:rsid w:val="00396E72"/>
    <w:rsid w:val="003A430B"/>
    <w:rsid w:val="003B00EC"/>
    <w:rsid w:val="003B016B"/>
    <w:rsid w:val="003B06BE"/>
    <w:rsid w:val="003B1841"/>
    <w:rsid w:val="003B32A0"/>
    <w:rsid w:val="003B343A"/>
    <w:rsid w:val="003B600B"/>
    <w:rsid w:val="003B72A3"/>
    <w:rsid w:val="003C2C6C"/>
    <w:rsid w:val="003C2FD0"/>
    <w:rsid w:val="003C4A62"/>
    <w:rsid w:val="003C4CEB"/>
    <w:rsid w:val="003C51FE"/>
    <w:rsid w:val="003C64E4"/>
    <w:rsid w:val="003C7EAF"/>
    <w:rsid w:val="003D26D0"/>
    <w:rsid w:val="003D5ED1"/>
    <w:rsid w:val="003D63E6"/>
    <w:rsid w:val="003E1094"/>
    <w:rsid w:val="003E1B2D"/>
    <w:rsid w:val="003E2F07"/>
    <w:rsid w:val="003E31AA"/>
    <w:rsid w:val="003E3D00"/>
    <w:rsid w:val="003F4B74"/>
    <w:rsid w:val="00400144"/>
    <w:rsid w:val="00400D54"/>
    <w:rsid w:val="0040151D"/>
    <w:rsid w:val="004043E5"/>
    <w:rsid w:val="00404A76"/>
    <w:rsid w:val="00404C4F"/>
    <w:rsid w:val="00406C36"/>
    <w:rsid w:val="00407912"/>
    <w:rsid w:val="00410860"/>
    <w:rsid w:val="00411594"/>
    <w:rsid w:val="004134C2"/>
    <w:rsid w:val="00413AD2"/>
    <w:rsid w:val="00416AC9"/>
    <w:rsid w:val="00416CB0"/>
    <w:rsid w:val="0042292D"/>
    <w:rsid w:val="00422B14"/>
    <w:rsid w:val="00424562"/>
    <w:rsid w:val="0042456A"/>
    <w:rsid w:val="00424897"/>
    <w:rsid w:val="004259CB"/>
    <w:rsid w:val="00426CB5"/>
    <w:rsid w:val="0042700C"/>
    <w:rsid w:val="00430DF1"/>
    <w:rsid w:val="00431A3C"/>
    <w:rsid w:val="00434DA3"/>
    <w:rsid w:val="004365C7"/>
    <w:rsid w:val="004369A7"/>
    <w:rsid w:val="0043725F"/>
    <w:rsid w:val="00440E4C"/>
    <w:rsid w:val="00441309"/>
    <w:rsid w:val="00441A1F"/>
    <w:rsid w:val="00441C87"/>
    <w:rsid w:val="004421A0"/>
    <w:rsid w:val="0044275F"/>
    <w:rsid w:val="00444B08"/>
    <w:rsid w:val="00444C05"/>
    <w:rsid w:val="00444E95"/>
    <w:rsid w:val="004451F2"/>
    <w:rsid w:val="00446722"/>
    <w:rsid w:val="00447A83"/>
    <w:rsid w:val="00450AE7"/>
    <w:rsid w:val="00452527"/>
    <w:rsid w:val="00453F94"/>
    <w:rsid w:val="0045405E"/>
    <w:rsid w:val="0045524D"/>
    <w:rsid w:val="00455720"/>
    <w:rsid w:val="00455EFB"/>
    <w:rsid w:val="00455FA5"/>
    <w:rsid w:val="00456516"/>
    <w:rsid w:val="00461E0D"/>
    <w:rsid w:val="00462328"/>
    <w:rsid w:val="00462D9E"/>
    <w:rsid w:val="004636D8"/>
    <w:rsid w:val="00464878"/>
    <w:rsid w:val="00466864"/>
    <w:rsid w:val="00466F57"/>
    <w:rsid w:val="00467C9D"/>
    <w:rsid w:val="00470261"/>
    <w:rsid w:val="004711A9"/>
    <w:rsid w:val="00471ABA"/>
    <w:rsid w:val="00477510"/>
    <w:rsid w:val="00480985"/>
    <w:rsid w:val="00480CC1"/>
    <w:rsid w:val="00480FF7"/>
    <w:rsid w:val="004811BA"/>
    <w:rsid w:val="00482354"/>
    <w:rsid w:val="0048253E"/>
    <w:rsid w:val="00482F37"/>
    <w:rsid w:val="00483507"/>
    <w:rsid w:val="00485D45"/>
    <w:rsid w:val="00486A6C"/>
    <w:rsid w:val="00487444"/>
    <w:rsid w:val="0048787F"/>
    <w:rsid w:val="00490E3D"/>
    <w:rsid w:val="004917FC"/>
    <w:rsid w:val="004922CC"/>
    <w:rsid w:val="004940D3"/>
    <w:rsid w:val="004960D3"/>
    <w:rsid w:val="004960F3"/>
    <w:rsid w:val="00497FEC"/>
    <w:rsid w:val="004A0C4A"/>
    <w:rsid w:val="004A0D93"/>
    <w:rsid w:val="004A12AC"/>
    <w:rsid w:val="004A2354"/>
    <w:rsid w:val="004A5AB0"/>
    <w:rsid w:val="004B0D40"/>
    <w:rsid w:val="004B1194"/>
    <w:rsid w:val="004B1599"/>
    <w:rsid w:val="004B3136"/>
    <w:rsid w:val="004B5526"/>
    <w:rsid w:val="004C036F"/>
    <w:rsid w:val="004C1BF8"/>
    <w:rsid w:val="004C2000"/>
    <w:rsid w:val="004C4C0A"/>
    <w:rsid w:val="004C4C12"/>
    <w:rsid w:val="004C4E6C"/>
    <w:rsid w:val="004C75D9"/>
    <w:rsid w:val="004D0C41"/>
    <w:rsid w:val="004D1CFA"/>
    <w:rsid w:val="004D2141"/>
    <w:rsid w:val="004D373F"/>
    <w:rsid w:val="004D3932"/>
    <w:rsid w:val="004D5055"/>
    <w:rsid w:val="004D5A01"/>
    <w:rsid w:val="004D5AAF"/>
    <w:rsid w:val="004D5BE2"/>
    <w:rsid w:val="004D5E18"/>
    <w:rsid w:val="004D6163"/>
    <w:rsid w:val="004D6C75"/>
    <w:rsid w:val="004E157D"/>
    <w:rsid w:val="004E17EB"/>
    <w:rsid w:val="004E1D4B"/>
    <w:rsid w:val="004E20E1"/>
    <w:rsid w:val="004E3BD3"/>
    <w:rsid w:val="004E605C"/>
    <w:rsid w:val="004E78A6"/>
    <w:rsid w:val="004F0C90"/>
    <w:rsid w:val="004F10F4"/>
    <w:rsid w:val="004F14E2"/>
    <w:rsid w:val="004F15A3"/>
    <w:rsid w:val="004F2F63"/>
    <w:rsid w:val="004F3355"/>
    <w:rsid w:val="004F45E5"/>
    <w:rsid w:val="004F483B"/>
    <w:rsid w:val="004F5319"/>
    <w:rsid w:val="004F58A4"/>
    <w:rsid w:val="00500B33"/>
    <w:rsid w:val="0050192C"/>
    <w:rsid w:val="00502068"/>
    <w:rsid w:val="005023E9"/>
    <w:rsid w:val="005030D1"/>
    <w:rsid w:val="00503239"/>
    <w:rsid w:val="005048A9"/>
    <w:rsid w:val="00504CD2"/>
    <w:rsid w:val="005058C6"/>
    <w:rsid w:val="005064B8"/>
    <w:rsid w:val="00506FB3"/>
    <w:rsid w:val="005102A0"/>
    <w:rsid w:val="005107A4"/>
    <w:rsid w:val="00512B61"/>
    <w:rsid w:val="00512E3B"/>
    <w:rsid w:val="00513143"/>
    <w:rsid w:val="005131E7"/>
    <w:rsid w:val="00517C1B"/>
    <w:rsid w:val="00521905"/>
    <w:rsid w:val="00521A8A"/>
    <w:rsid w:val="0052537A"/>
    <w:rsid w:val="005261C6"/>
    <w:rsid w:val="005268CD"/>
    <w:rsid w:val="00526A8B"/>
    <w:rsid w:val="005306F5"/>
    <w:rsid w:val="00530EFC"/>
    <w:rsid w:val="0053145D"/>
    <w:rsid w:val="0053265E"/>
    <w:rsid w:val="00534837"/>
    <w:rsid w:val="00534ED6"/>
    <w:rsid w:val="005356DD"/>
    <w:rsid w:val="0054383E"/>
    <w:rsid w:val="00544067"/>
    <w:rsid w:val="00544689"/>
    <w:rsid w:val="005448AE"/>
    <w:rsid w:val="00544EBF"/>
    <w:rsid w:val="0054752F"/>
    <w:rsid w:val="005477FF"/>
    <w:rsid w:val="005514EA"/>
    <w:rsid w:val="0055180E"/>
    <w:rsid w:val="00551E13"/>
    <w:rsid w:val="0055265D"/>
    <w:rsid w:val="00555FE5"/>
    <w:rsid w:val="00557F13"/>
    <w:rsid w:val="0056057A"/>
    <w:rsid w:val="005634A0"/>
    <w:rsid w:val="00564A34"/>
    <w:rsid w:val="00564BAA"/>
    <w:rsid w:val="005669ED"/>
    <w:rsid w:val="00566CE6"/>
    <w:rsid w:val="005715BF"/>
    <w:rsid w:val="00571676"/>
    <w:rsid w:val="0057386A"/>
    <w:rsid w:val="005745C2"/>
    <w:rsid w:val="00575575"/>
    <w:rsid w:val="005756EF"/>
    <w:rsid w:val="00580472"/>
    <w:rsid w:val="00583DB2"/>
    <w:rsid w:val="00583FFD"/>
    <w:rsid w:val="0058644F"/>
    <w:rsid w:val="00586B5E"/>
    <w:rsid w:val="0058793F"/>
    <w:rsid w:val="00587E86"/>
    <w:rsid w:val="005905CC"/>
    <w:rsid w:val="0059345F"/>
    <w:rsid w:val="005942B5"/>
    <w:rsid w:val="005964FC"/>
    <w:rsid w:val="00596640"/>
    <w:rsid w:val="005A0CDE"/>
    <w:rsid w:val="005A1A2E"/>
    <w:rsid w:val="005A2814"/>
    <w:rsid w:val="005A2F58"/>
    <w:rsid w:val="005A52CE"/>
    <w:rsid w:val="005A5694"/>
    <w:rsid w:val="005A60A3"/>
    <w:rsid w:val="005A6F2A"/>
    <w:rsid w:val="005B1513"/>
    <w:rsid w:val="005B1F01"/>
    <w:rsid w:val="005B24FB"/>
    <w:rsid w:val="005B3D95"/>
    <w:rsid w:val="005B45B8"/>
    <w:rsid w:val="005B6567"/>
    <w:rsid w:val="005C1011"/>
    <w:rsid w:val="005C1A4B"/>
    <w:rsid w:val="005C2C22"/>
    <w:rsid w:val="005C3351"/>
    <w:rsid w:val="005C46BB"/>
    <w:rsid w:val="005C6C9D"/>
    <w:rsid w:val="005D0EC6"/>
    <w:rsid w:val="005D3EBA"/>
    <w:rsid w:val="005D3F7B"/>
    <w:rsid w:val="005D3F83"/>
    <w:rsid w:val="005D5021"/>
    <w:rsid w:val="005D56FA"/>
    <w:rsid w:val="005D6B6D"/>
    <w:rsid w:val="005D6F5B"/>
    <w:rsid w:val="005E0304"/>
    <w:rsid w:val="005E1F5B"/>
    <w:rsid w:val="005E2522"/>
    <w:rsid w:val="005E34A7"/>
    <w:rsid w:val="005E3ECC"/>
    <w:rsid w:val="005E6FB7"/>
    <w:rsid w:val="005F0064"/>
    <w:rsid w:val="005F2F17"/>
    <w:rsid w:val="005F30D3"/>
    <w:rsid w:val="005F379A"/>
    <w:rsid w:val="005F4287"/>
    <w:rsid w:val="005F469C"/>
    <w:rsid w:val="005F7FD5"/>
    <w:rsid w:val="00600FE7"/>
    <w:rsid w:val="006016B4"/>
    <w:rsid w:val="006019D1"/>
    <w:rsid w:val="00605524"/>
    <w:rsid w:val="00605B31"/>
    <w:rsid w:val="00605C5D"/>
    <w:rsid w:val="006065FB"/>
    <w:rsid w:val="00607DDC"/>
    <w:rsid w:val="00611A33"/>
    <w:rsid w:val="00612869"/>
    <w:rsid w:val="006146BA"/>
    <w:rsid w:val="006152D1"/>
    <w:rsid w:val="006172ED"/>
    <w:rsid w:val="00620063"/>
    <w:rsid w:val="00620D75"/>
    <w:rsid w:val="00621F2C"/>
    <w:rsid w:val="00624760"/>
    <w:rsid w:val="00624BDB"/>
    <w:rsid w:val="00624F2C"/>
    <w:rsid w:val="00626BC0"/>
    <w:rsid w:val="0063051C"/>
    <w:rsid w:val="00631736"/>
    <w:rsid w:val="006328AE"/>
    <w:rsid w:val="0063609F"/>
    <w:rsid w:val="0064020E"/>
    <w:rsid w:val="0064076F"/>
    <w:rsid w:val="0064087A"/>
    <w:rsid w:val="00642A61"/>
    <w:rsid w:val="006451BF"/>
    <w:rsid w:val="006453CC"/>
    <w:rsid w:val="006468C6"/>
    <w:rsid w:val="00646E40"/>
    <w:rsid w:val="00647424"/>
    <w:rsid w:val="006476D3"/>
    <w:rsid w:val="00652FE7"/>
    <w:rsid w:val="0065431E"/>
    <w:rsid w:val="0065499A"/>
    <w:rsid w:val="00655124"/>
    <w:rsid w:val="00657909"/>
    <w:rsid w:val="00657E91"/>
    <w:rsid w:val="006612EA"/>
    <w:rsid w:val="006617D1"/>
    <w:rsid w:val="00661C8C"/>
    <w:rsid w:val="006623D6"/>
    <w:rsid w:val="0066478A"/>
    <w:rsid w:val="0066625E"/>
    <w:rsid w:val="006676FD"/>
    <w:rsid w:val="0067005D"/>
    <w:rsid w:val="00672FF4"/>
    <w:rsid w:val="00675B54"/>
    <w:rsid w:val="006809FB"/>
    <w:rsid w:val="00682623"/>
    <w:rsid w:val="00684401"/>
    <w:rsid w:val="00684ECC"/>
    <w:rsid w:val="006856C3"/>
    <w:rsid w:val="006863E0"/>
    <w:rsid w:val="006871FD"/>
    <w:rsid w:val="006877C1"/>
    <w:rsid w:val="006904D3"/>
    <w:rsid w:val="0069132D"/>
    <w:rsid w:val="006929EA"/>
    <w:rsid w:val="00692BC9"/>
    <w:rsid w:val="0069501F"/>
    <w:rsid w:val="006961A8"/>
    <w:rsid w:val="00697C87"/>
    <w:rsid w:val="00697D22"/>
    <w:rsid w:val="006A03CB"/>
    <w:rsid w:val="006A0942"/>
    <w:rsid w:val="006A1579"/>
    <w:rsid w:val="006A2FDF"/>
    <w:rsid w:val="006A4A8A"/>
    <w:rsid w:val="006A4B96"/>
    <w:rsid w:val="006A5309"/>
    <w:rsid w:val="006A5968"/>
    <w:rsid w:val="006A68DA"/>
    <w:rsid w:val="006A6C9E"/>
    <w:rsid w:val="006B3727"/>
    <w:rsid w:val="006B4BAA"/>
    <w:rsid w:val="006B5EEE"/>
    <w:rsid w:val="006B7BA8"/>
    <w:rsid w:val="006B7E76"/>
    <w:rsid w:val="006C19CF"/>
    <w:rsid w:val="006C3458"/>
    <w:rsid w:val="006C3815"/>
    <w:rsid w:val="006C4170"/>
    <w:rsid w:val="006C4A05"/>
    <w:rsid w:val="006C5ACD"/>
    <w:rsid w:val="006C5CB6"/>
    <w:rsid w:val="006C7218"/>
    <w:rsid w:val="006C75F7"/>
    <w:rsid w:val="006C7E9B"/>
    <w:rsid w:val="006D0BDE"/>
    <w:rsid w:val="006D0F3C"/>
    <w:rsid w:val="006D160E"/>
    <w:rsid w:val="006D3D10"/>
    <w:rsid w:val="006D4093"/>
    <w:rsid w:val="006D4430"/>
    <w:rsid w:val="006D586E"/>
    <w:rsid w:val="006D6C20"/>
    <w:rsid w:val="006D7C06"/>
    <w:rsid w:val="006D7D05"/>
    <w:rsid w:val="006E011D"/>
    <w:rsid w:val="006E1A9B"/>
    <w:rsid w:val="006E2E41"/>
    <w:rsid w:val="006E535B"/>
    <w:rsid w:val="006E5D67"/>
    <w:rsid w:val="006E6ED0"/>
    <w:rsid w:val="006E7124"/>
    <w:rsid w:val="006E7FC7"/>
    <w:rsid w:val="006F2488"/>
    <w:rsid w:val="006F3519"/>
    <w:rsid w:val="006F356A"/>
    <w:rsid w:val="006F5923"/>
    <w:rsid w:val="006F6174"/>
    <w:rsid w:val="006F7A9E"/>
    <w:rsid w:val="006F7D4D"/>
    <w:rsid w:val="0070045F"/>
    <w:rsid w:val="007048B2"/>
    <w:rsid w:val="00706DCA"/>
    <w:rsid w:val="00707A7B"/>
    <w:rsid w:val="007123F2"/>
    <w:rsid w:val="0071321B"/>
    <w:rsid w:val="007143E3"/>
    <w:rsid w:val="0071446F"/>
    <w:rsid w:val="007145D7"/>
    <w:rsid w:val="007165DC"/>
    <w:rsid w:val="007166B2"/>
    <w:rsid w:val="00717330"/>
    <w:rsid w:val="00720D3D"/>
    <w:rsid w:val="00720E8F"/>
    <w:rsid w:val="007210F9"/>
    <w:rsid w:val="00724416"/>
    <w:rsid w:val="0072773A"/>
    <w:rsid w:val="00727C00"/>
    <w:rsid w:val="007305B6"/>
    <w:rsid w:val="007319DA"/>
    <w:rsid w:val="00737C42"/>
    <w:rsid w:val="00741F90"/>
    <w:rsid w:val="007425D7"/>
    <w:rsid w:val="00742D00"/>
    <w:rsid w:val="00743AB2"/>
    <w:rsid w:val="00746AF7"/>
    <w:rsid w:val="00746FAD"/>
    <w:rsid w:val="0075016C"/>
    <w:rsid w:val="00752FA6"/>
    <w:rsid w:val="007530BD"/>
    <w:rsid w:val="00754168"/>
    <w:rsid w:val="00755570"/>
    <w:rsid w:val="00755F45"/>
    <w:rsid w:val="00757357"/>
    <w:rsid w:val="00760BF7"/>
    <w:rsid w:val="00762022"/>
    <w:rsid w:val="007630BD"/>
    <w:rsid w:val="0076459F"/>
    <w:rsid w:val="007648E8"/>
    <w:rsid w:val="00764E0B"/>
    <w:rsid w:val="00764FD2"/>
    <w:rsid w:val="00765862"/>
    <w:rsid w:val="0077274B"/>
    <w:rsid w:val="00775691"/>
    <w:rsid w:val="00775E75"/>
    <w:rsid w:val="00777221"/>
    <w:rsid w:val="00780770"/>
    <w:rsid w:val="00783025"/>
    <w:rsid w:val="00784BFC"/>
    <w:rsid w:val="0078739B"/>
    <w:rsid w:val="0079021D"/>
    <w:rsid w:val="007929D8"/>
    <w:rsid w:val="00793D9D"/>
    <w:rsid w:val="00794CF9"/>
    <w:rsid w:val="00794DBB"/>
    <w:rsid w:val="0079594A"/>
    <w:rsid w:val="007A104C"/>
    <w:rsid w:val="007A2250"/>
    <w:rsid w:val="007A2E91"/>
    <w:rsid w:val="007A3563"/>
    <w:rsid w:val="007A56C3"/>
    <w:rsid w:val="007A610A"/>
    <w:rsid w:val="007B095E"/>
    <w:rsid w:val="007B256F"/>
    <w:rsid w:val="007B2905"/>
    <w:rsid w:val="007B335E"/>
    <w:rsid w:val="007B3CAC"/>
    <w:rsid w:val="007B435B"/>
    <w:rsid w:val="007B474E"/>
    <w:rsid w:val="007B7E70"/>
    <w:rsid w:val="007C0495"/>
    <w:rsid w:val="007C67CB"/>
    <w:rsid w:val="007D115D"/>
    <w:rsid w:val="007D1185"/>
    <w:rsid w:val="007D37FB"/>
    <w:rsid w:val="007D3AB0"/>
    <w:rsid w:val="007D3C57"/>
    <w:rsid w:val="007D6324"/>
    <w:rsid w:val="007D68C9"/>
    <w:rsid w:val="007D6C15"/>
    <w:rsid w:val="007D6F94"/>
    <w:rsid w:val="007D7B84"/>
    <w:rsid w:val="007E1F76"/>
    <w:rsid w:val="007E3453"/>
    <w:rsid w:val="007E3857"/>
    <w:rsid w:val="007E4180"/>
    <w:rsid w:val="007E4A3F"/>
    <w:rsid w:val="007E6E94"/>
    <w:rsid w:val="007E775F"/>
    <w:rsid w:val="007F19E2"/>
    <w:rsid w:val="007F2369"/>
    <w:rsid w:val="007F2A00"/>
    <w:rsid w:val="007F2DEA"/>
    <w:rsid w:val="007F353C"/>
    <w:rsid w:val="007F42B0"/>
    <w:rsid w:val="007F557D"/>
    <w:rsid w:val="007F5D9C"/>
    <w:rsid w:val="007F66E1"/>
    <w:rsid w:val="008002FC"/>
    <w:rsid w:val="00800AE7"/>
    <w:rsid w:val="008016A7"/>
    <w:rsid w:val="00801ED9"/>
    <w:rsid w:val="00802399"/>
    <w:rsid w:val="008027C8"/>
    <w:rsid w:val="00803922"/>
    <w:rsid w:val="00804D31"/>
    <w:rsid w:val="008051DC"/>
    <w:rsid w:val="0080586D"/>
    <w:rsid w:val="00805A3D"/>
    <w:rsid w:val="00806DDF"/>
    <w:rsid w:val="00807174"/>
    <w:rsid w:val="00807C0F"/>
    <w:rsid w:val="00807F91"/>
    <w:rsid w:val="0081012C"/>
    <w:rsid w:val="0081039A"/>
    <w:rsid w:val="008103FD"/>
    <w:rsid w:val="00810570"/>
    <w:rsid w:val="00810605"/>
    <w:rsid w:val="00810BBC"/>
    <w:rsid w:val="0081517F"/>
    <w:rsid w:val="0081549F"/>
    <w:rsid w:val="00816B26"/>
    <w:rsid w:val="008176FD"/>
    <w:rsid w:val="00820221"/>
    <w:rsid w:val="00820966"/>
    <w:rsid w:val="008216F7"/>
    <w:rsid w:val="00822153"/>
    <w:rsid w:val="00822FBD"/>
    <w:rsid w:val="00823AB7"/>
    <w:rsid w:val="00827113"/>
    <w:rsid w:val="00827169"/>
    <w:rsid w:val="00827DAF"/>
    <w:rsid w:val="008306A2"/>
    <w:rsid w:val="00830FAF"/>
    <w:rsid w:val="00831BB9"/>
    <w:rsid w:val="00831F70"/>
    <w:rsid w:val="00833134"/>
    <w:rsid w:val="00833713"/>
    <w:rsid w:val="00833D9B"/>
    <w:rsid w:val="008340FE"/>
    <w:rsid w:val="00835A40"/>
    <w:rsid w:val="00835AA0"/>
    <w:rsid w:val="00835FBF"/>
    <w:rsid w:val="00836DA8"/>
    <w:rsid w:val="00836ECE"/>
    <w:rsid w:val="008414B9"/>
    <w:rsid w:val="0084380A"/>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67DAC"/>
    <w:rsid w:val="00870018"/>
    <w:rsid w:val="00871411"/>
    <w:rsid w:val="00871A7B"/>
    <w:rsid w:val="00872192"/>
    <w:rsid w:val="008726D9"/>
    <w:rsid w:val="008735AB"/>
    <w:rsid w:val="008740D8"/>
    <w:rsid w:val="0087506B"/>
    <w:rsid w:val="0087693A"/>
    <w:rsid w:val="00876C63"/>
    <w:rsid w:val="00876D94"/>
    <w:rsid w:val="0089069E"/>
    <w:rsid w:val="008912D3"/>
    <w:rsid w:val="008914CB"/>
    <w:rsid w:val="008937B1"/>
    <w:rsid w:val="00894A43"/>
    <w:rsid w:val="00895477"/>
    <w:rsid w:val="008A15AE"/>
    <w:rsid w:val="008A1DBB"/>
    <w:rsid w:val="008A2A18"/>
    <w:rsid w:val="008A4832"/>
    <w:rsid w:val="008A6A39"/>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1A6D"/>
    <w:rsid w:val="008D2BA4"/>
    <w:rsid w:val="008D45A6"/>
    <w:rsid w:val="008D4CB3"/>
    <w:rsid w:val="008D5CDB"/>
    <w:rsid w:val="008D643C"/>
    <w:rsid w:val="008D6554"/>
    <w:rsid w:val="008D7E71"/>
    <w:rsid w:val="008E0B20"/>
    <w:rsid w:val="008E584F"/>
    <w:rsid w:val="008E5E8B"/>
    <w:rsid w:val="008E6072"/>
    <w:rsid w:val="008E6640"/>
    <w:rsid w:val="008F2669"/>
    <w:rsid w:val="008F2710"/>
    <w:rsid w:val="008F432E"/>
    <w:rsid w:val="008F50BB"/>
    <w:rsid w:val="008F5567"/>
    <w:rsid w:val="008F784B"/>
    <w:rsid w:val="008F7A01"/>
    <w:rsid w:val="00900322"/>
    <w:rsid w:val="00900AF7"/>
    <w:rsid w:val="00901909"/>
    <w:rsid w:val="00901ACE"/>
    <w:rsid w:val="00901B37"/>
    <w:rsid w:val="009043D1"/>
    <w:rsid w:val="0090500B"/>
    <w:rsid w:val="00905578"/>
    <w:rsid w:val="0090746E"/>
    <w:rsid w:val="0090771A"/>
    <w:rsid w:val="00907D44"/>
    <w:rsid w:val="009106C1"/>
    <w:rsid w:val="00910BA4"/>
    <w:rsid w:val="00912C9D"/>
    <w:rsid w:val="00913112"/>
    <w:rsid w:val="00915499"/>
    <w:rsid w:val="00916595"/>
    <w:rsid w:val="009169DE"/>
    <w:rsid w:val="00922E94"/>
    <w:rsid w:val="00924CB1"/>
    <w:rsid w:val="00925905"/>
    <w:rsid w:val="00925FC9"/>
    <w:rsid w:val="00926039"/>
    <w:rsid w:val="009275C5"/>
    <w:rsid w:val="00927772"/>
    <w:rsid w:val="00931E88"/>
    <w:rsid w:val="00933939"/>
    <w:rsid w:val="00934162"/>
    <w:rsid w:val="009342D4"/>
    <w:rsid w:val="00936818"/>
    <w:rsid w:val="009369EF"/>
    <w:rsid w:val="00936A52"/>
    <w:rsid w:val="00940B15"/>
    <w:rsid w:val="009416D1"/>
    <w:rsid w:val="0094391C"/>
    <w:rsid w:val="00945661"/>
    <w:rsid w:val="00946996"/>
    <w:rsid w:val="0095066D"/>
    <w:rsid w:val="0095322B"/>
    <w:rsid w:val="0095360A"/>
    <w:rsid w:val="009559EB"/>
    <w:rsid w:val="009604D5"/>
    <w:rsid w:val="009618D2"/>
    <w:rsid w:val="009626CA"/>
    <w:rsid w:val="00962D06"/>
    <w:rsid w:val="00963402"/>
    <w:rsid w:val="00964835"/>
    <w:rsid w:val="00966868"/>
    <w:rsid w:val="00966917"/>
    <w:rsid w:val="00967387"/>
    <w:rsid w:val="009709AB"/>
    <w:rsid w:val="00971FD5"/>
    <w:rsid w:val="0097223A"/>
    <w:rsid w:val="00972723"/>
    <w:rsid w:val="009729E3"/>
    <w:rsid w:val="00974167"/>
    <w:rsid w:val="00974BED"/>
    <w:rsid w:val="00976143"/>
    <w:rsid w:val="009775A7"/>
    <w:rsid w:val="00980073"/>
    <w:rsid w:val="00980784"/>
    <w:rsid w:val="0098167D"/>
    <w:rsid w:val="00982041"/>
    <w:rsid w:val="00983099"/>
    <w:rsid w:val="009832E7"/>
    <w:rsid w:val="009836DB"/>
    <w:rsid w:val="009839EA"/>
    <w:rsid w:val="00984A57"/>
    <w:rsid w:val="00984EF3"/>
    <w:rsid w:val="00986062"/>
    <w:rsid w:val="009911A1"/>
    <w:rsid w:val="0099175F"/>
    <w:rsid w:val="00992322"/>
    <w:rsid w:val="00992585"/>
    <w:rsid w:val="00992A3A"/>
    <w:rsid w:val="00993261"/>
    <w:rsid w:val="00993578"/>
    <w:rsid w:val="00997E03"/>
    <w:rsid w:val="009A0770"/>
    <w:rsid w:val="009A0BA3"/>
    <w:rsid w:val="009A1A8B"/>
    <w:rsid w:val="009A2A56"/>
    <w:rsid w:val="009A2BE5"/>
    <w:rsid w:val="009A3752"/>
    <w:rsid w:val="009A418D"/>
    <w:rsid w:val="009A520C"/>
    <w:rsid w:val="009A75FE"/>
    <w:rsid w:val="009B137E"/>
    <w:rsid w:val="009B2144"/>
    <w:rsid w:val="009B2D08"/>
    <w:rsid w:val="009B6315"/>
    <w:rsid w:val="009B6C73"/>
    <w:rsid w:val="009C4645"/>
    <w:rsid w:val="009C59F9"/>
    <w:rsid w:val="009C63B1"/>
    <w:rsid w:val="009C6C6F"/>
    <w:rsid w:val="009D0173"/>
    <w:rsid w:val="009D0895"/>
    <w:rsid w:val="009D21F6"/>
    <w:rsid w:val="009D3283"/>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440F"/>
    <w:rsid w:val="009E5FD0"/>
    <w:rsid w:val="009E60EA"/>
    <w:rsid w:val="009E6590"/>
    <w:rsid w:val="009E66D0"/>
    <w:rsid w:val="009E7F8B"/>
    <w:rsid w:val="009F01CF"/>
    <w:rsid w:val="009F06C5"/>
    <w:rsid w:val="009F0C46"/>
    <w:rsid w:val="009F2505"/>
    <w:rsid w:val="009F2E10"/>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50E9"/>
    <w:rsid w:val="00A3538E"/>
    <w:rsid w:val="00A3720D"/>
    <w:rsid w:val="00A37505"/>
    <w:rsid w:val="00A40594"/>
    <w:rsid w:val="00A41A0B"/>
    <w:rsid w:val="00A44C46"/>
    <w:rsid w:val="00A455E5"/>
    <w:rsid w:val="00A455F7"/>
    <w:rsid w:val="00A456F5"/>
    <w:rsid w:val="00A45853"/>
    <w:rsid w:val="00A46E22"/>
    <w:rsid w:val="00A47E4F"/>
    <w:rsid w:val="00A513D2"/>
    <w:rsid w:val="00A51406"/>
    <w:rsid w:val="00A530A2"/>
    <w:rsid w:val="00A53E78"/>
    <w:rsid w:val="00A54A51"/>
    <w:rsid w:val="00A56887"/>
    <w:rsid w:val="00A60B29"/>
    <w:rsid w:val="00A60B80"/>
    <w:rsid w:val="00A61197"/>
    <w:rsid w:val="00A63267"/>
    <w:rsid w:val="00A635F0"/>
    <w:rsid w:val="00A64046"/>
    <w:rsid w:val="00A64535"/>
    <w:rsid w:val="00A71411"/>
    <w:rsid w:val="00A71C30"/>
    <w:rsid w:val="00A71EF1"/>
    <w:rsid w:val="00A72235"/>
    <w:rsid w:val="00A72A25"/>
    <w:rsid w:val="00A740D7"/>
    <w:rsid w:val="00A75555"/>
    <w:rsid w:val="00A759CD"/>
    <w:rsid w:val="00A7660D"/>
    <w:rsid w:val="00A776D2"/>
    <w:rsid w:val="00A82790"/>
    <w:rsid w:val="00A836BF"/>
    <w:rsid w:val="00A83C4D"/>
    <w:rsid w:val="00A83D4C"/>
    <w:rsid w:val="00A84317"/>
    <w:rsid w:val="00A85490"/>
    <w:rsid w:val="00A85845"/>
    <w:rsid w:val="00A86707"/>
    <w:rsid w:val="00A86794"/>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3C76"/>
    <w:rsid w:val="00AA3E6B"/>
    <w:rsid w:val="00AA3FDF"/>
    <w:rsid w:val="00AA5D0C"/>
    <w:rsid w:val="00AA6B2C"/>
    <w:rsid w:val="00AB15E6"/>
    <w:rsid w:val="00AB1EE0"/>
    <w:rsid w:val="00AB2014"/>
    <w:rsid w:val="00AB234B"/>
    <w:rsid w:val="00AB23FC"/>
    <w:rsid w:val="00AB2493"/>
    <w:rsid w:val="00AB2603"/>
    <w:rsid w:val="00AB34BD"/>
    <w:rsid w:val="00AB3C03"/>
    <w:rsid w:val="00AB50AF"/>
    <w:rsid w:val="00AB52EA"/>
    <w:rsid w:val="00AB5EF6"/>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8FC"/>
    <w:rsid w:val="00AE3F46"/>
    <w:rsid w:val="00AE4061"/>
    <w:rsid w:val="00AE52E7"/>
    <w:rsid w:val="00AE68F6"/>
    <w:rsid w:val="00AE6E54"/>
    <w:rsid w:val="00AF17F6"/>
    <w:rsid w:val="00AF2D24"/>
    <w:rsid w:val="00AF413F"/>
    <w:rsid w:val="00AF420A"/>
    <w:rsid w:val="00AF4465"/>
    <w:rsid w:val="00AF4901"/>
    <w:rsid w:val="00AF670F"/>
    <w:rsid w:val="00AF6E5B"/>
    <w:rsid w:val="00AF75AC"/>
    <w:rsid w:val="00AF766A"/>
    <w:rsid w:val="00B014BB"/>
    <w:rsid w:val="00B02826"/>
    <w:rsid w:val="00B043E6"/>
    <w:rsid w:val="00B045EC"/>
    <w:rsid w:val="00B058FF"/>
    <w:rsid w:val="00B07483"/>
    <w:rsid w:val="00B074D0"/>
    <w:rsid w:val="00B10CFD"/>
    <w:rsid w:val="00B158C3"/>
    <w:rsid w:val="00B22517"/>
    <w:rsid w:val="00B2293D"/>
    <w:rsid w:val="00B2353C"/>
    <w:rsid w:val="00B272BE"/>
    <w:rsid w:val="00B27737"/>
    <w:rsid w:val="00B27A14"/>
    <w:rsid w:val="00B32C84"/>
    <w:rsid w:val="00B33E5E"/>
    <w:rsid w:val="00B34D85"/>
    <w:rsid w:val="00B3567F"/>
    <w:rsid w:val="00B3710C"/>
    <w:rsid w:val="00B37FE3"/>
    <w:rsid w:val="00B4043F"/>
    <w:rsid w:val="00B413CC"/>
    <w:rsid w:val="00B41521"/>
    <w:rsid w:val="00B415FE"/>
    <w:rsid w:val="00B42205"/>
    <w:rsid w:val="00B43502"/>
    <w:rsid w:val="00B445B9"/>
    <w:rsid w:val="00B44E97"/>
    <w:rsid w:val="00B46A08"/>
    <w:rsid w:val="00B46C4E"/>
    <w:rsid w:val="00B47DAA"/>
    <w:rsid w:val="00B504BE"/>
    <w:rsid w:val="00B506B0"/>
    <w:rsid w:val="00B52A04"/>
    <w:rsid w:val="00B53238"/>
    <w:rsid w:val="00B5343C"/>
    <w:rsid w:val="00B53EA7"/>
    <w:rsid w:val="00B55E5A"/>
    <w:rsid w:val="00B561E7"/>
    <w:rsid w:val="00B568BF"/>
    <w:rsid w:val="00B573CF"/>
    <w:rsid w:val="00B60383"/>
    <w:rsid w:val="00B60FC0"/>
    <w:rsid w:val="00B664E9"/>
    <w:rsid w:val="00B67A2A"/>
    <w:rsid w:val="00B70610"/>
    <w:rsid w:val="00B72DDC"/>
    <w:rsid w:val="00B7347F"/>
    <w:rsid w:val="00B74AB7"/>
    <w:rsid w:val="00B75565"/>
    <w:rsid w:val="00B76017"/>
    <w:rsid w:val="00B7689E"/>
    <w:rsid w:val="00B81053"/>
    <w:rsid w:val="00B82164"/>
    <w:rsid w:val="00B86446"/>
    <w:rsid w:val="00B870C8"/>
    <w:rsid w:val="00B87B00"/>
    <w:rsid w:val="00B90513"/>
    <w:rsid w:val="00B90A5B"/>
    <w:rsid w:val="00B90C2A"/>
    <w:rsid w:val="00B916FF"/>
    <w:rsid w:val="00B9217D"/>
    <w:rsid w:val="00B92345"/>
    <w:rsid w:val="00B92C4F"/>
    <w:rsid w:val="00B95196"/>
    <w:rsid w:val="00B9530E"/>
    <w:rsid w:val="00B95B12"/>
    <w:rsid w:val="00BA02A3"/>
    <w:rsid w:val="00BA14BA"/>
    <w:rsid w:val="00BA17A9"/>
    <w:rsid w:val="00BA30F2"/>
    <w:rsid w:val="00BA3736"/>
    <w:rsid w:val="00BA4EAC"/>
    <w:rsid w:val="00BA617C"/>
    <w:rsid w:val="00BA68B2"/>
    <w:rsid w:val="00BA7C51"/>
    <w:rsid w:val="00BA7E1E"/>
    <w:rsid w:val="00BA7E21"/>
    <w:rsid w:val="00BB13E4"/>
    <w:rsid w:val="00BB18C4"/>
    <w:rsid w:val="00BB4BBA"/>
    <w:rsid w:val="00BB505E"/>
    <w:rsid w:val="00BB7324"/>
    <w:rsid w:val="00BB78A6"/>
    <w:rsid w:val="00BC0543"/>
    <w:rsid w:val="00BC11E8"/>
    <w:rsid w:val="00BC15FB"/>
    <w:rsid w:val="00BC16FF"/>
    <w:rsid w:val="00BC1721"/>
    <w:rsid w:val="00BC22CF"/>
    <w:rsid w:val="00BC3D6F"/>
    <w:rsid w:val="00BC4C6A"/>
    <w:rsid w:val="00BC57F5"/>
    <w:rsid w:val="00BC782B"/>
    <w:rsid w:val="00BD1D4D"/>
    <w:rsid w:val="00BD498B"/>
    <w:rsid w:val="00BD604B"/>
    <w:rsid w:val="00BD65CD"/>
    <w:rsid w:val="00BD6A7C"/>
    <w:rsid w:val="00BD768A"/>
    <w:rsid w:val="00BD7AFF"/>
    <w:rsid w:val="00BD7CA7"/>
    <w:rsid w:val="00BE13B9"/>
    <w:rsid w:val="00BE4FCF"/>
    <w:rsid w:val="00BE5827"/>
    <w:rsid w:val="00BE5DA9"/>
    <w:rsid w:val="00BE69FF"/>
    <w:rsid w:val="00BF0872"/>
    <w:rsid w:val="00BF1745"/>
    <w:rsid w:val="00BF19FA"/>
    <w:rsid w:val="00BF4C3E"/>
    <w:rsid w:val="00BF757A"/>
    <w:rsid w:val="00C017FF"/>
    <w:rsid w:val="00C01FBD"/>
    <w:rsid w:val="00C02090"/>
    <w:rsid w:val="00C022E9"/>
    <w:rsid w:val="00C03970"/>
    <w:rsid w:val="00C04AA0"/>
    <w:rsid w:val="00C060B9"/>
    <w:rsid w:val="00C06806"/>
    <w:rsid w:val="00C0746C"/>
    <w:rsid w:val="00C07ED9"/>
    <w:rsid w:val="00C11341"/>
    <w:rsid w:val="00C15A5E"/>
    <w:rsid w:val="00C17352"/>
    <w:rsid w:val="00C17356"/>
    <w:rsid w:val="00C17507"/>
    <w:rsid w:val="00C17BFA"/>
    <w:rsid w:val="00C22767"/>
    <w:rsid w:val="00C22C2F"/>
    <w:rsid w:val="00C25992"/>
    <w:rsid w:val="00C267E3"/>
    <w:rsid w:val="00C27B64"/>
    <w:rsid w:val="00C30167"/>
    <w:rsid w:val="00C308DC"/>
    <w:rsid w:val="00C31AC5"/>
    <w:rsid w:val="00C31CE3"/>
    <w:rsid w:val="00C3206E"/>
    <w:rsid w:val="00C365F1"/>
    <w:rsid w:val="00C3665C"/>
    <w:rsid w:val="00C368EE"/>
    <w:rsid w:val="00C36EA2"/>
    <w:rsid w:val="00C37F27"/>
    <w:rsid w:val="00C40CC6"/>
    <w:rsid w:val="00C41E59"/>
    <w:rsid w:val="00C42234"/>
    <w:rsid w:val="00C449B4"/>
    <w:rsid w:val="00C4510D"/>
    <w:rsid w:val="00C471D2"/>
    <w:rsid w:val="00C4754D"/>
    <w:rsid w:val="00C50A1C"/>
    <w:rsid w:val="00C514CD"/>
    <w:rsid w:val="00C5311E"/>
    <w:rsid w:val="00C5343D"/>
    <w:rsid w:val="00C54A52"/>
    <w:rsid w:val="00C5641F"/>
    <w:rsid w:val="00C60A5E"/>
    <w:rsid w:val="00C61028"/>
    <w:rsid w:val="00C61954"/>
    <w:rsid w:val="00C62B36"/>
    <w:rsid w:val="00C63219"/>
    <w:rsid w:val="00C632D8"/>
    <w:rsid w:val="00C64182"/>
    <w:rsid w:val="00C66EA0"/>
    <w:rsid w:val="00C70604"/>
    <w:rsid w:val="00C7392F"/>
    <w:rsid w:val="00C74920"/>
    <w:rsid w:val="00C7610F"/>
    <w:rsid w:val="00C773F9"/>
    <w:rsid w:val="00C775A1"/>
    <w:rsid w:val="00C77B0A"/>
    <w:rsid w:val="00C8091E"/>
    <w:rsid w:val="00C80EE0"/>
    <w:rsid w:val="00C8162B"/>
    <w:rsid w:val="00C816BA"/>
    <w:rsid w:val="00C81CA2"/>
    <w:rsid w:val="00C8291D"/>
    <w:rsid w:val="00C833B1"/>
    <w:rsid w:val="00C913EF"/>
    <w:rsid w:val="00C91C9D"/>
    <w:rsid w:val="00C939B9"/>
    <w:rsid w:val="00C93A2E"/>
    <w:rsid w:val="00C95F0B"/>
    <w:rsid w:val="00C96435"/>
    <w:rsid w:val="00C96BF3"/>
    <w:rsid w:val="00C97AFD"/>
    <w:rsid w:val="00CA17E1"/>
    <w:rsid w:val="00CA1E0F"/>
    <w:rsid w:val="00CA2484"/>
    <w:rsid w:val="00CA2910"/>
    <w:rsid w:val="00CA296D"/>
    <w:rsid w:val="00CA32BF"/>
    <w:rsid w:val="00CA32DC"/>
    <w:rsid w:val="00CA4B16"/>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174B"/>
    <w:rsid w:val="00CC2B30"/>
    <w:rsid w:val="00CC3532"/>
    <w:rsid w:val="00CC5AC0"/>
    <w:rsid w:val="00CC6554"/>
    <w:rsid w:val="00CD00BC"/>
    <w:rsid w:val="00CD1954"/>
    <w:rsid w:val="00CD1F12"/>
    <w:rsid w:val="00CD34FF"/>
    <w:rsid w:val="00CD36CA"/>
    <w:rsid w:val="00CD37B5"/>
    <w:rsid w:val="00CD3B65"/>
    <w:rsid w:val="00CD3CB1"/>
    <w:rsid w:val="00CD43FA"/>
    <w:rsid w:val="00CD608D"/>
    <w:rsid w:val="00CD7616"/>
    <w:rsid w:val="00CD795A"/>
    <w:rsid w:val="00CE11DD"/>
    <w:rsid w:val="00CE30E7"/>
    <w:rsid w:val="00CE3283"/>
    <w:rsid w:val="00CE35FD"/>
    <w:rsid w:val="00CE4D95"/>
    <w:rsid w:val="00CE629D"/>
    <w:rsid w:val="00CF07E6"/>
    <w:rsid w:val="00CF226E"/>
    <w:rsid w:val="00CF2562"/>
    <w:rsid w:val="00CF33B6"/>
    <w:rsid w:val="00CF406F"/>
    <w:rsid w:val="00CF5521"/>
    <w:rsid w:val="00CF7D29"/>
    <w:rsid w:val="00D01FB8"/>
    <w:rsid w:val="00D021C2"/>
    <w:rsid w:val="00D02A81"/>
    <w:rsid w:val="00D04C65"/>
    <w:rsid w:val="00D04C90"/>
    <w:rsid w:val="00D062BE"/>
    <w:rsid w:val="00D06457"/>
    <w:rsid w:val="00D06776"/>
    <w:rsid w:val="00D068BB"/>
    <w:rsid w:val="00D0769E"/>
    <w:rsid w:val="00D07E73"/>
    <w:rsid w:val="00D115E6"/>
    <w:rsid w:val="00D13FEF"/>
    <w:rsid w:val="00D151E7"/>
    <w:rsid w:val="00D1730F"/>
    <w:rsid w:val="00D17787"/>
    <w:rsid w:val="00D17B1C"/>
    <w:rsid w:val="00D17F70"/>
    <w:rsid w:val="00D20593"/>
    <w:rsid w:val="00D22406"/>
    <w:rsid w:val="00D2384D"/>
    <w:rsid w:val="00D25869"/>
    <w:rsid w:val="00D25AC0"/>
    <w:rsid w:val="00D25C0A"/>
    <w:rsid w:val="00D25D86"/>
    <w:rsid w:val="00D263F1"/>
    <w:rsid w:val="00D26487"/>
    <w:rsid w:val="00D265C8"/>
    <w:rsid w:val="00D323C4"/>
    <w:rsid w:val="00D33F2B"/>
    <w:rsid w:val="00D340DB"/>
    <w:rsid w:val="00D34189"/>
    <w:rsid w:val="00D34CE8"/>
    <w:rsid w:val="00D34E19"/>
    <w:rsid w:val="00D3593A"/>
    <w:rsid w:val="00D36139"/>
    <w:rsid w:val="00D375D6"/>
    <w:rsid w:val="00D4001C"/>
    <w:rsid w:val="00D432BF"/>
    <w:rsid w:val="00D438F0"/>
    <w:rsid w:val="00D442DB"/>
    <w:rsid w:val="00D44372"/>
    <w:rsid w:val="00D443D4"/>
    <w:rsid w:val="00D4603C"/>
    <w:rsid w:val="00D5206B"/>
    <w:rsid w:val="00D52ADB"/>
    <w:rsid w:val="00D53161"/>
    <w:rsid w:val="00D5508F"/>
    <w:rsid w:val="00D55786"/>
    <w:rsid w:val="00D55EC2"/>
    <w:rsid w:val="00D55F02"/>
    <w:rsid w:val="00D60812"/>
    <w:rsid w:val="00D60A30"/>
    <w:rsid w:val="00D623DD"/>
    <w:rsid w:val="00D62D39"/>
    <w:rsid w:val="00D62FA0"/>
    <w:rsid w:val="00D632DB"/>
    <w:rsid w:val="00D63708"/>
    <w:rsid w:val="00D63B83"/>
    <w:rsid w:val="00D6481B"/>
    <w:rsid w:val="00D66900"/>
    <w:rsid w:val="00D67371"/>
    <w:rsid w:val="00D70935"/>
    <w:rsid w:val="00D724FE"/>
    <w:rsid w:val="00D759E5"/>
    <w:rsid w:val="00D77706"/>
    <w:rsid w:val="00D77A2F"/>
    <w:rsid w:val="00D80219"/>
    <w:rsid w:val="00D8128F"/>
    <w:rsid w:val="00D82717"/>
    <w:rsid w:val="00D82D31"/>
    <w:rsid w:val="00D82E17"/>
    <w:rsid w:val="00D83283"/>
    <w:rsid w:val="00D84645"/>
    <w:rsid w:val="00D859AC"/>
    <w:rsid w:val="00D86198"/>
    <w:rsid w:val="00D874EA"/>
    <w:rsid w:val="00D87704"/>
    <w:rsid w:val="00D878BD"/>
    <w:rsid w:val="00D90CF3"/>
    <w:rsid w:val="00D90EDE"/>
    <w:rsid w:val="00D9165A"/>
    <w:rsid w:val="00D91EAA"/>
    <w:rsid w:val="00D92AC0"/>
    <w:rsid w:val="00D94DD8"/>
    <w:rsid w:val="00D96028"/>
    <w:rsid w:val="00DA1892"/>
    <w:rsid w:val="00DA22EF"/>
    <w:rsid w:val="00DA34B6"/>
    <w:rsid w:val="00DA36CA"/>
    <w:rsid w:val="00DA48A7"/>
    <w:rsid w:val="00DA5907"/>
    <w:rsid w:val="00DA6E22"/>
    <w:rsid w:val="00DA6E7B"/>
    <w:rsid w:val="00DA7022"/>
    <w:rsid w:val="00DB0AED"/>
    <w:rsid w:val="00DB10AB"/>
    <w:rsid w:val="00DB1F0A"/>
    <w:rsid w:val="00DB2B34"/>
    <w:rsid w:val="00DB3CCC"/>
    <w:rsid w:val="00DB53CB"/>
    <w:rsid w:val="00DB5DEB"/>
    <w:rsid w:val="00DB67F3"/>
    <w:rsid w:val="00DC11F9"/>
    <w:rsid w:val="00DC2867"/>
    <w:rsid w:val="00DC2BC4"/>
    <w:rsid w:val="00DC343A"/>
    <w:rsid w:val="00DD130F"/>
    <w:rsid w:val="00DD4131"/>
    <w:rsid w:val="00DD4387"/>
    <w:rsid w:val="00DD5B36"/>
    <w:rsid w:val="00DD7C42"/>
    <w:rsid w:val="00DD7F60"/>
    <w:rsid w:val="00DE295D"/>
    <w:rsid w:val="00DE2B95"/>
    <w:rsid w:val="00DE45E9"/>
    <w:rsid w:val="00DE51F9"/>
    <w:rsid w:val="00DE52FB"/>
    <w:rsid w:val="00DE56BC"/>
    <w:rsid w:val="00DE7F8F"/>
    <w:rsid w:val="00DF03B9"/>
    <w:rsid w:val="00DF0C4B"/>
    <w:rsid w:val="00DF0F34"/>
    <w:rsid w:val="00DF1657"/>
    <w:rsid w:val="00DF36FD"/>
    <w:rsid w:val="00DF3718"/>
    <w:rsid w:val="00DF38F5"/>
    <w:rsid w:val="00DF6462"/>
    <w:rsid w:val="00DF6D4A"/>
    <w:rsid w:val="00E00B6A"/>
    <w:rsid w:val="00E01C2C"/>
    <w:rsid w:val="00E020B4"/>
    <w:rsid w:val="00E023F7"/>
    <w:rsid w:val="00E028E3"/>
    <w:rsid w:val="00E03016"/>
    <w:rsid w:val="00E035A1"/>
    <w:rsid w:val="00E03911"/>
    <w:rsid w:val="00E049CB"/>
    <w:rsid w:val="00E04D19"/>
    <w:rsid w:val="00E05B4C"/>
    <w:rsid w:val="00E07967"/>
    <w:rsid w:val="00E10691"/>
    <w:rsid w:val="00E1143F"/>
    <w:rsid w:val="00E1160F"/>
    <w:rsid w:val="00E116BC"/>
    <w:rsid w:val="00E11A5D"/>
    <w:rsid w:val="00E12377"/>
    <w:rsid w:val="00E12D42"/>
    <w:rsid w:val="00E12E5C"/>
    <w:rsid w:val="00E13986"/>
    <w:rsid w:val="00E14FF2"/>
    <w:rsid w:val="00E2059A"/>
    <w:rsid w:val="00E234C8"/>
    <w:rsid w:val="00E23FD9"/>
    <w:rsid w:val="00E241D9"/>
    <w:rsid w:val="00E24E21"/>
    <w:rsid w:val="00E26111"/>
    <w:rsid w:val="00E27F54"/>
    <w:rsid w:val="00E30277"/>
    <w:rsid w:val="00E308BB"/>
    <w:rsid w:val="00E313CE"/>
    <w:rsid w:val="00E3165C"/>
    <w:rsid w:val="00E3244D"/>
    <w:rsid w:val="00E32751"/>
    <w:rsid w:val="00E32A8E"/>
    <w:rsid w:val="00E33895"/>
    <w:rsid w:val="00E3398B"/>
    <w:rsid w:val="00E33A3B"/>
    <w:rsid w:val="00E367DC"/>
    <w:rsid w:val="00E36D70"/>
    <w:rsid w:val="00E377C9"/>
    <w:rsid w:val="00E37B82"/>
    <w:rsid w:val="00E37D59"/>
    <w:rsid w:val="00E42E68"/>
    <w:rsid w:val="00E44A20"/>
    <w:rsid w:val="00E44C2A"/>
    <w:rsid w:val="00E453B2"/>
    <w:rsid w:val="00E46571"/>
    <w:rsid w:val="00E501E2"/>
    <w:rsid w:val="00E51651"/>
    <w:rsid w:val="00E550CC"/>
    <w:rsid w:val="00E55672"/>
    <w:rsid w:val="00E5616A"/>
    <w:rsid w:val="00E56FEA"/>
    <w:rsid w:val="00E60196"/>
    <w:rsid w:val="00E61F8D"/>
    <w:rsid w:val="00E63C2D"/>
    <w:rsid w:val="00E6638F"/>
    <w:rsid w:val="00E67590"/>
    <w:rsid w:val="00E67F1D"/>
    <w:rsid w:val="00E703B0"/>
    <w:rsid w:val="00E709FC"/>
    <w:rsid w:val="00E71ADD"/>
    <w:rsid w:val="00E73876"/>
    <w:rsid w:val="00E74575"/>
    <w:rsid w:val="00E74AD8"/>
    <w:rsid w:val="00E76CEE"/>
    <w:rsid w:val="00E77115"/>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5C4"/>
    <w:rsid w:val="00E95C4B"/>
    <w:rsid w:val="00E965EE"/>
    <w:rsid w:val="00E9683E"/>
    <w:rsid w:val="00E96BED"/>
    <w:rsid w:val="00E96ECC"/>
    <w:rsid w:val="00E9744A"/>
    <w:rsid w:val="00E97657"/>
    <w:rsid w:val="00EA28E6"/>
    <w:rsid w:val="00EA2A51"/>
    <w:rsid w:val="00EA3F51"/>
    <w:rsid w:val="00EA536C"/>
    <w:rsid w:val="00EA7A63"/>
    <w:rsid w:val="00EB0052"/>
    <w:rsid w:val="00EB0FBB"/>
    <w:rsid w:val="00EB215C"/>
    <w:rsid w:val="00EB3768"/>
    <w:rsid w:val="00EB3A44"/>
    <w:rsid w:val="00EB5817"/>
    <w:rsid w:val="00EB5D26"/>
    <w:rsid w:val="00EB7522"/>
    <w:rsid w:val="00EB7D69"/>
    <w:rsid w:val="00EC223C"/>
    <w:rsid w:val="00EC2870"/>
    <w:rsid w:val="00EC2AC1"/>
    <w:rsid w:val="00EC4184"/>
    <w:rsid w:val="00EC7BA7"/>
    <w:rsid w:val="00ED0CB1"/>
    <w:rsid w:val="00ED230B"/>
    <w:rsid w:val="00ED3570"/>
    <w:rsid w:val="00ED368F"/>
    <w:rsid w:val="00ED3B71"/>
    <w:rsid w:val="00ED4A3F"/>
    <w:rsid w:val="00ED4FDE"/>
    <w:rsid w:val="00ED6D87"/>
    <w:rsid w:val="00EE1DB5"/>
    <w:rsid w:val="00EE3357"/>
    <w:rsid w:val="00EF00C9"/>
    <w:rsid w:val="00EF09C3"/>
    <w:rsid w:val="00EF0C29"/>
    <w:rsid w:val="00EF30E2"/>
    <w:rsid w:val="00EF3119"/>
    <w:rsid w:val="00EF3282"/>
    <w:rsid w:val="00EF6C64"/>
    <w:rsid w:val="00F002AB"/>
    <w:rsid w:val="00F00F89"/>
    <w:rsid w:val="00F013B9"/>
    <w:rsid w:val="00F016BB"/>
    <w:rsid w:val="00F0237A"/>
    <w:rsid w:val="00F039CF"/>
    <w:rsid w:val="00F05335"/>
    <w:rsid w:val="00F0536E"/>
    <w:rsid w:val="00F05D39"/>
    <w:rsid w:val="00F06333"/>
    <w:rsid w:val="00F10E47"/>
    <w:rsid w:val="00F12F6E"/>
    <w:rsid w:val="00F13CBC"/>
    <w:rsid w:val="00F14855"/>
    <w:rsid w:val="00F21417"/>
    <w:rsid w:val="00F21E4B"/>
    <w:rsid w:val="00F22A72"/>
    <w:rsid w:val="00F231CE"/>
    <w:rsid w:val="00F2385F"/>
    <w:rsid w:val="00F24324"/>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4BC3"/>
    <w:rsid w:val="00F475D0"/>
    <w:rsid w:val="00F5118A"/>
    <w:rsid w:val="00F555B0"/>
    <w:rsid w:val="00F6162A"/>
    <w:rsid w:val="00F66759"/>
    <w:rsid w:val="00F67474"/>
    <w:rsid w:val="00F67967"/>
    <w:rsid w:val="00F67CF6"/>
    <w:rsid w:val="00F72651"/>
    <w:rsid w:val="00F7301E"/>
    <w:rsid w:val="00F8175E"/>
    <w:rsid w:val="00F81B05"/>
    <w:rsid w:val="00F81F15"/>
    <w:rsid w:val="00F82049"/>
    <w:rsid w:val="00F82C9F"/>
    <w:rsid w:val="00F8388A"/>
    <w:rsid w:val="00F84E80"/>
    <w:rsid w:val="00F87537"/>
    <w:rsid w:val="00F90D7D"/>
    <w:rsid w:val="00F947DC"/>
    <w:rsid w:val="00F948F3"/>
    <w:rsid w:val="00F9700C"/>
    <w:rsid w:val="00F9781A"/>
    <w:rsid w:val="00FA057C"/>
    <w:rsid w:val="00FA086F"/>
    <w:rsid w:val="00FA0D16"/>
    <w:rsid w:val="00FA185B"/>
    <w:rsid w:val="00FA294A"/>
    <w:rsid w:val="00FA60BF"/>
    <w:rsid w:val="00FA6883"/>
    <w:rsid w:val="00FA7405"/>
    <w:rsid w:val="00FB0D12"/>
    <w:rsid w:val="00FB1CB4"/>
    <w:rsid w:val="00FB23B5"/>
    <w:rsid w:val="00FB3D40"/>
    <w:rsid w:val="00FB44EB"/>
    <w:rsid w:val="00FB675F"/>
    <w:rsid w:val="00FC11A3"/>
    <w:rsid w:val="00FC1300"/>
    <w:rsid w:val="00FC1C93"/>
    <w:rsid w:val="00FC42A3"/>
    <w:rsid w:val="00FC55F9"/>
    <w:rsid w:val="00FC60D4"/>
    <w:rsid w:val="00FC77AE"/>
    <w:rsid w:val="00FC7D9F"/>
    <w:rsid w:val="00FD2BAD"/>
    <w:rsid w:val="00FD2F51"/>
    <w:rsid w:val="00FD330C"/>
    <w:rsid w:val="00FD3660"/>
    <w:rsid w:val="00FD484C"/>
    <w:rsid w:val="00FD49D6"/>
    <w:rsid w:val="00FD5230"/>
    <w:rsid w:val="00FD55FB"/>
    <w:rsid w:val="00FD569D"/>
    <w:rsid w:val="00FD678B"/>
    <w:rsid w:val="00FD6903"/>
    <w:rsid w:val="00FE1ADC"/>
    <w:rsid w:val="00FE225D"/>
    <w:rsid w:val="00FE4989"/>
    <w:rsid w:val="00FE5C3E"/>
    <w:rsid w:val="00FF0A2F"/>
    <w:rsid w:val="00FF1B04"/>
    <w:rsid w:val="00FF22F8"/>
    <w:rsid w:val="01654C82"/>
    <w:rsid w:val="020A6A96"/>
    <w:rsid w:val="0356786B"/>
    <w:rsid w:val="046E31C1"/>
    <w:rsid w:val="056C4F65"/>
    <w:rsid w:val="06F4696E"/>
    <w:rsid w:val="07245E56"/>
    <w:rsid w:val="0B852C6D"/>
    <w:rsid w:val="0C023D8C"/>
    <w:rsid w:val="0C225D7B"/>
    <w:rsid w:val="0E9022D3"/>
    <w:rsid w:val="0E94232E"/>
    <w:rsid w:val="0F1306D5"/>
    <w:rsid w:val="11295396"/>
    <w:rsid w:val="12F56293"/>
    <w:rsid w:val="156656C7"/>
    <w:rsid w:val="163A1B23"/>
    <w:rsid w:val="163E2FB7"/>
    <w:rsid w:val="17622796"/>
    <w:rsid w:val="17D71E7F"/>
    <w:rsid w:val="181C08FC"/>
    <w:rsid w:val="19F32D28"/>
    <w:rsid w:val="1A48157B"/>
    <w:rsid w:val="1AAA799F"/>
    <w:rsid w:val="1B9930ED"/>
    <w:rsid w:val="1BD70953"/>
    <w:rsid w:val="1BF87698"/>
    <w:rsid w:val="1E585AB7"/>
    <w:rsid w:val="1E8075A1"/>
    <w:rsid w:val="1EB160C2"/>
    <w:rsid w:val="1FA97B1F"/>
    <w:rsid w:val="1FF145B9"/>
    <w:rsid w:val="2193546F"/>
    <w:rsid w:val="26F50BA9"/>
    <w:rsid w:val="27BD5E26"/>
    <w:rsid w:val="285E4249"/>
    <w:rsid w:val="28953558"/>
    <w:rsid w:val="29026D00"/>
    <w:rsid w:val="29AF0175"/>
    <w:rsid w:val="2EA644DF"/>
    <w:rsid w:val="2FB532A0"/>
    <w:rsid w:val="319C4BEA"/>
    <w:rsid w:val="34C829B2"/>
    <w:rsid w:val="35381804"/>
    <w:rsid w:val="36146FAD"/>
    <w:rsid w:val="38051411"/>
    <w:rsid w:val="386A3F56"/>
    <w:rsid w:val="38777E2D"/>
    <w:rsid w:val="3A810EF7"/>
    <w:rsid w:val="3A842191"/>
    <w:rsid w:val="3ACF0F3F"/>
    <w:rsid w:val="3B7626CB"/>
    <w:rsid w:val="3C3802E9"/>
    <w:rsid w:val="3DA51C15"/>
    <w:rsid w:val="3E586AB8"/>
    <w:rsid w:val="3E5C1B1D"/>
    <w:rsid w:val="3EAE14E9"/>
    <w:rsid w:val="3FD261A6"/>
    <w:rsid w:val="407C0C49"/>
    <w:rsid w:val="42EB2F9C"/>
    <w:rsid w:val="45226963"/>
    <w:rsid w:val="461B2E09"/>
    <w:rsid w:val="477C2F5C"/>
    <w:rsid w:val="499C5ED6"/>
    <w:rsid w:val="49CF7D54"/>
    <w:rsid w:val="4D39606F"/>
    <w:rsid w:val="4F137BD5"/>
    <w:rsid w:val="4F8E3D4D"/>
    <w:rsid w:val="521B62D0"/>
    <w:rsid w:val="53063B85"/>
    <w:rsid w:val="533C1961"/>
    <w:rsid w:val="53B3493A"/>
    <w:rsid w:val="54560EDE"/>
    <w:rsid w:val="5537323C"/>
    <w:rsid w:val="55855837"/>
    <w:rsid w:val="55E83741"/>
    <w:rsid w:val="56503211"/>
    <w:rsid w:val="598B567E"/>
    <w:rsid w:val="5C624734"/>
    <w:rsid w:val="5FE91ABC"/>
    <w:rsid w:val="60EB32EA"/>
    <w:rsid w:val="628E734C"/>
    <w:rsid w:val="62BD3A82"/>
    <w:rsid w:val="6580603B"/>
    <w:rsid w:val="66A34D18"/>
    <w:rsid w:val="66B96F6D"/>
    <w:rsid w:val="67240B6C"/>
    <w:rsid w:val="682A44E1"/>
    <w:rsid w:val="68C7223A"/>
    <w:rsid w:val="68EF6886"/>
    <w:rsid w:val="69867C07"/>
    <w:rsid w:val="698759A8"/>
    <w:rsid w:val="6AAD6877"/>
    <w:rsid w:val="6B3F3089"/>
    <w:rsid w:val="6C2B2E22"/>
    <w:rsid w:val="6EAA7DFD"/>
    <w:rsid w:val="6EE25628"/>
    <w:rsid w:val="6FDD1093"/>
    <w:rsid w:val="709C0126"/>
    <w:rsid w:val="70F170A8"/>
    <w:rsid w:val="717B6CD1"/>
    <w:rsid w:val="76022652"/>
    <w:rsid w:val="768501BE"/>
    <w:rsid w:val="76C8601E"/>
    <w:rsid w:val="77150144"/>
    <w:rsid w:val="7BEA1CFE"/>
    <w:rsid w:val="7D803772"/>
    <w:rsid w:val="7D80556D"/>
    <w:rsid w:val="7DBE6749"/>
    <w:rsid w:val="7E3713F1"/>
    <w:rsid w:val="7ED86E63"/>
    <w:rsid w:val="7F5534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99"/>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 w:type="paragraph" w:customStyle="1" w:styleId="86">
    <w:name w:val="正文2"/>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8.xml"/><Relationship Id="rId24" Type="http://schemas.openxmlformats.org/officeDocument/2006/relationships/customXml" Target="../customXml/item17.xml"/><Relationship Id="rId23" Type="http://schemas.openxmlformats.org/officeDocument/2006/relationships/customXml" Target="../customXml/item16.xml"/><Relationship Id="rId22" Type="http://schemas.openxmlformats.org/officeDocument/2006/relationships/customXml" Target="../customXml/item15.xml"/><Relationship Id="rId21" Type="http://schemas.openxmlformats.org/officeDocument/2006/relationships/customXml" Target="../customXml/item14.xml"/><Relationship Id="rId20" Type="http://schemas.openxmlformats.org/officeDocument/2006/relationships/customXml" Target="../customXml/item13.xml"/><Relationship Id="rId2" Type="http://schemas.openxmlformats.org/officeDocument/2006/relationships/settings" Target="settings.xml"/><Relationship Id="rId19" Type="http://schemas.openxmlformats.org/officeDocument/2006/relationships/customXml" Target="../customXml/item12.xml"/><Relationship Id="rId18" Type="http://schemas.openxmlformats.org/officeDocument/2006/relationships/customXml" Target="../customXml/item11.xml"/><Relationship Id="rId17" Type="http://schemas.openxmlformats.org/officeDocument/2006/relationships/customXml" Target="../customXml/item10.xml"/><Relationship Id="rId16" Type="http://schemas.openxmlformats.org/officeDocument/2006/relationships/customXml" Target="../customXml/item9.xml"/><Relationship Id="rId15" Type="http://schemas.openxmlformats.org/officeDocument/2006/relationships/customXml" Target="../customXml/item8.xml"/><Relationship Id="rId14" Type="http://schemas.openxmlformats.org/officeDocument/2006/relationships/customXml" Target="../customXml/item7.xml"/><Relationship Id="rId13" Type="http://schemas.openxmlformats.org/officeDocument/2006/relationships/customXml" Target="../customXml/item6.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D902962D-C8CC-43BF-804A-CD60AE6D7475}">
  <ds:schemaRefs/>
</ds:datastoreItem>
</file>

<file path=customXml/itemProps11.xml><?xml version="1.0" encoding="utf-8"?>
<ds:datastoreItem xmlns:ds="http://schemas.openxmlformats.org/officeDocument/2006/customXml" ds:itemID="{EC45DDBE-A426-47CA-BC62-D025DE29F1BC}">
  <ds:schemaRefs/>
</ds:datastoreItem>
</file>

<file path=customXml/itemProps12.xml><?xml version="1.0" encoding="utf-8"?>
<ds:datastoreItem xmlns:ds="http://schemas.openxmlformats.org/officeDocument/2006/customXml" ds:itemID="{A06CD169-7F5C-4082-81B2-6ECAA9AF6149}">
  <ds:schemaRefs/>
</ds:datastoreItem>
</file>

<file path=customXml/itemProps13.xml><?xml version="1.0" encoding="utf-8"?>
<ds:datastoreItem xmlns:ds="http://schemas.openxmlformats.org/officeDocument/2006/customXml" ds:itemID="{7E5C9D84-6DB6-48FB-8632-D5279FC233C8}">
  <ds:schemaRefs/>
</ds:datastoreItem>
</file>

<file path=customXml/itemProps14.xml><?xml version="1.0" encoding="utf-8"?>
<ds:datastoreItem xmlns:ds="http://schemas.openxmlformats.org/officeDocument/2006/customXml" ds:itemID="{0A7AA9EF-3B8C-4BAA-9155-A6E3E5337D3C}">
  <ds:schemaRefs/>
</ds:datastoreItem>
</file>

<file path=customXml/itemProps15.xml><?xml version="1.0" encoding="utf-8"?>
<ds:datastoreItem xmlns:ds="http://schemas.openxmlformats.org/officeDocument/2006/customXml" ds:itemID="{CF487381-D648-48A1-B1E4-A4540B0D3650}">
  <ds:schemaRefs/>
</ds:datastoreItem>
</file>

<file path=customXml/itemProps16.xml><?xml version="1.0" encoding="utf-8"?>
<ds:datastoreItem xmlns:ds="http://schemas.openxmlformats.org/officeDocument/2006/customXml" ds:itemID="{3A3C3A8D-C5E4-45AF-8B48-C3BF528808AD}">
  <ds:schemaRefs/>
</ds:datastoreItem>
</file>

<file path=customXml/itemProps17.xml><?xml version="1.0" encoding="utf-8"?>
<ds:datastoreItem xmlns:ds="http://schemas.openxmlformats.org/officeDocument/2006/customXml" ds:itemID="{2108FF18-8EC8-4170-A536-1AA8E39CC797}">
  <ds:schemaRefs/>
</ds:datastoreItem>
</file>

<file path=customXml/itemProps18.xml><?xml version="1.0" encoding="utf-8"?>
<ds:datastoreItem xmlns:ds="http://schemas.openxmlformats.org/officeDocument/2006/customXml" ds:itemID="{509BA638-9D3A-4AA3-A169-FF78BC0E4BE9}">
  <ds:schemaRefs/>
</ds:datastoreItem>
</file>

<file path=customXml/itemProps2.xml><?xml version="1.0" encoding="utf-8"?>
<ds:datastoreItem xmlns:ds="http://schemas.openxmlformats.org/officeDocument/2006/customXml" ds:itemID="{BEEE0313-55EB-45FA-BBBD-C0232D367255}">
  <ds:schemaRefs/>
</ds:datastoreItem>
</file>

<file path=customXml/itemProps3.xml><?xml version="1.0" encoding="utf-8"?>
<ds:datastoreItem xmlns:ds="http://schemas.openxmlformats.org/officeDocument/2006/customXml" ds:itemID="{E6D3D55C-3DD8-4C31-8069-E5508DD844FB}">
  <ds:schemaRefs/>
</ds:datastoreItem>
</file>

<file path=customXml/itemProps4.xml><?xml version="1.0" encoding="utf-8"?>
<ds:datastoreItem xmlns:ds="http://schemas.openxmlformats.org/officeDocument/2006/customXml" ds:itemID="{AC86F3EB-DB57-4B60-8A7E-BBB67A22EE0B}">
  <ds:schemaRefs/>
</ds:datastoreItem>
</file>

<file path=customXml/itemProps5.xml><?xml version="1.0" encoding="utf-8"?>
<ds:datastoreItem xmlns:ds="http://schemas.openxmlformats.org/officeDocument/2006/customXml" ds:itemID="{1A3BDF38-4832-4575-A8AB-7A1679738229}">
  <ds:schemaRefs/>
</ds:datastoreItem>
</file>

<file path=customXml/itemProps6.xml><?xml version="1.0" encoding="utf-8"?>
<ds:datastoreItem xmlns:ds="http://schemas.openxmlformats.org/officeDocument/2006/customXml" ds:itemID="{1990A2D8-324F-45D5-B9CD-07245ED2860B}">
  <ds:schemaRefs/>
</ds:datastoreItem>
</file>

<file path=customXml/itemProps7.xml><?xml version="1.0" encoding="utf-8"?>
<ds:datastoreItem xmlns:ds="http://schemas.openxmlformats.org/officeDocument/2006/customXml" ds:itemID="{79B37214-9E52-4241-8DD2-9E9CD9442006}">
  <ds:schemaRefs/>
</ds:datastoreItem>
</file>

<file path=customXml/itemProps8.xml><?xml version="1.0" encoding="utf-8"?>
<ds:datastoreItem xmlns:ds="http://schemas.openxmlformats.org/officeDocument/2006/customXml" ds:itemID="{9114D43D-ED98-4C7B-A3AE-26D78B80CA82}">
  <ds:schemaRefs/>
</ds:datastoreItem>
</file>

<file path=customXml/itemProps9.xml><?xml version="1.0" encoding="utf-8"?>
<ds:datastoreItem xmlns:ds="http://schemas.openxmlformats.org/officeDocument/2006/customXml" ds:itemID="{EA42650B-39DE-4B1C-9FD1-3FB0A3325F30}">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4393</Words>
  <Characters>25042</Characters>
  <Lines>208</Lines>
  <Paragraphs>58</Paragraphs>
  <TotalTime>26</TotalTime>
  <ScaleCrop>false</ScaleCrop>
  <LinksUpToDate>false</LinksUpToDate>
  <CharactersWithSpaces>29377</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2023-11-01T01:20:00Z</dcterms:created>
  <dc:creator>张淼雯</dc:creator>
  <cp:lastModifiedBy>Administrator</cp:lastModifiedBy>
  <cp:lastPrinted>2022-01-18T08:37:00Z</cp:lastPrinted>
  <dcterms:modified xsi:type="dcterms:W3CDTF">2024-11-12T09:58:55Z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5466F5ED04264CD88390FDC4DDCA6BAE</vt:lpwstr>
  </property>
</Properties>
</file>