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70B14">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21C4BD11">
      <w:pPr>
        <w:adjustRightInd w:val="0"/>
        <w:spacing w:line="360" w:lineRule="auto"/>
        <w:jc w:val="center"/>
        <w:rPr>
          <w:rStyle w:val="27"/>
          <w:rFonts w:ascii="宋体" w:hAnsi="宋体"/>
          <w:sz w:val="32"/>
          <w:szCs w:val="32"/>
        </w:rPr>
      </w:pPr>
    </w:p>
    <w:p w14:paraId="3573447C">
      <w:pPr>
        <w:adjustRightInd w:val="0"/>
        <w:spacing w:line="360" w:lineRule="auto"/>
        <w:jc w:val="center"/>
        <w:rPr>
          <w:rStyle w:val="27"/>
          <w:rFonts w:ascii="宋体" w:hAnsi="宋体"/>
          <w:sz w:val="32"/>
          <w:szCs w:val="32"/>
        </w:rPr>
      </w:pPr>
    </w:p>
    <w:p w14:paraId="0A9E6BC6">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386385E">
      <w:pPr>
        <w:adjustRightInd w:val="0"/>
        <w:spacing w:line="360" w:lineRule="auto"/>
        <w:jc w:val="center"/>
        <w:rPr>
          <w:rStyle w:val="27"/>
          <w:rFonts w:ascii="宋体" w:hAnsi="宋体"/>
          <w:sz w:val="32"/>
          <w:szCs w:val="32"/>
        </w:rPr>
      </w:pPr>
    </w:p>
    <w:p w14:paraId="72682FB4">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w:t>
      </w:r>
      <w:r>
        <w:rPr>
          <w:rFonts w:hint="eastAsia" w:ascii="黑体" w:hAnsi="黑体" w:eastAsia="黑体"/>
          <w:b/>
          <w:sz w:val="44"/>
          <w:szCs w:val="44"/>
        </w:rPr>
        <w:t>稳添利最短持有期日开固收类</w:t>
      </w:r>
      <w:r>
        <w:rPr>
          <w:rStyle w:val="27"/>
          <w:rFonts w:hint="eastAsia" w:ascii="黑体" w:hAnsi="黑体" w:eastAsia="黑体"/>
          <w:sz w:val="44"/>
          <w:szCs w:val="44"/>
        </w:rPr>
        <w:t>】</w:t>
      </w:r>
      <w:permEnd w:id="0"/>
      <w:r>
        <w:rPr>
          <w:rStyle w:val="27"/>
          <w:rFonts w:hint="eastAsia" w:ascii="黑体" w:hAnsi="黑体" w:eastAsia="黑体"/>
          <w:sz w:val="44"/>
          <w:szCs w:val="44"/>
        </w:rPr>
        <w:t>理财产品</w:t>
      </w:r>
    </w:p>
    <w:p w14:paraId="14B10467">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6D030B52">
      <w:pPr>
        <w:adjustRightInd w:val="0"/>
        <w:spacing w:line="360" w:lineRule="auto"/>
        <w:jc w:val="center"/>
        <w:rPr>
          <w:rStyle w:val="27"/>
          <w:rFonts w:ascii="宋体" w:hAnsi="宋体"/>
          <w:sz w:val="32"/>
          <w:szCs w:val="32"/>
        </w:rPr>
      </w:pPr>
      <w:bookmarkStart w:id="194" w:name="_GoBack"/>
      <w:bookmarkEnd w:id="194"/>
    </w:p>
    <w:p w14:paraId="0BD623D5">
      <w:pPr>
        <w:adjustRightInd w:val="0"/>
        <w:spacing w:line="360" w:lineRule="auto"/>
        <w:jc w:val="center"/>
        <w:rPr>
          <w:rStyle w:val="27"/>
          <w:rFonts w:ascii="黑体" w:hAnsi="黑体" w:eastAsia="黑体"/>
          <w:bCs w:val="0"/>
          <w:sz w:val="28"/>
          <w:szCs w:val="28"/>
        </w:rPr>
      </w:pPr>
    </w:p>
    <w:p w14:paraId="39452A76">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29C9B707">
      <w:pPr>
        <w:adjustRightInd w:val="0"/>
        <w:spacing w:line="360" w:lineRule="auto"/>
        <w:jc w:val="center"/>
        <w:rPr>
          <w:rStyle w:val="27"/>
          <w:rFonts w:ascii="宋体" w:hAnsi="宋体"/>
          <w:sz w:val="32"/>
          <w:szCs w:val="32"/>
        </w:rPr>
      </w:pPr>
    </w:p>
    <w:p w14:paraId="2BFE08D6">
      <w:pPr>
        <w:adjustRightInd w:val="0"/>
        <w:spacing w:line="360" w:lineRule="auto"/>
        <w:jc w:val="center"/>
        <w:rPr>
          <w:rStyle w:val="27"/>
          <w:rFonts w:ascii="宋体" w:hAnsi="宋体"/>
          <w:sz w:val="32"/>
          <w:szCs w:val="32"/>
        </w:rPr>
      </w:pPr>
    </w:p>
    <w:p w14:paraId="629214C2">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ascii="宋体" w:hAnsi="宋体" w:cs="Times New Roman"/>
          <w:sz w:val="32"/>
          <w:szCs w:val="32"/>
        </w:rPr>
        <w:t>2024</w:t>
      </w:r>
      <w:r>
        <w:rPr>
          <w:rStyle w:val="27"/>
          <w:rFonts w:hint="eastAsia" w:ascii="宋体" w:hAnsi="宋体" w:cs="Times New Roman"/>
          <w:sz w:val="32"/>
          <w:szCs w:val="32"/>
        </w:rPr>
        <w:t>】年【</w:t>
      </w:r>
      <w:r>
        <w:rPr>
          <w:rStyle w:val="27"/>
          <w:rFonts w:ascii="宋体" w:hAnsi="宋体" w:cs="Times New Roman"/>
          <w:sz w:val="32"/>
          <w:szCs w:val="32"/>
        </w:rPr>
        <w:t>1</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14:paraId="3BB41C79">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63B199BD">
          <w:pPr>
            <w:pStyle w:val="48"/>
            <w:spacing w:line="360" w:lineRule="auto"/>
            <w:jc w:val="center"/>
          </w:pPr>
          <w:bookmarkStart w:id="0" w:name="_Toc78276587"/>
          <w:permStart w:id="2" w:edGrp="everyone"/>
          <w:r>
            <w:rPr>
              <w:lang w:val="zh-CN"/>
            </w:rPr>
            <w:t>目录</w:t>
          </w:r>
        </w:p>
        <w:p w14:paraId="10180FE7">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"_Toc176187990"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_Toc176187990 \h </w:instrText>
          </w:r>
          <w:r>
            <w:fldChar w:fldCharType="separate"/>
          </w:r>
          <w:r>
            <w:t>3</w:t>
          </w:r>
          <w:r>
            <w:fldChar w:fldCharType="end"/>
          </w:r>
          <w:r>
            <w:fldChar w:fldCharType="end"/>
          </w:r>
        </w:p>
        <w:p w14:paraId="1132F8B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_Toc176187991 \h </w:instrText>
          </w:r>
          <w:r>
            <w:fldChar w:fldCharType="separate"/>
          </w:r>
          <w:r>
            <w:t>8</w:t>
          </w:r>
          <w:r>
            <w:fldChar w:fldCharType="end"/>
          </w:r>
          <w:r>
            <w:fldChar w:fldCharType="end"/>
          </w:r>
        </w:p>
        <w:p w14:paraId="1FC87131">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_Toc176187992 \h </w:instrText>
          </w:r>
          <w:r>
            <w:fldChar w:fldCharType="separate"/>
          </w:r>
          <w:r>
            <w:t>14</w:t>
          </w:r>
          <w:r>
            <w:fldChar w:fldCharType="end"/>
          </w:r>
          <w:r>
            <w:fldChar w:fldCharType="end"/>
          </w:r>
        </w:p>
        <w:p w14:paraId="03F2BE51">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_Toc176187993 \h </w:instrText>
          </w:r>
          <w:r>
            <w:fldChar w:fldCharType="separate"/>
          </w:r>
          <w:r>
            <w:t>16</w:t>
          </w:r>
          <w:r>
            <w:fldChar w:fldCharType="end"/>
          </w:r>
          <w:r>
            <w:fldChar w:fldCharType="end"/>
          </w:r>
        </w:p>
        <w:p w14:paraId="4D2AFD1A">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_Toc176187994 \h </w:instrText>
          </w:r>
          <w:r>
            <w:fldChar w:fldCharType="separate"/>
          </w:r>
          <w:r>
            <w:t>20</w:t>
          </w:r>
          <w:r>
            <w:fldChar w:fldCharType="end"/>
          </w:r>
          <w:r>
            <w:fldChar w:fldCharType="end"/>
          </w:r>
        </w:p>
        <w:p w14:paraId="0D001C3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_Toc176187995 \h </w:instrText>
          </w:r>
          <w:r>
            <w:fldChar w:fldCharType="separate"/>
          </w:r>
          <w:r>
            <w:t>23</w:t>
          </w:r>
          <w:r>
            <w:fldChar w:fldCharType="end"/>
          </w:r>
          <w:r>
            <w:fldChar w:fldCharType="end"/>
          </w:r>
        </w:p>
        <w:p w14:paraId="2A0A227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_Toc176187996 \h </w:instrText>
          </w:r>
          <w:r>
            <w:fldChar w:fldCharType="separate"/>
          </w:r>
          <w:r>
            <w:t>24</w:t>
          </w:r>
          <w:r>
            <w:fldChar w:fldCharType="end"/>
          </w:r>
          <w:r>
            <w:fldChar w:fldCharType="end"/>
          </w:r>
        </w:p>
        <w:p w14:paraId="7D6BC9D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_Toc176187997 \h </w:instrText>
          </w:r>
          <w:r>
            <w:fldChar w:fldCharType="separate"/>
          </w:r>
          <w:r>
            <w:t>28</w:t>
          </w:r>
          <w:r>
            <w:fldChar w:fldCharType="end"/>
          </w:r>
          <w:r>
            <w:fldChar w:fldCharType="end"/>
          </w:r>
        </w:p>
        <w:p w14:paraId="7BA0BDFF">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_Toc176187998 \h </w:instrText>
          </w:r>
          <w:r>
            <w:fldChar w:fldCharType="separate"/>
          </w:r>
          <w:r>
            <w:t>29</w:t>
          </w:r>
          <w:r>
            <w:fldChar w:fldCharType="end"/>
          </w:r>
          <w:r>
            <w:fldChar w:fldCharType="end"/>
          </w:r>
        </w:p>
        <w:p w14:paraId="39A7031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_Toc176187999 \h </w:instrText>
          </w:r>
          <w:r>
            <w:fldChar w:fldCharType="separate"/>
          </w:r>
          <w:r>
            <w:t>31</w:t>
          </w:r>
          <w:r>
            <w:fldChar w:fldCharType="end"/>
          </w:r>
          <w:r>
            <w:fldChar w:fldCharType="end"/>
          </w:r>
        </w:p>
        <w:p w14:paraId="34E10FC6">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_Toc176188000 \h </w:instrText>
          </w:r>
          <w:r>
            <w:fldChar w:fldCharType="separate"/>
          </w:r>
          <w:r>
            <w:t>33</w:t>
          </w:r>
          <w:r>
            <w:fldChar w:fldCharType="end"/>
          </w:r>
          <w:r>
            <w:fldChar w:fldCharType="end"/>
          </w:r>
        </w:p>
        <w:p w14:paraId="6C1FB67A">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_Toc176188001 \h </w:instrText>
          </w:r>
          <w:r>
            <w:fldChar w:fldCharType="separate"/>
          </w:r>
          <w:r>
            <w:t>35</w:t>
          </w:r>
          <w:r>
            <w:fldChar w:fldCharType="end"/>
          </w:r>
          <w:r>
            <w:fldChar w:fldCharType="end"/>
          </w:r>
        </w:p>
        <w:p w14:paraId="736B20D3">
          <w:pPr>
            <w:spacing w:line="360" w:lineRule="auto"/>
          </w:pPr>
          <w:r>
            <w:fldChar w:fldCharType="end"/>
          </w:r>
        </w:p>
      </w:sdtContent>
    </w:sdt>
    <w:permEnd w:id="2"/>
    <w:p w14:paraId="2808FADB">
      <w:pPr>
        <w:rPr>
          <w:rFonts w:ascii="Times New Roman"/>
          <w:sz w:val="30"/>
        </w:rPr>
      </w:pPr>
    </w:p>
    <w:p w14:paraId="11B611F1">
      <w:pPr>
        <w:rPr>
          <w:rFonts w:ascii="Times New Roman"/>
          <w:sz w:val="30"/>
        </w:rPr>
      </w:pPr>
      <w:r>
        <w:rPr>
          <w:rFonts w:ascii="Times New Roman"/>
          <w:sz w:val="30"/>
        </w:rPr>
        <w:br w:type="page"/>
      </w:r>
    </w:p>
    <w:p w14:paraId="2C5674E4">
      <w:pPr>
        <w:pStyle w:val="2"/>
        <w:spacing w:before="0" w:after="0" w:line="360" w:lineRule="auto"/>
        <w:jc w:val="center"/>
        <w:rPr>
          <w:rFonts w:ascii="Times New Roman"/>
          <w:sz w:val="30"/>
        </w:rPr>
      </w:pPr>
      <w:bookmarkStart w:id="1" w:name="_Toc176187990"/>
      <w:bookmarkStart w:id="2" w:name="_Toc15989"/>
      <w:bookmarkStart w:id="3" w:name="_Toc103260528"/>
      <w:bookmarkStart w:id="4"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14:paraId="6B85DA1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7D657683">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0431C1D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32EDADF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6A44816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5EDD240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625068E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560FB11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6BDE41FA">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46A305D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2A26DBD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188389A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100DC52C">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0BCC324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1271E93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5"/>
      <w:r>
        <w:rPr>
          <w:rFonts w:hint="eastAsia" w:asciiTheme="majorEastAsia" w:hAnsiTheme="majorEastAsia" w:eastAsiaTheme="majorEastAsia"/>
          <w:bCs/>
          <w:sz w:val="18"/>
          <w:szCs w:val="18"/>
        </w:rPr>
        <w:t>理财产品投资协议书》，以及对该文件的有效修改或补充。</w:t>
      </w:r>
    </w:p>
    <w:p w14:paraId="7AC20E0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6"/>
      <w:r>
        <w:rPr>
          <w:rFonts w:hint="eastAsia" w:asciiTheme="majorEastAsia" w:hAnsiTheme="majorEastAsia" w:eastAsiaTheme="majorEastAsia"/>
          <w:bCs/>
          <w:sz w:val="18"/>
          <w:szCs w:val="18"/>
        </w:rPr>
        <w:t>理财产品产品说明书》，以及对该文件的有效修改或补充。</w:t>
      </w:r>
    </w:p>
    <w:p w14:paraId="78CF8C3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203C0EC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3F7FA45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eastAsia="zh-CN"/>
        </w:rPr>
        <w:t>日盈32号(1天最短持有期)日开固收类</w:t>
      </w:r>
      <w:r>
        <w:rPr>
          <w:rFonts w:hint="eastAsia" w:asciiTheme="majorEastAsia" w:hAnsiTheme="majorEastAsia" w:eastAsiaTheme="majorEastAsia"/>
          <w:bCs/>
          <w:sz w:val="18"/>
          <w:szCs w:val="18"/>
        </w:rPr>
        <w:t>】</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4A9E9400">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741B785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624B822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5BED50F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5A3761B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C60599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4460D56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69AE2D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45A52C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344D95A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7032168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1B6F07E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69722616">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48E4C2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0223DBE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56F3743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7462D96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5FCC5C3A">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24D26E52">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026F06F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7DE6427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7BB9625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79510DD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2B93D1B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51BAB3FD">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3C78898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75F7D3E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16D11BB0">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FA5487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0C944EF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1837012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3C4101A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6E3B79EE">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2C71222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6C1519C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7430B17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401C5434">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05C94C8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26E9F6C9">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7C2E90F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73FDE1DD">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4D65AA9B">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3C9A87C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211570A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0026FE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14:paraId="2CADA77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14:paraId="3AE6EE1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14:paraId="463EC8B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14:paraId="17630D3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75E90DB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3B2BC22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14:paraId="6B08CE6F">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3752AD5F">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5D51168C">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20D93CDB">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1B44D147">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4E4BAD96">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66F28E49">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0610CCF8">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0418404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7837340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60D258F3">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0B70331A">
      <w:pPr>
        <w:widowControl/>
        <w:spacing w:line="360" w:lineRule="auto"/>
        <w:jc w:val="left"/>
        <w:rPr>
          <w:rFonts w:ascii="宋体" w:hAnsi="宋体"/>
          <w:color w:val="000000"/>
          <w:kern w:val="0"/>
          <w:sz w:val="28"/>
          <w:szCs w:val="28"/>
        </w:rPr>
      </w:pPr>
      <w:r>
        <w:rPr>
          <w:rFonts w:hAnsi="宋体"/>
          <w:sz w:val="28"/>
          <w:szCs w:val="28"/>
        </w:rPr>
        <w:br w:type="page"/>
      </w:r>
    </w:p>
    <w:p w14:paraId="07C404DF">
      <w:pPr>
        <w:pStyle w:val="2"/>
        <w:spacing w:before="0" w:after="0" w:line="360" w:lineRule="auto"/>
        <w:jc w:val="center"/>
        <w:rPr>
          <w:rFonts w:hAnsi="宋体"/>
          <w:sz w:val="28"/>
          <w:szCs w:val="28"/>
        </w:rPr>
      </w:pPr>
      <w:bookmarkStart w:id="5" w:name="_Toc92377131"/>
      <w:bookmarkStart w:id="6" w:name="_Toc176187991"/>
      <w:bookmarkStart w:id="7" w:name="_Toc103260529"/>
      <w:bookmarkStart w:id="8" w:name="_Toc3887"/>
      <w:bookmarkStart w:id="9" w:name="_Toc79154665"/>
      <w:r>
        <w:rPr>
          <w:rFonts w:hint="eastAsia" w:hAnsi="宋体"/>
          <w:sz w:val="28"/>
          <w:szCs w:val="28"/>
        </w:rPr>
        <w:t>第二条  理财产品基本情况</w:t>
      </w:r>
      <w:bookmarkEnd w:id="5"/>
      <w:bookmarkEnd w:id="6"/>
      <w:bookmarkEnd w:id="7"/>
      <w:bookmarkEnd w:id="8"/>
      <w:bookmarkEnd w:id="9"/>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216BEE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14:paraId="3D52740E">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14:paraId="740D9698">
            <w:pPr>
              <w:spacing w:line="360" w:lineRule="auto"/>
              <w:jc w:val="left"/>
              <w:rPr>
                <w:rFonts w:ascii="宋体" w:hAnsi="宋体"/>
                <w:bCs/>
                <w:sz w:val="18"/>
                <w:szCs w:val="18"/>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兴银理财日盈32号(1天最短持有期)日开固收类理财产品</w:t>
            </w:r>
            <w:r>
              <w:rPr>
                <w:rFonts w:hint="eastAsia" w:ascii="宋体" w:hAnsi="宋体"/>
                <w:bCs/>
                <w:color w:val="000000" w:themeColor="text1"/>
                <w:sz w:val="18"/>
                <w:szCs w:val="18"/>
                <w14:textFill>
                  <w14:solidFill>
                    <w14:schemeClr w14:val="tx1"/>
                  </w14:solidFill>
                </w14:textFill>
              </w:rPr>
              <w:t>】</w:t>
            </w:r>
          </w:p>
        </w:tc>
      </w:tr>
      <w:tr w14:paraId="7391427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0C5DF619">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14:paraId="62A90B58">
            <w:pPr>
              <w:spacing w:line="360" w:lineRule="auto"/>
              <w:jc w:val="left"/>
              <w:rPr>
                <w:rFonts w:ascii="宋体" w:hAnsi="宋体"/>
                <w:kern w:val="0"/>
                <w:sz w:val="22"/>
              </w:rPr>
            </w:pPr>
            <w:r>
              <w:rPr>
                <w:rFonts w:hint="eastAsia" w:ascii="宋体" w:hAnsi="宋体"/>
                <w:bCs/>
                <w:color w:val="000000" w:themeColor="text1"/>
                <w:sz w:val="18"/>
                <w:szCs w:val="18"/>
                <w14:textFill>
                  <w14:solidFill>
                    <w14:schemeClr w14:val="tx1"/>
                  </w14:solidFill>
                </w14:textFill>
              </w:rPr>
              <w:t>【兴银稳添利日盈32号B</w:t>
            </w:r>
            <w:r>
              <w:rPr>
                <w:rFonts w:hint="eastAsia" w:ascii="宋体" w:hAnsi="宋体"/>
                <w:bCs/>
                <w:color w:val="000000" w:themeColor="text1"/>
                <w:sz w:val="18"/>
                <w:szCs w:val="18"/>
                <w:lang w:eastAsia="zh-CN"/>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14:paraId="1299FEF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34952043">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14:paraId="6017AB68">
            <w:pPr>
              <w:rPr>
                <w:rFonts w:ascii="宋体" w:hAnsi="宋体"/>
                <w:b/>
                <w:sz w:val="18"/>
                <w:szCs w:val="18"/>
              </w:rPr>
            </w:pPr>
            <w:r>
              <w:rPr>
                <w:rFonts w:hint="eastAsia" w:hAnsi="宋体"/>
                <w:sz w:val="18"/>
                <w:szCs w:val="18"/>
              </w:rPr>
              <w:t>【</w:t>
            </w:r>
            <w:r>
              <w:rPr>
                <w:rFonts w:hint="eastAsia" w:ascii="宋体" w:hAnsi="宋体"/>
                <w:bCs/>
                <w:color w:val="000000" w:themeColor="text1"/>
                <w:sz w:val="18"/>
                <w:szCs w:val="18"/>
                <w14:textFill>
                  <w14:solidFill>
                    <w14:schemeClr w14:val="tx1"/>
                  </w14:solidFill>
                </w14:textFill>
              </w:rPr>
              <w:t>Z7002024002968</w:t>
            </w:r>
            <w:r>
              <w:rPr>
                <w:rFonts w:hint="eastAsia" w:hAnsi="宋体"/>
                <w:sz w:val="18"/>
                <w:szCs w:val="18"/>
              </w:rPr>
              <w:t>】投资者可依</w:t>
            </w:r>
            <w:r>
              <w:rPr>
                <w:rFonts w:hint="eastAsia" w:ascii="宋体" w:hAnsi="宋体"/>
                <w:sz w:val="18"/>
                <w:szCs w:val="18"/>
              </w:rPr>
              <w:t>据理财产品登记编码在中国理财网(www.chinawealth.com.cn）查询产品信息。</w:t>
            </w:r>
          </w:p>
        </w:tc>
      </w:tr>
      <w:tr w14:paraId="303DC5A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7DE1F1E5">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0BB98187">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9K923320</w:t>
            </w:r>
            <w:r>
              <w:rPr>
                <w:rFonts w:ascii="宋体" w:hAnsi="宋体"/>
                <w:bCs/>
                <w:color w:val="000000" w:themeColor="text1"/>
                <w:sz w:val="18"/>
                <w:szCs w:val="18"/>
                <w14:textFill>
                  <w14:solidFill>
                    <w14:schemeClr w14:val="tx1"/>
                  </w14:solidFill>
                </w14:textFill>
              </w:rPr>
              <w:t>】</w:t>
            </w:r>
          </w:p>
        </w:tc>
      </w:tr>
      <w:tr w14:paraId="052FEB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48141BFF">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14:paraId="44F3286C">
            <w:pPr>
              <w:spacing w:line="360" w:lineRule="auto"/>
              <w:jc w:val="left"/>
              <w:rPr>
                <w:rFonts w:hAnsi="宋体"/>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9K92332</w:t>
            </w:r>
            <w:r>
              <w:rPr>
                <w:rFonts w:hint="eastAsia" w:ascii="宋体" w:hAnsi="宋体"/>
                <w:bCs/>
                <w:color w:val="000000" w:themeColor="text1"/>
                <w:sz w:val="18"/>
                <w:szCs w:val="18"/>
                <w:lang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14:paraId="14B6BF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21567987">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004EADF0">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219DC47D">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2CCD7DE1">
            <w:pPr>
              <w:spacing w:line="360" w:lineRule="auto"/>
              <w:rPr>
                <w:rFonts w:ascii="宋体" w:hAnsi="宋体"/>
                <w:bCs/>
                <w:sz w:val="18"/>
                <w:szCs w:val="18"/>
              </w:rPr>
            </w:pPr>
            <w:r>
              <w:rPr>
                <w:rFonts w:hint="eastAsia" w:ascii="宋体" w:hAnsi="宋体"/>
                <w:bCs/>
                <w:sz w:val="18"/>
                <w:szCs w:val="18"/>
              </w:rPr>
              <w:t>（1）销售名称</w:t>
            </w:r>
          </w:p>
          <w:p w14:paraId="004C16AE">
            <w:pPr>
              <w:spacing w:line="360" w:lineRule="auto"/>
              <w:rPr>
                <w:rFonts w:ascii="宋体" w:hAnsi="宋体"/>
                <w:bCs/>
                <w:sz w:val="18"/>
                <w:szCs w:val="18"/>
              </w:rPr>
            </w:pPr>
            <w:r>
              <w:rPr>
                <w:rFonts w:hint="eastAsia" w:ascii="宋体" w:hAnsi="宋体"/>
                <w:bCs/>
                <w:sz w:val="18"/>
                <w:szCs w:val="18"/>
              </w:rPr>
              <w:t>（2）收费方式</w:t>
            </w:r>
          </w:p>
          <w:p w14:paraId="07D60DC9">
            <w:pPr>
              <w:spacing w:line="360" w:lineRule="auto"/>
              <w:rPr>
                <w:rFonts w:ascii="宋体" w:hAnsi="宋体"/>
                <w:bCs/>
                <w:sz w:val="18"/>
                <w:szCs w:val="18"/>
              </w:rPr>
            </w:pPr>
            <w:r>
              <w:rPr>
                <w:rFonts w:hint="eastAsia" w:ascii="宋体" w:hAnsi="宋体"/>
                <w:bCs/>
                <w:sz w:val="18"/>
                <w:szCs w:val="18"/>
              </w:rPr>
              <w:t>（3）销售服务费</w:t>
            </w:r>
          </w:p>
          <w:p w14:paraId="6D4077AA">
            <w:pPr>
              <w:spacing w:line="360" w:lineRule="auto"/>
              <w:rPr>
                <w:rFonts w:ascii="宋体" w:hAnsi="宋体"/>
                <w:bCs/>
                <w:sz w:val="18"/>
                <w:szCs w:val="18"/>
              </w:rPr>
            </w:pPr>
            <w:r>
              <w:rPr>
                <w:rFonts w:hint="eastAsia" w:ascii="宋体" w:hAnsi="宋体"/>
                <w:bCs/>
                <w:sz w:val="18"/>
                <w:szCs w:val="18"/>
              </w:rPr>
              <w:t>（4）销售代码</w:t>
            </w:r>
          </w:p>
          <w:p w14:paraId="58A5B133">
            <w:pPr>
              <w:spacing w:line="360" w:lineRule="auto"/>
              <w:rPr>
                <w:rFonts w:ascii="宋体" w:hAnsi="宋体"/>
                <w:bCs/>
                <w:sz w:val="18"/>
                <w:szCs w:val="18"/>
              </w:rPr>
            </w:pPr>
            <w:r>
              <w:rPr>
                <w:rFonts w:hint="eastAsia" w:ascii="宋体" w:hAnsi="宋体"/>
                <w:bCs/>
                <w:sz w:val="18"/>
                <w:szCs w:val="18"/>
              </w:rPr>
              <w:t>（5）销售对象</w:t>
            </w:r>
          </w:p>
          <w:p w14:paraId="394AF17C">
            <w:pPr>
              <w:spacing w:line="360" w:lineRule="auto"/>
              <w:rPr>
                <w:rFonts w:ascii="宋体" w:hAnsi="宋体"/>
                <w:bCs/>
                <w:sz w:val="18"/>
                <w:szCs w:val="18"/>
              </w:rPr>
            </w:pPr>
            <w:r>
              <w:rPr>
                <w:rFonts w:hint="eastAsia" w:ascii="宋体" w:hAnsi="宋体"/>
                <w:bCs/>
                <w:sz w:val="18"/>
                <w:szCs w:val="18"/>
              </w:rPr>
              <w:t>（6）销售起点金额（认购、申购的起点金额）</w:t>
            </w:r>
          </w:p>
          <w:p w14:paraId="30665917">
            <w:pPr>
              <w:spacing w:line="360" w:lineRule="auto"/>
              <w:rPr>
                <w:rFonts w:ascii="宋体" w:hAnsi="宋体"/>
                <w:bCs/>
                <w:sz w:val="18"/>
                <w:szCs w:val="18"/>
              </w:rPr>
            </w:pPr>
            <w:r>
              <w:rPr>
                <w:rFonts w:hint="eastAsia" w:ascii="宋体" w:hAnsi="宋体"/>
                <w:bCs/>
                <w:sz w:val="18"/>
                <w:szCs w:val="18"/>
              </w:rPr>
              <w:t>（7）投资者认购、申购和赎回的数量限制</w:t>
            </w:r>
          </w:p>
          <w:p w14:paraId="682E7C8F">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1A9A8900">
            <w:pPr>
              <w:spacing w:line="360" w:lineRule="auto"/>
              <w:rPr>
                <w:rFonts w:ascii="宋体" w:hAnsi="宋体"/>
                <w:bCs/>
                <w:sz w:val="18"/>
                <w:szCs w:val="18"/>
              </w:rPr>
            </w:pPr>
            <w:r>
              <w:rPr>
                <w:rFonts w:hint="eastAsia" w:ascii="宋体" w:hAnsi="宋体"/>
                <w:bCs/>
                <w:sz w:val="18"/>
                <w:szCs w:val="18"/>
              </w:rPr>
              <w:t>（9）分别计算和公告产品份额净值</w:t>
            </w:r>
          </w:p>
          <w:p w14:paraId="3837E17C">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04B04E0E">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14:paraId="428E9C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2D9FDC2">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1A8E9907">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54B1E17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4D99F92">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23FE5C82">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21D1CF2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7DCF9C6">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70362B2A">
            <w:pPr>
              <w:spacing w:line="360" w:lineRule="auto"/>
              <w:rPr>
                <w:rFonts w:ascii="宋体" w:hAnsi="宋体"/>
                <w:bCs/>
                <w:sz w:val="18"/>
                <w:szCs w:val="18"/>
              </w:rPr>
            </w:pPr>
            <w:r>
              <w:rPr>
                <w:rFonts w:hint="eastAsia" w:ascii="宋体" w:hAnsi="宋体"/>
                <w:bCs/>
                <w:sz w:val="18"/>
                <w:szCs w:val="18"/>
              </w:rPr>
              <w:t>开放式</w:t>
            </w:r>
          </w:p>
        </w:tc>
      </w:tr>
      <w:tr w14:paraId="449F5E0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54AB10C">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1DAE64D2">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156D424E">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218303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6C0B800">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4EC6CF25">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21EBC089">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38E8B849">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06853F9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1009745">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1C3496A5">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1F5854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7CC2AC4">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5C67DE9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01FFEAB8">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6DD5BA83">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14:paraId="1C0EE5F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80498FE">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4E9C3691">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417B41C1">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5C054A5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51ECF6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FEDCB02">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468F34BE">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1080EE78">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14:paraId="02B918B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857A9F5">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3D845EBC">
            <w:pPr>
              <w:spacing w:line="360" w:lineRule="auto"/>
              <w:jc w:val="left"/>
              <w:rPr>
                <w:rFonts w:ascii="宋体" w:hAnsi="宋体"/>
                <w:sz w:val="18"/>
                <w:szCs w:val="18"/>
              </w:rPr>
            </w:pPr>
            <w:r>
              <w:rPr>
                <w:rFonts w:hint="eastAsia" w:ascii="宋体" w:hAnsi="宋体"/>
                <w:sz w:val="18"/>
                <w:szCs w:val="18"/>
              </w:rPr>
              <w:t>□ 直销适用</w:t>
            </w:r>
          </w:p>
          <w:p w14:paraId="3FD4D8EF">
            <w:pPr>
              <w:spacing w:line="360" w:lineRule="auto"/>
              <w:jc w:val="left"/>
              <w:rPr>
                <w:rFonts w:ascii="宋体" w:hAnsi="宋体"/>
                <w:sz w:val="18"/>
                <w:szCs w:val="18"/>
              </w:rPr>
            </w:pPr>
            <w:r>
              <w:rPr>
                <w:rFonts w:hint="eastAsia" w:ascii="宋体" w:hAnsi="宋体"/>
                <w:sz w:val="18"/>
                <w:szCs w:val="18"/>
              </w:rPr>
              <w:t>本产品由产品管理人销售。</w:t>
            </w:r>
          </w:p>
          <w:p w14:paraId="1D053430">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7F5C86C7">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58AA92C9">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04435B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3C87D57">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79AEB6F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231D8ED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E48F105">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22306A9E">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127C51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E47A939">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32A47D0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5</w:t>
            </w:r>
            <w:r>
              <w:rPr>
                <w:rFonts w:hint="eastAsia" w:asciiTheme="majorEastAsia" w:hAnsiTheme="majorEastAsia" w:eastAsiaTheme="majorEastAsia"/>
                <w:bCs/>
                <w:sz w:val="18"/>
                <w:szCs w:val="18"/>
              </w:rPr>
              <w:t>】亿元，最小成立规模为【/】亿元。</w:t>
            </w:r>
          </w:p>
          <w:p w14:paraId="2E87967E">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077B48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25A5A06">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5796A3E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14:paraId="551A37DB">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706F7CCC">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632A79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8D5E850">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3EB42B94">
            <w:pPr>
              <w:spacing w:line="360" w:lineRule="auto"/>
              <w:rPr>
                <w:rFonts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w:t>
            </w:r>
            <w:r>
              <w:rPr>
                <w:rFonts w:hint="eastAsia" w:cs="Times New Roman" w:asciiTheme="minorEastAsia" w:hAnsiTheme="minorEastAsia"/>
                <w:sz w:val="18"/>
                <w:szCs w:val="18"/>
              </w:rPr>
              <w:t>4</w:t>
            </w:r>
            <w:r>
              <w:rPr>
                <w:rFonts w:cs="Times New Roman" w:asciiTheme="minorEastAsia" w:hAnsiTheme="minorEastAsia"/>
                <w:sz w:val="18"/>
                <w:szCs w:val="18"/>
              </w:rPr>
              <w:t>】年【</w:t>
            </w:r>
            <w:r>
              <w:rPr>
                <w:rFonts w:hint="eastAsia" w:cs="Times New Roman" w:asciiTheme="minorEastAsia" w:hAnsiTheme="minorEastAsia"/>
                <w:sz w:val="18"/>
                <w:szCs w:val="18"/>
              </w:rPr>
              <w:t>1</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cs="Times New Roman" w:asciiTheme="minorEastAsia" w:hAnsiTheme="minorEastAsia"/>
                <w:sz w:val="18"/>
                <w:szCs w:val="18"/>
              </w:rPr>
              <w:t>2</w:t>
            </w:r>
            <w:r>
              <w:rPr>
                <w:rFonts w:hint="eastAsia" w:cs="Times New Roman" w:asciiTheme="minorEastAsia" w:hAnsiTheme="minorEastAsia"/>
                <w:sz w:val="18"/>
                <w:szCs w:val="18"/>
                <w:lang w:val="en-US" w:eastAsia="zh-CN"/>
              </w:rPr>
              <w:t>6</w:t>
            </w:r>
            <w:r>
              <w:rPr>
                <w:rFonts w:hint="eastAsia" w:cs="Times New Roman" w:asciiTheme="minorEastAsia" w:hAnsiTheme="minorEastAsia"/>
                <w:sz w:val="18"/>
                <w:szCs w:val="18"/>
              </w:rPr>
              <w:t>】日【9</w:t>
            </w:r>
            <w:r>
              <w:rPr>
                <w:rFonts w:cs="Times New Roman" w:asciiTheme="minorEastAsia" w:hAnsiTheme="minorEastAsia"/>
                <w:sz w:val="18"/>
                <w:szCs w:val="18"/>
              </w:rPr>
              <w:t>:00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【202</w:t>
            </w:r>
            <w:r>
              <w:rPr>
                <w:rFonts w:hint="eastAsia" w:cs="Times New Roman" w:asciiTheme="minorEastAsia" w:hAnsiTheme="minorEastAsia"/>
                <w:sz w:val="18"/>
                <w:szCs w:val="18"/>
                <w:lang w:val="en-US" w:eastAsia="zh-CN"/>
              </w:rPr>
              <w:t>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07</w:t>
            </w:r>
            <w:r>
              <w:rPr>
                <w:rFonts w:hint="eastAsia" w:cs="Times New Roman" w:asciiTheme="minorEastAsia" w:hAnsiTheme="minorEastAsia"/>
                <w:sz w:val="18"/>
                <w:szCs w:val="18"/>
              </w:rPr>
              <w:t>】日【1</w:t>
            </w:r>
            <w:r>
              <w:rPr>
                <w:rFonts w:cs="Times New Roman" w:asciiTheme="minorEastAsia" w:hAnsiTheme="minorEastAsia"/>
                <w:sz w:val="18"/>
                <w:szCs w:val="18"/>
              </w:rPr>
              <w:t>7:00</w:t>
            </w:r>
            <w:r>
              <w:rPr>
                <w:rFonts w:hint="eastAsia" w:cs="Times New Roman" w:asciiTheme="minorEastAsia" w:hAnsiTheme="minorEastAsia"/>
                <w:sz w:val="18"/>
                <w:szCs w:val="18"/>
              </w:rPr>
              <w:t>】</w:t>
            </w:r>
            <w:r>
              <w:rPr>
                <w:rFonts w:asciiTheme="majorEastAsia" w:hAnsiTheme="majorEastAsia" w:eastAsiaTheme="majorEastAsia"/>
                <w:sz w:val="18"/>
                <w:szCs w:val="18"/>
              </w:rPr>
              <w:t>。</w:t>
            </w:r>
          </w:p>
          <w:p w14:paraId="701C9BBA">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14:paraId="698467FF">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0FEA87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8837399">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7AD11AD0">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0430524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0439B6B">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0BDBFC88">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w:t>
            </w:r>
            <w:r>
              <w:rPr>
                <w:rFonts w:hint="eastAsia" w:cs="Times New Roman" w:asciiTheme="minorEastAsia" w:hAnsiTheme="minorEastAsia"/>
                <w:sz w:val="18"/>
                <w:szCs w:val="18"/>
              </w:rPr>
              <w:t>2</w:t>
            </w:r>
            <w:r>
              <w:rPr>
                <w:rFonts w:hint="eastAsia" w:cs="Times New Roman" w:asciiTheme="minorEastAsia" w:hAnsiTheme="minorEastAsia"/>
                <w:sz w:val="18"/>
                <w:szCs w:val="18"/>
                <w:lang w:val="en-US" w:eastAsia="zh-CN"/>
              </w:rPr>
              <w:t>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2CFAA463">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39CC1D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3997B00">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66AFCAB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14:paraId="641E93E0">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0EEB95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2F059312">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240B2870">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asciiTheme="majorEastAsia" w:hAnsiTheme="majorEastAsia" w:eastAsiaTheme="majorEastAsia"/>
                <w:sz w:val="18"/>
                <w:szCs w:val="18"/>
              </w:rPr>
              <w:t>。</w:t>
            </w:r>
          </w:p>
          <w:p w14:paraId="7F8A7CCC">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2B3A19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77B3C87">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4A3AF9DD">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7FDF6DB0">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后的每个【交易日】为开放日，开放日开放投资者的申购与赎回；</w:t>
            </w:r>
          </w:p>
          <w:p w14:paraId="0CE3A0CD">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05E00D6B">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2FC5D455">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5D2A01EB">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524B92F5">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370BCF9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317B35B4">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14:paraId="6FC56707">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14:paraId="066266B8">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14:paraId="7D61C719">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14:paraId="330068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033A0DF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 xml:space="preserve">-【17：00】 </w:t>
                  </w:r>
                </w:p>
              </w:tc>
              <w:tc>
                <w:tcPr>
                  <w:tcW w:w="1701" w:type="dxa"/>
                  <w:vAlign w:val="center"/>
                </w:tcPr>
                <w:p w14:paraId="539E898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14:paraId="640B107A">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14:paraId="7553C127">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14:paraId="1CAFAB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0AC56B2E">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 xml:space="preserve">-【24：00】 </w:t>
                  </w:r>
                </w:p>
              </w:tc>
              <w:tc>
                <w:tcPr>
                  <w:tcW w:w="1701" w:type="dxa"/>
                  <w:vAlign w:val="center"/>
                </w:tcPr>
                <w:p w14:paraId="09488A85">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20FBBA5C">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1A211FF3">
                  <w:pPr>
                    <w:spacing w:line="360" w:lineRule="auto"/>
                    <w:jc w:val="left"/>
                    <w:rPr>
                      <w:rFonts w:asciiTheme="majorEastAsia" w:hAnsiTheme="majorEastAsia" w:eastAsiaTheme="majorEastAsia"/>
                      <w:bCs/>
                      <w:sz w:val="18"/>
                      <w:szCs w:val="18"/>
                    </w:rPr>
                  </w:pPr>
                </w:p>
              </w:tc>
            </w:tr>
            <w:tr w14:paraId="1ED4A2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0D296494">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14:paraId="05D35CED">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7C17E328">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6F75B076">
                  <w:pPr>
                    <w:spacing w:line="360" w:lineRule="auto"/>
                    <w:jc w:val="left"/>
                    <w:rPr>
                      <w:rFonts w:asciiTheme="majorEastAsia" w:hAnsiTheme="majorEastAsia" w:eastAsiaTheme="majorEastAsia"/>
                      <w:bCs/>
                      <w:sz w:val="18"/>
                      <w:szCs w:val="18"/>
                    </w:rPr>
                  </w:pPr>
                </w:p>
              </w:tc>
            </w:tr>
          </w:tbl>
          <w:p w14:paraId="743934AE">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3EEB8E7E">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29B7E81F">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4E56740D">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1248CC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4C669007">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3974B2BD">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51CBC144">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2E78AA78">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423CA4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13117FC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14:paraId="007056E7">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00223F5D">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48FD84A8">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371B37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18C665A9">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14:paraId="1CF4688A">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226BD364">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662A5D2E">
                  <w:pPr>
                    <w:spacing w:line="360" w:lineRule="auto"/>
                    <w:rPr>
                      <w:rFonts w:cs="Times New Roman" w:asciiTheme="minorEastAsia" w:hAnsiTheme="minorEastAsia" w:eastAsiaTheme="minorEastAsia"/>
                      <w:bCs/>
                      <w:kern w:val="0"/>
                      <w:sz w:val="18"/>
                      <w:szCs w:val="18"/>
                    </w:rPr>
                  </w:pPr>
                </w:p>
              </w:tc>
            </w:tr>
            <w:tr w14:paraId="65130F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61136D3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14:paraId="2A1ECEFE">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50A5BC42">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0E1F35B4">
                  <w:pPr>
                    <w:spacing w:line="360" w:lineRule="auto"/>
                    <w:rPr>
                      <w:rFonts w:cs="Times New Roman" w:asciiTheme="minorEastAsia" w:hAnsiTheme="minorEastAsia" w:eastAsiaTheme="minorEastAsia"/>
                      <w:bCs/>
                      <w:kern w:val="0"/>
                      <w:sz w:val="18"/>
                      <w:szCs w:val="18"/>
                    </w:rPr>
                  </w:pPr>
                </w:p>
              </w:tc>
            </w:tr>
          </w:tbl>
          <w:p w14:paraId="58313AAD">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日后【1】个开放日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14:paraId="6A5B9A5F">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14:paraId="5A49A5A8">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14:paraId="1889B33B">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14:paraId="74C3BE6E">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14:paraId="69A6B7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76B58B8">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2974D869">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0.01】元；超出起点金额的部分以【</w:t>
            </w:r>
            <w:r>
              <w:rPr>
                <w:rFonts w:hint="eastAsia" w:asciiTheme="majorEastAsia" w:hAnsiTheme="majorEastAsia" w:eastAsiaTheme="majorEastAsia"/>
                <w:bCs/>
                <w:sz w:val="18"/>
                <w:szCs w:val="18"/>
              </w:rPr>
              <w:t>0</w:t>
            </w:r>
            <w:r>
              <w:rPr>
                <w:rFonts w:asciiTheme="majorEastAsia" w:hAnsiTheme="majorEastAsia" w:eastAsiaTheme="majorEastAsia"/>
                <w:bCs/>
                <w:sz w:val="18"/>
                <w:szCs w:val="18"/>
              </w:rPr>
              <w:t>.01】元的整数</w:t>
            </w:r>
            <w:r>
              <w:rPr>
                <w:rFonts w:hint="eastAsia" w:asciiTheme="majorEastAsia" w:hAnsiTheme="majorEastAsia" w:eastAsiaTheme="majorEastAsia"/>
                <w:bCs/>
                <w:sz w:val="18"/>
                <w:szCs w:val="18"/>
              </w:rPr>
              <w:t>倍递增。</w:t>
            </w:r>
            <w:r>
              <w:rPr>
                <w:rFonts w:hint="eastAsia" w:hAnsi="宋体"/>
                <w:bCs/>
                <w:sz w:val="18"/>
                <w:szCs w:val="18"/>
              </w:rPr>
              <w:t>（适用【</w:t>
            </w:r>
            <w:r>
              <w:rPr>
                <w:rFonts w:hint="eastAsia" w:hAnsi="宋体"/>
                <w:bCs/>
                <w:sz w:val="18"/>
                <w:szCs w:val="18"/>
                <w:lang w:eastAsia="zh-CN"/>
              </w:rPr>
              <w:t>B】</w:t>
            </w:r>
            <w:r>
              <w:rPr>
                <w:rFonts w:hint="eastAsia" w:hAnsi="宋体"/>
                <w:bCs/>
                <w:sz w:val="18"/>
                <w:szCs w:val="18"/>
              </w:rPr>
              <w:t>类</w:t>
            </w:r>
            <w:r>
              <w:rPr>
                <w:rFonts w:hAnsi="宋体"/>
                <w:bCs/>
                <w:sz w:val="18"/>
                <w:szCs w:val="18"/>
              </w:rPr>
              <w:t>份额</w:t>
            </w:r>
            <w:r>
              <w:rPr>
                <w:rFonts w:hint="eastAsia" w:asciiTheme="majorEastAsia" w:hAnsiTheme="majorEastAsia" w:eastAsiaTheme="majorEastAsia"/>
                <w:bCs/>
                <w:color w:val="000000" w:themeColor="text1"/>
                <w:sz w:val="18"/>
                <w:szCs w:val="18"/>
                <w14:textFill>
                  <w14:solidFill>
                    <w14:schemeClr w14:val="tx1"/>
                  </w14:solidFill>
                </w14:textFill>
              </w:rPr>
              <w:t>）</w:t>
            </w:r>
          </w:p>
          <w:p w14:paraId="7E7545EF">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14:paraId="4BD3AA93">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14:paraId="7F1E9879">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14:paraId="2127A0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93BDBC8">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430DD472">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14:paraId="2F22C65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3462D114">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】。如需突破上限，请与产品管理人或销售机构客户经理联系。</w:t>
            </w:r>
          </w:p>
          <w:p w14:paraId="4F9E8ECC">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18E71CE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14:paraId="2BA8F5D8">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】，符合产品管理人流动性管理的稳定资金除外。</w:t>
            </w:r>
          </w:p>
          <w:p w14:paraId="0C6298AA">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3BE3811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1F62308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14:paraId="3D07772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31A51396">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14:paraId="141C2EB7">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075C279E">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2E6EB2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65C53403">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5E2D5194">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2FD990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CE12C02">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4510DF4A">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2A4E5B6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E3504B5">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08CC8F3C">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7A6C031D">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14:paraId="4B3D4A9E">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089D59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5C610CC">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012BAE9F">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eastAsia="zh-CN"/>
              </w:rPr>
              <w:t>B】</w:t>
            </w:r>
            <w:r>
              <w:rPr>
                <w:rFonts w:hint="eastAsia" w:hAnsi="宋体"/>
                <w:bCs/>
                <w:sz w:val="18"/>
                <w:szCs w:val="18"/>
              </w:rPr>
              <w:t>类</w:t>
            </w:r>
            <w:r>
              <w:rPr>
                <w:rFonts w:hAnsi="宋体"/>
                <w:bCs/>
                <w:sz w:val="18"/>
                <w:szCs w:val="18"/>
              </w:rPr>
              <w:t>份额</w:t>
            </w:r>
            <w:r>
              <w:rPr>
                <w:rFonts w:hint="eastAsia" w:hAnsi="宋体"/>
                <w:bCs/>
                <w:sz w:val="18"/>
                <w:szCs w:val="18"/>
              </w:rPr>
              <w:t>）</w:t>
            </w:r>
          </w:p>
          <w:p w14:paraId="077FC5D4">
            <w:pPr>
              <w:spacing w:line="360" w:lineRule="auto"/>
              <w:jc w:val="left"/>
              <w:rPr>
                <w:rFonts w:ascii="宋体" w:hAnsi="宋体"/>
                <w:bCs/>
                <w:sz w:val="18"/>
                <w:szCs w:val="18"/>
              </w:rPr>
            </w:pPr>
            <w:r>
              <w:rPr>
                <w:rFonts w:ascii="宋体" w:hAnsi="宋体"/>
                <w:bCs/>
                <w:sz w:val="18"/>
                <w:szCs w:val="18"/>
              </w:rPr>
              <w:t>1.业绩比较基准的设置</w:t>
            </w:r>
          </w:p>
          <w:p w14:paraId="018D4821">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7ECA4BC8">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cs="仿宋_GB2312" w:asciiTheme="majorEastAsia" w:hAnsiTheme="majorEastAsia" w:eastAsiaTheme="majorEastAsia"/>
                <w:kern w:val="0"/>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435018A7">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r>
              <w:rPr>
                <w:rFonts w:hint="eastAsia" w:asciiTheme="majorEastAsia" w:hAnsiTheme="majorEastAsia"/>
                <w:bCs/>
                <w:sz w:val="18"/>
                <w:lang w:val="en-US" w:eastAsia="zh-CN"/>
              </w:rPr>
              <w:t>B</w:t>
            </w:r>
            <w:r>
              <w:rPr>
                <w:rFonts w:hint="eastAsia" w:asciiTheme="majorEastAsia" w:hAnsiTheme="majorEastAsia" w:eastAsiaTheme="majorEastAsia"/>
                <w:bCs/>
                <w:sz w:val="18"/>
                <w:szCs w:val="18"/>
                <w:lang w:val="en-US" w:eastAsia="zh-CN"/>
              </w:rPr>
              <w:t>类份额：</w:t>
            </w:r>
            <w:r>
              <w:rPr>
                <w:rFonts w:hint="eastAsia"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1.80%-2.20%</w:t>
            </w:r>
            <w:r>
              <w:rPr>
                <w:rFonts w:hint="eastAsia" w:asciiTheme="majorEastAsia" w:hAnsiTheme="majorEastAsia" w:eastAsiaTheme="majorEastAsia"/>
                <w:bCs/>
                <w:sz w:val="18"/>
                <w:szCs w:val="18"/>
              </w:rPr>
              <w:t>】</w:t>
            </w:r>
            <w:r>
              <w:rPr>
                <w:rFonts w:hint="eastAsia" w:ascii="宋体" w:hAnsi="宋体"/>
                <w:bCs/>
                <w:sz w:val="18"/>
                <w:szCs w:val="18"/>
              </w:rPr>
              <w:t>。</w:t>
            </w:r>
          </w:p>
          <w:p w14:paraId="2F9BE29B">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 产品管理人不设置业绩比较基准。</w:t>
            </w:r>
          </w:p>
          <w:p w14:paraId="3102D127">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55DD4B68">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4268562F">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18B62C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37A2438">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0E1EBCFB">
            <w:pPr>
              <w:spacing w:line="360" w:lineRule="auto"/>
              <w:jc w:val="left"/>
              <w:rPr>
                <w:rFonts w:ascii="宋体" w:hAnsi="宋体"/>
                <w:bCs/>
                <w:sz w:val="18"/>
                <w:szCs w:val="18"/>
              </w:rPr>
            </w:pPr>
            <w:r>
              <w:rPr>
                <w:rFonts w:hint="eastAsia" w:ascii="宋体" w:hAnsi="宋体"/>
                <w:bCs/>
                <w:sz w:val="18"/>
                <w:szCs w:val="18"/>
              </w:rPr>
              <w:t>（适用【</w:t>
            </w:r>
            <w:r>
              <w:rPr>
                <w:rFonts w:hint="eastAsia" w:ascii="宋体" w:hAnsi="宋体"/>
                <w:bCs/>
                <w:sz w:val="18"/>
                <w:szCs w:val="18"/>
                <w:lang w:eastAsia="zh-CN"/>
              </w:rPr>
              <w:t>B】</w:t>
            </w:r>
            <w:r>
              <w:rPr>
                <w:rFonts w:hint="eastAsia" w:ascii="宋体" w:hAnsi="宋体"/>
                <w:bCs/>
                <w:sz w:val="18"/>
                <w:szCs w:val="18"/>
              </w:rPr>
              <w:t>类份额）</w:t>
            </w:r>
          </w:p>
          <w:p w14:paraId="0AD0EFD0">
            <w:pPr>
              <w:spacing w:line="360" w:lineRule="auto"/>
              <w:jc w:val="left"/>
              <w:rPr>
                <w:rFonts w:ascii="宋体" w:hAnsi="宋体"/>
                <w:bCs/>
                <w:sz w:val="18"/>
                <w:szCs w:val="18"/>
              </w:rPr>
            </w:pPr>
            <w:r>
              <w:rPr>
                <w:rFonts w:ascii="宋体" w:hAnsi="宋体"/>
                <w:bCs/>
                <w:sz w:val="18"/>
                <w:szCs w:val="18"/>
              </w:rPr>
              <w:t>1.业绩报酬计提基准的设置</w:t>
            </w:r>
          </w:p>
          <w:p w14:paraId="4A946EB0">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64E58A21">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14:paraId="6822DE38">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6F71A33A">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5B72E529">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72C56A95">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363A73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DDE7E8E">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71F01B33">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719E8D74">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345027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B3E4A21">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03004A97">
            <w:pPr>
              <w:spacing w:line="360" w:lineRule="auto"/>
              <w:jc w:val="left"/>
              <w:rPr>
                <w:rFonts w:cs="黑体" w:asciiTheme="minorEastAsia" w:hAnsiTheme="minorEastAsia" w:eastAsiaTheme="minorEastAsia"/>
                <w:bCs/>
                <w:sz w:val="18"/>
                <w:szCs w:val="18"/>
              </w:rPr>
            </w:pPr>
            <w:r>
              <w:rPr>
                <w:rFonts w:hint="eastAsia" w:cs="黑体" w:asciiTheme="minorEastAsia" w:hAnsiTheme="minorEastAsia" w:eastAsiaTheme="minorEastAsia"/>
                <w:bCs/>
                <w:sz w:val="18"/>
                <w:szCs w:val="18"/>
              </w:rPr>
              <w:t>（适用【</w:t>
            </w:r>
            <w:r>
              <w:rPr>
                <w:rFonts w:hint="eastAsia" w:cs="黑体" w:asciiTheme="minorEastAsia" w:hAnsiTheme="minorEastAsia" w:eastAsiaTheme="minorEastAsia"/>
                <w:bCs/>
                <w:sz w:val="18"/>
                <w:szCs w:val="18"/>
                <w:lang w:eastAsia="zh-CN"/>
              </w:rPr>
              <w:t>B】</w:t>
            </w:r>
            <w:r>
              <w:rPr>
                <w:rFonts w:hint="eastAsia" w:cs="黑体" w:asciiTheme="minorEastAsia" w:hAnsiTheme="minorEastAsia" w:eastAsiaTheme="minorEastAsia"/>
                <w:bCs/>
                <w:sz w:val="18"/>
                <w:szCs w:val="18"/>
              </w:rPr>
              <w:t>类份额）</w:t>
            </w:r>
          </w:p>
          <w:p w14:paraId="76F050A6">
            <w:pPr>
              <w:spacing w:line="360" w:lineRule="auto"/>
              <w:jc w:val="left"/>
              <w:rPr>
                <w:rFonts w:ascii="黑体" w:hAnsi="黑体" w:eastAsia="黑体" w:cs="黑体"/>
                <w:bCs/>
                <w:sz w:val="18"/>
                <w:szCs w:val="18"/>
              </w:rPr>
            </w:pPr>
            <w:r>
              <w:rPr>
                <w:rFonts w:ascii="黑体" w:hAnsi="黑体" w:eastAsia="黑体" w:cs="黑体"/>
                <w:bCs/>
                <w:sz w:val="18"/>
                <w:szCs w:val="18"/>
              </w:rPr>
              <w:t>1.</w:t>
            </w:r>
            <w:r>
              <w:rPr>
                <w:rFonts w:hint="eastAsia" w:ascii="黑体" w:hAnsi="黑体" w:eastAsia="黑体" w:cs="黑体"/>
                <w:bCs/>
                <w:sz w:val="18"/>
                <w:szCs w:val="18"/>
              </w:rPr>
              <w:t>理财产品的费率标准</w:t>
            </w:r>
          </w:p>
          <w:p w14:paraId="6622659D">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1）认购费：</w:t>
            </w:r>
            <w:r>
              <w:rPr>
                <w:rFonts w:hint="eastAsia" w:ascii="黑体" w:hAnsi="黑体" w:eastAsia="黑体" w:cs="黑体"/>
                <w:bCs/>
                <w:sz w:val="18"/>
                <w:szCs w:val="18"/>
              </w:rPr>
              <w:t>【/】。</w:t>
            </w:r>
          </w:p>
          <w:p w14:paraId="722C5226">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2）申购费：</w:t>
            </w:r>
            <w:r>
              <w:rPr>
                <w:rFonts w:hint="eastAsia" w:ascii="黑体" w:hAnsi="黑体" w:eastAsia="黑体" w:cs="黑体"/>
                <w:bCs/>
                <w:sz w:val="18"/>
                <w:szCs w:val="18"/>
              </w:rPr>
              <w:t>【/】。</w:t>
            </w:r>
          </w:p>
          <w:p w14:paraId="1A09DCD8">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3）赎回费：</w:t>
            </w:r>
            <w:r>
              <w:rPr>
                <w:rFonts w:hint="eastAsia" w:ascii="黑体" w:hAnsi="黑体" w:eastAsia="黑体" w:cs="黑体"/>
                <w:bCs/>
                <w:sz w:val="18"/>
                <w:szCs w:val="18"/>
              </w:rPr>
              <w:t>【/】。</w:t>
            </w:r>
          </w:p>
          <w:p w14:paraId="3B3B687A">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4）销售服</w:t>
            </w:r>
            <w:r>
              <w:rPr>
                <w:rFonts w:hint="eastAsia" w:ascii="黑体" w:hAnsi="黑体" w:eastAsia="黑体" w:cs="黑体"/>
                <w:bCs/>
                <w:sz w:val="18"/>
                <w:szCs w:val="18"/>
              </w:rPr>
              <w:t>务费：</w:t>
            </w:r>
            <w:r>
              <w:rPr>
                <w:rFonts w:ascii="黑体" w:hAnsi="黑体" w:eastAsia="黑体" w:cs="黑体"/>
                <w:bCs/>
                <w:sz w:val="18"/>
                <w:szCs w:val="18"/>
              </w:rPr>
              <w:t>年化费率</w:t>
            </w:r>
            <w:r>
              <w:rPr>
                <w:rFonts w:hint="eastAsia" w:ascii="黑体" w:hAnsi="黑体" w:eastAsia="黑体" w:cs="黑体"/>
                <w:bCs/>
                <w:sz w:val="18"/>
                <w:szCs w:val="18"/>
              </w:rPr>
              <w:t>【0.</w:t>
            </w:r>
            <w:r>
              <w:rPr>
                <w:rFonts w:hint="eastAsia" w:ascii="黑体" w:hAnsi="黑体" w:eastAsia="黑体" w:cs="黑体"/>
                <w:bCs/>
                <w:sz w:val="18"/>
                <w:szCs w:val="18"/>
                <w:lang w:val="en-US" w:eastAsia="zh-CN"/>
              </w:rPr>
              <w:t>4</w:t>
            </w:r>
            <w:r>
              <w:rPr>
                <w:rFonts w:hint="eastAsia" w:ascii="黑体" w:hAnsi="黑体" w:eastAsia="黑体" w:cs="黑体"/>
                <w:bCs/>
                <w:sz w:val="18"/>
                <w:szCs w:val="18"/>
              </w:rPr>
              <w:t>0%】。</w:t>
            </w:r>
          </w:p>
          <w:p w14:paraId="3FADD975">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5）投资管理费：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【0.30%</w:t>
            </w:r>
            <w:r>
              <w:rPr>
                <w:rFonts w:ascii="黑体" w:hAnsi="黑体" w:eastAsia="黑体" w:cs="黑体"/>
                <w:bCs/>
                <w:sz w:val="18"/>
                <w:szCs w:val="18"/>
              </w:rPr>
              <w:t>】</w:t>
            </w:r>
            <w:r>
              <w:rPr>
                <w:rFonts w:hint="eastAsia" w:ascii="黑体" w:hAnsi="黑体" w:eastAsia="黑体" w:cs="黑体"/>
                <w:bCs/>
                <w:sz w:val="18"/>
                <w:szCs w:val="18"/>
              </w:rPr>
              <w:t>。</w:t>
            </w:r>
          </w:p>
          <w:p w14:paraId="10BDDEF5">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6）产品托管费：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【0.03%】。</w:t>
            </w:r>
          </w:p>
          <w:p w14:paraId="7372F6C8">
            <w:pPr>
              <w:widowControl/>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7）超额业绩报酬：</w:t>
            </w:r>
          </w:p>
          <w:p w14:paraId="161728F1">
            <w:pPr>
              <w:widowControl/>
              <w:autoSpaceDE w:val="0"/>
              <w:autoSpaceDN w:val="0"/>
              <w:adjustRightInd w:val="0"/>
              <w:spacing w:line="360" w:lineRule="auto"/>
              <w:jc w:val="left"/>
              <w:rPr>
                <w:rFonts w:ascii="宋体" w:hAnsi="宋体" w:cs="黑体"/>
                <w:bCs/>
                <w:sz w:val="18"/>
                <w:szCs w:val="18"/>
              </w:rPr>
            </w:pPr>
            <w:r>
              <w:rPr>
                <w:rFonts w:ascii="宋体" w:hAnsi="宋体" w:cs="黑体"/>
                <w:bCs/>
                <w:sz w:val="18"/>
                <w:szCs w:val="18"/>
              </w:rPr>
              <w:t>本产品不收取超额业绩报酬</w:t>
            </w:r>
            <w:r>
              <w:rPr>
                <w:rFonts w:hint="eastAsia" w:ascii="宋体" w:hAnsi="宋体" w:cs="黑体"/>
                <w:bCs/>
                <w:sz w:val="18"/>
                <w:szCs w:val="18"/>
              </w:rPr>
              <w:t>。</w:t>
            </w:r>
          </w:p>
          <w:p w14:paraId="388B7E21">
            <w:pPr>
              <w:autoSpaceDE w:val="0"/>
              <w:autoSpaceDN w:val="0"/>
              <w:adjustRightInd w:val="0"/>
              <w:spacing w:line="360" w:lineRule="auto"/>
              <w:jc w:val="left"/>
              <w:rPr>
                <w:rFonts w:ascii="黑体" w:hAnsi="黑体" w:eastAsia="黑体"/>
                <w:bCs/>
                <w:sz w:val="18"/>
                <w:szCs w:val="18"/>
              </w:rPr>
            </w:pPr>
            <w:r>
              <w:rPr>
                <w:rFonts w:ascii="黑体" w:hAnsi="黑体" w:eastAsia="黑体" w:cs="黑体"/>
                <w:bCs/>
                <w:sz w:val="18"/>
                <w:szCs w:val="18"/>
              </w:rPr>
              <w:t>2.</w:t>
            </w:r>
            <w:r>
              <w:rPr>
                <w:rFonts w:hint="eastAsia" w:ascii="黑体" w:hAnsi="黑体" w:eastAsia="黑体" w:cs="黑体"/>
                <w:bCs/>
                <w:sz w:val="18"/>
                <w:szCs w:val="18"/>
              </w:rPr>
              <w:t>产品管理人</w:t>
            </w:r>
            <w:r>
              <w:rPr>
                <w:rFonts w:ascii="黑体" w:hAnsi="黑体" w:eastAsia="黑体" w:cs="黑体"/>
                <w:bCs/>
                <w:sz w:val="18"/>
                <w:szCs w:val="18"/>
              </w:rPr>
              <w:t>保留变更</w:t>
            </w:r>
            <w:r>
              <w:rPr>
                <w:rFonts w:hint="eastAsia" w:ascii="黑体" w:hAnsi="黑体" w:eastAsia="黑体" w:cs="黑体"/>
                <w:bCs/>
                <w:sz w:val="18"/>
                <w:szCs w:val="18"/>
              </w:rPr>
              <w:t>上述</w:t>
            </w:r>
            <w:r>
              <w:rPr>
                <w:rFonts w:ascii="黑体" w:hAnsi="黑体" w:eastAsia="黑体" w:cs="黑体"/>
                <w:bCs/>
                <w:sz w:val="18"/>
                <w:szCs w:val="18"/>
              </w:rPr>
              <w:t>理财产品</w:t>
            </w:r>
            <w:r>
              <w:rPr>
                <w:rFonts w:hint="eastAsia" w:ascii="黑体" w:hAnsi="黑体" w:eastAsia="黑体" w:cs="黑体"/>
                <w:bCs/>
                <w:sz w:val="18"/>
                <w:szCs w:val="18"/>
              </w:rPr>
              <w:t>收取</w:t>
            </w:r>
            <w:r>
              <w:rPr>
                <w:rFonts w:ascii="黑体" w:hAnsi="黑体" w:eastAsia="黑体" w:cs="黑体"/>
                <w:bCs/>
                <w:sz w:val="18"/>
                <w:szCs w:val="18"/>
              </w:rPr>
              <w:t>费率</w:t>
            </w:r>
            <w:r>
              <w:rPr>
                <w:rFonts w:hint="eastAsia" w:ascii="黑体" w:hAnsi="黑体" w:eastAsia="黑体" w:cs="黑体"/>
                <w:bCs/>
                <w:sz w:val="18"/>
                <w:szCs w:val="18"/>
              </w:rPr>
              <w:t>标准</w:t>
            </w:r>
            <w:r>
              <w:rPr>
                <w:rFonts w:ascii="黑体" w:hAnsi="黑体" w:eastAsia="黑体" w:cs="黑体"/>
                <w:bCs/>
                <w:sz w:val="18"/>
                <w:szCs w:val="18"/>
              </w:rPr>
              <w:t>的权利</w:t>
            </w:r>
            <w:r>
              <w:rPr>
                <w:rFonts w:hint="eastAsia" w:ascii="黑体" w:hAnsi="黑体" w:eastAsia="黑体" w:cs="黑体"/>
                <w:bCs/>
                <w:sz w:val="18"/>
                <w:szCs w:val="18"/>
              </w:rPr>
              <w:t>。</w:t>
            </w:r>
          </w:p>
        </w:tc>
      </w:tr>
      <w:tr w14:paraId="5B57E4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1E3A741">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416D4D8D">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2E4F412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28F052C">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077C2C23">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4136FB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D9833ED">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40506D29">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0237EDA4">
      <w:pPr>
        <w:pStyle w:val="34"/>
        <w:spacing w:line="360" w:lineRule="auto"/>
        <w:rPr>
          <w:rFonts w:hAnsi="宋体"/>
          <w:sz w:val="18"/>
          <w:szCs w:val="18"/>
        </w:rPr>
      </w:pPr>
    </w:p>
    <w:p w14:paraId="286E1B36">
      <w:pPr>
        <w:widowControl/>
        <w:spacing w:line="360" w:lineRule="auto"/>
        <w:jc w:val="left"/>
        <w:rPr>
          <w:rFonts w:ascii="宋体" w:hAnsi="宋体"/>
          <w:color w:val="000000"/>
          <w:kern w:val="0"/>
          <w:sz w:val="18"/>
          <w:szCs w:val="18"/>
        </w:rPr>
      </w:pPr>
      <w:r>
        <w:rPr>
          <w:rFonts w:hAnsi="宋体"/>
          <w:sz w:val="18"/>
          <w:szCs w:val="18"/>
        </w:rPr>
        <w:br w:type="page"/>
      </w:r>
    </w:p>
    <w:p w14:paraId="41B783A2">
      <w:pPr>
        <w:pStyle w:val="2"/>
        <w:spacing w:before="0" w:after="0" w:line="360" w:lineRule="auto"/>
        <w:jc w:val="center"/>
        <w:rPr>
          <w:rFonts w:ascii="Times New Roman"/>
          <w:sz w:val="30"/>
        </w:rPr>
      </w:pPr>
      <w:bookmarkStart w:id="10" w:name="_Toc103260530"/>
      <w:bookmarkStart w:id="11" w:name="_Toc22117"/>
      <w:bookmarkStart w:id="12" w:name="_Toc176187992"/>
      <w:bookmarkStart w:id="13" w:name="_Toc79154666"/>
      <w:bookmarkStart w:id="14" w:name="_Toc92377132"/>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14:paraId="00F550B6">
      <w:pPr>
        <w:pStyle w:val="34"/>
        <w:spacing w:line="360" w:lineRule="auto"/>
        <w:ind w:firstLine="361" w:firstLineChars="200"/>
        <w:rPr>
          <w:rFonts w:asciiTheme="minorEastAsia" w:hAnsiTheme="minorEastAsia" w:eastAsiaTheme="minorEastAsia"/>
          <w:b/>
          <w:color w:val="auto"/>
          <w:sz w:val="18"/>
          <w:szCs w:val="18"/>
        </w:rPr>
      </w:pPr>
      <w:bookmarkStart w:id="16" w:name="_Hlt88031774"/>
      <w:bookmarkEnd w:id="16"/>
      <w:bookmarkStart w:id="17" w:name="_Hlt88031741"/>
      <w:r>
        <w:rPr>
          <w:rFonts w:hint="eastAsia" w:asciiTheme="minorEastAsia" w:hAnsiTheme="minorEastAsia" w:eastAsiaTheme="minorEastAsia"/>
          <w:b/>
          <w:color w:val="auto"/>
          <w:sz w:val="18"/>
          <w:szCs w:val="18"/>
        </w:rPr>
        <w:t>（一）理财产品的认购</w:t>
      </w:r>
    </w:p>
    <w:p w14:paraId="39ECB8B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认购的时间</w:t>
      </w:r>
    </w:p>
    <w:p w14:paraId="2666CB6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2EBB139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2.认购</w:t>
      </w:r>
      <w:r>
        <w:rPr>
          <w:rFonts w:hint="eastAsia" w:asciiTheme="minorEastAsia" w:hAnsiTheme="minorEastAsia" w:eastAsiaTheme="minorEastAsia"/>
          <w:b/>
          <w:color w:val="auto"/>
          <w:sz w:val="18"/>
          <w:szCs w:val="18"/>
        </w:rPr>
        <w:t>的方式</w:t>
      </w:r>
    </w:p>
    <w:p w14:paraId="7F18828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3953535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0475A6B6">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销售机构线上渠道认购的，应根据销售机构</w:t>
      </w:r>
      <w:r>
        <w:rPr>
          <w:rFonts w:hint="eastAsia" w:asciiTheme="minorEastAsia" w:hAnsiTheme="minorEastAsia"/>
          <w:bCs/>
          <w:color w:val="auto"/>
          <w:sz w:val="18"/>
          <w:szCs w:val="18"/>
        </w:rPr>
        <w:t>线上渠道的具体要求执行。</w:t>
      </w:r>
    </w:p>
    <w:p w14:paraId="15E3124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15FC1C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078F58E3">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0ADFFFBC">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06823BDE">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3868382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5F3C58E3">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1CF42EFF">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34C98902">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3AE51BC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14:paraId="4B0B72A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w:t>
      </w:r>
      <w:r>
        <w:rPr>
          <w:rFonts w:asciiTheme="minorEastAsia" w:hAnsiTheme="minorEastAsia" w:eastAsiaTheme="minorEastAsia"/>
          <w:b/>
          <w:color w:val="auto"/>
          <w:sz w:val="18"/>
          <w:szCs w:val="18"/>
        </w:rPr>
        <w:t>认购的价格</w:t>
      </w:r>
    </w:p>
    <w:p w14:paraId="37365DF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6FAE0CA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383C7F08">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41B5DA7F">
      <w:pPr>
        <w:pStyle w:val="34"/>
        <w:spacing w:line="360" w:lineRule="auto"/>
        <w:ind w:firstLine="361" w:firstLineChars="200"/>
        <w:rPr>
          <w:rFonts w:asciiTheme="minorEastAsia" w:hAnsiTheme="minorEastAsia"/>
          <w:b/>
          <w:bCs/>
          <w:sz w:val="18"/>
          <w:szCs w:val="18"/>
        </w:rPr>
      </w:pPr>
      <w:r>
        <w:rPr>
          <w:rFonts w:asciiTheme="minorEastAsia" w:hAnsiTheme="minorEastAsia" w:eastAsiaTheme="minorEastAsia"/>
          <w:b/>
          <w:color w:val="auto"/>
          <w:sz w:val="18"/>
          <w:szCs w:val="18"/>
        </w:rPr>
        <w:t>6.认购份额的计算</w:t>
      </w:r>
    </w:p>
    <w:p w14:paraId="07AEBB42">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6B7DC082">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5C5D2BFE">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14187CD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31BE981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78F3354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.认购的起点和递增金额</w:t>
      </w:r>
    </w:p>
    <w:p w14:paraId="648290D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FEB4E5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798A134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7293D10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9.募集期认购资金利息的处理</w:t>
      </w:r>
    </w:p>
    <w:p w14:paraId="1FF54DD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7CDFEC3D">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（二）认购的原则</w:t>
      </w:r>
    </w:p>
    <w:p w14:paraId="259EB03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08D89D2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41586D3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（三）拒绝或暂停认购的情形</w:t>
      </w:r>
    </w:p>
    <w:p w14:paraId="1EF498C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7790FD7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7901D2E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49068D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179B1B9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053A3D57">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（四）日期遇非工作日的调整</w:t>
      </w:r>
    </w:p>
    <w:p w14:paraId="330C127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16A12222">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eastAsiaTheme="minorEastAsia"/>
          <w:b/>
          <w:color w:val="auto"/>
          <w:sz w:val="18"/>
          <w:szCs w:val="18"/>
        </w:rPr>
        <w:t>（五）投资者持有理财份额的限额和理财产品总规模限额</w:t>
      </w:r>
    </w:p>
    <w:p w14:paraId="2634717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7B8712F">
      <w:pPr>
        <w:spacing w:line="360" w:lineRule="auto"/>
        <w:ind w:firstLine="360" w:firstLineChars="200"/>
        <w:rPr>
          <w:rFonts w:asciiTheme="minorEastAsia" w:hAnsiTheme="minorEastAsia"/>
          <w:bCs/>
          <w:sz w:val="18"/>
          <w:szCs w:val="18"/>
        </w:rPr>
      </w:pPr>
    </w:p>
    <w:p w14:paraId="10DFB64B">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409B3FB2">
      <w:pPr>
        <w:pStyle w:val="2"/>
        <w:spacing w:before="0" w:after="0" w:line="360" w:lineRule="auto"/>
        <w:jc w:val="center"/>
        <w:rPr>
          <w:rFonts w:ascii="Times New Roman"/>
          <w:sz w:val="30"/>
        </w:rPr>
      </w:pPr>
      <w:bookmarkStart w:id="18" w:name="_Toc79154667"/>
      <w:bookmarkStart w:id="19" w:name="_Toc176187993"/>
      <w:bookmarkStart w:id="20" w:name="_Toc103260531"/>
      <w:bookmarkStart w:id="21" w:name="_Toc27778"/>
      <w:bookmarkStart w:id="22"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14:paraId="44310870">
      <w:pPr>
        <w:spacing w:line="360" w:lineRule="auto"/>
        <w:ind w:firstLine="420" w:firstLineChars="200"/>
      </w:pPr>
    </w:p>
    <w:p w14:paraId="0D1E121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（一）理财产品的申购</w:t>
      </w:r>
    </w:p>
    <w:p w14:paraId="21B4C224">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申购的时间</w:t>
      </w:r>
    </w:p>
    <w:p w14:paraId="14C5965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4E691CF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2.申购的方式</w:t>
      </w:r>
    </w:p>
    <w:p w14:paraId="1D6B95B7">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5D6C30F2">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1904A81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477BBD7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3EC5CA85">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38D23676">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3BD712C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的价格</w:t>
      </w:r>
    </w:p>
    <w:p w14:paraId="6E2AE44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3026CFBB">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申购的</w:t>
      </w:r>
      <w:r>
        <w:rPr>
          <w:rFonts w:asciiTheme="minorEastAsia" w:hAnsiTheme="minorEastAsia" w:eastAsiaTheme="minorEastAsia"/>
          <w:b/>
          <w:color w:val="auto"/>
          <w:sz w:val="18"/>
          <w:szCs w:val="18"/>
        </w:rPr>
        <w:t>费用</w:t>
      </w:r>
    </w:p>
    <w:p w14:paraId="53159622">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2D2ECA5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申购份额计算</w:t>
      </w:r>
    </w:p>
    <w:p w14:paraId="78E9B68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55A3B89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1B8458E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72FE6C7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13139CF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316BCD01">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申购的起点和递增金额</w:t>
      </w:r>
    </w:p>
    <w:p w14:paraId="3B1B787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6318D45C">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7BA05C4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719CBE0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（二）理财产品的赎回</w:t>
      </w:r>
    </w:p>
    <w:p w14:paraId="103431F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赎回的时间</w:t>
      </w:r>
    </w:p>
    <w:p w14:paraId="3DAFAC7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2093FCE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2.赎回的方式</w:t>
      </w:r>
    </w:p>
    <w:p w14:paraId="599EB58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56349A9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02637D43">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36B8FCE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赎回的确认</w:t>
      </w:r>
    </w:p>
    <w:p w14:paraId="747E4EAD">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596D1942">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14:paraId="6679558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的价格</w:t>
      </w:r>
    </w:p>
    <w:p w14:paraId="1328AD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7EC5C11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赎回的</w:t>
      </w:r>
      <w:r>
        <w:rPr>
          <w:rFonts w:asciiTheme="minorEastAsia" w:hAnsiTheme="minorEastAsia" w:eastAsiaTheme="minorEastAsia"/>
          <w:b/>
          <w:color w:val="auto"/>
          <w:sz w:val="18"/>
          <w:szCs w:val="18"/>
        </w:rPr>
        <w:t>费用</w:t>
      </w:r>
    </w:p>
    <w:p w14:paraId="046F9571">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048A74C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赎回金额计算</w:t>
      </w:r>
    </w:p>
    <w:p w14:paraId="4D3917FC">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7B74B27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3580920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2151D9A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6FC298D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226DFA3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的数量限制</w:t>
      </w:r>
    </w:p>
    <w:p w14:paraId="7958A63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2FEA947C">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（三）申购与赎回的原则</w:t>
      </w:r>
    </w:p>
    <w:p w14:paraId="2636E01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6E36A5B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42A4717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7F9AB6B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2F3C580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（四）拒绝或暂停申购的情形</w:t>
      </w:r>
    </w:p>
    <w:p w14:paraId="5AEDE98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3A58CFA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348F4D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4243ED5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6ABD537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234580A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13CA6F2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1801B29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BDBA48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15F380B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522081CC">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（五）暂停赎回或延缓支付赎回款项的情形</w:t>
      </w:r>
    </w:p>
    <w:p w14:paraId="644D658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1998E6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7835C90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3588488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628D7A9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61E806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1A70B76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22E716F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1973F86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5B8F8AA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0B4B2CD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08C98E5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638D81DD">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（六）巨额赎回的情形及</w:t>
      </w:r>
      <w:r>
        <w:rPr>
          <w:rFonts w:asciiTheme="minorEastAsia" w:hAnsiTheme="minorEastAsia" w:eastAsiaTheme="minorEastAsia"/>
          <w:b/>
          <w:color w:val="auto"/>
          <w:sz w:val="18"/>
          <w:szCs w:val="18"/>
        </w:rPr>
        <w:t>处理方式</w:t>
      </w:r>
    </w:p>
    <w:p w14:paraId="31F1C27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巨额赎回的认定</w:t>
      </w:r>
    </w:p>
    <w:p w14:paraId="62CB45E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6B70151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巨额赎回的处理方式</w:t>
      </w:r>
    </w:p>
    <w:p w14:paraId="5C6DC629">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14:paraId="238865F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巨额赎回的公告</w:t>
      </w:r>
    </w:p>
    <w:p w14:paraId="71A97B3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135CE62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（七）日期遇非工作日的调整</w:t>
      </w:r>
    </w:p>
    <w:p w14:paraId="40ABAC7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041AF34F">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（八）投资者持有理财份额的限额和理财产品总规模限额</w:t>
      </w:r>
    </w:p>
    <w:p w14:paraId="718D852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454464BE">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14:paraId="09FECAC1">
      <w:pPr>
        <w:pStyle w:val="2"/>
        <w:spacing w:before="0" w:after="0" w:line="360" w:lineRule="auto"/>
        <w:jc w:val="center"/>
        <w:rPr>
          <w:rFonts w:ascii="Times New Roman"/>
          <w:sz w:val="30"/>
        </w:rPr>
      </w:pPr>
      <w:bookmarkStart w:id="23" w:name="_Toc3266"/>
      <w:bookmarkStart w:id="24" w:name="_Toc7151"/>
      <w:bookmarkStart w:id="25" w:name="_Toc90742688"/>
      <w:bookmarkStart w:id="26" w:name="_Toc74065741"/>
      <w:bookmarkStart w:id="27" w:name="_Toc176187994"/>
      <w:bookmarkStart w:id="28" w:name="_Toc24347"/>
      <w:bookmarkStart w:id="29" w:name="_Toc16265"/>
      <w:bookmarkStart w:id="30" w:name="_Toc90742390"/>
      <w:bookmarkStart w:id="31" w:name="_Toc29948"/>
      <w:bookmarkStart w:id="32" w:name="_Toc15203"/>
      <w:bookmarkStart w:id="33" w:name="_Toc103260532"/>
      <w:bookmarkStart w:id="34" w:name="_Toc6714"/>
      <w:bookmarkStart w:id="35" w:name="_Toc79154668"/>
      <w:bookmarkStart w:id="36" w:name="_Toc29784"/>
      <w:bookmarkStart w:id="37" w:name="_Toc27226"/>
      <w:bookmarkStart w:id="38" w:name="_Toc22074"/>
      <w:bookmarkStart w:id="39" w:name="_Toc27189"/>
      <w:bookmarkStart w:id="40" w:name="_Toc92377134"/>
      <w:bookmarkStart w:id="41"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3FF3292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（一）投资目标</w:t>
      </w:r>
    </w:p>
    <w:p w14:paraId="5C88F198">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14:paraId="427EBFAA">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（二）投资范围和比例</w:t>
      </w:r>
    </w:p>
    <w:p w14:paraId="5D8F891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4BD9171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14:paraId="56DF351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14:paraId="561988D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3E928BB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14:paraId="5AF277A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ermEnd w:id="15"/>
    <w:p w14:paraId="1D8ACE5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35416A7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285A1BE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14:paraId="50A2FDF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51D950A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66416677">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7AE5A37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65209C5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028D529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6C1BCBF6">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150F004F">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（三）投资限制</w:t>
      </w:r>
    </w:p>
    <w:p w14:paraId="6341D56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1CC981D3">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14:paraId="111FFD43">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34317637">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14:paraId="6092A26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52B2017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605F3D9F">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676F8BD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14:paraId="6A85D0E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14:paraId="6D5A53D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622059D2">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292F922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2098E590">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52540B4D">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32322AF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026F5EF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54FA998B">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7B4EB48B">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四</w:t>
      </w: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投资策略</w:t>
      </w:r>
    </w:p>
    <w:p w14:paraId="78133C3D">
      <w:pPr>
        <w:pStyle w:val="34"/>
        <w:spacing w:line="360" w:lineRule="auto"/>
        <w:ind w:firstLine="360" w:firstLineChars="200"/>
        <w:rPr>
          <w:rFonts w:asciiTheme="majorEastAsia" w:hAnsiTheme="majorEastAsia" w:eastAsiaTheme="majorEastAsia"/>
          <w:bCs/>
          <w:color w:val="auto"/>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208A3EE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本产品将采用ESG投资理念，引入对融资主体和项目在社会责任、环境保护、公司治理方面的考量，在追求投资业绩的同时，影响或者推动企业社会责任的履行，促进社会的和谐发展。</w:t>
      </w:r>
      <w:r>
        <w:rPr>
          <w:rFonts w:hint="eastAsia" w:asciiTheme="majorEastAsia" w:hAnsiTheme="majorEastAsia" w:eastAsiaTheme="majorEastAsia"/>
          <w:bCs/>
          <w:color w:val="auto"/>
          <w:sz w:val="18"/>
          <w:szCs w:val="18"/>
        </w:rPr>
        <w:t>】</w:t>
      </w:r>
    </w:p>
    <w:permEnd w:id="19"/>
    <w:p w14:paraId="42F653CD">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326C3401">
      <w:pPr>
        <w:pStyle w:val="2"/>
        <w:spacing w:before="0" w:after="0" w:line="360" w:lineRule="auto"/>
        <w:jc w:val="center"/>
        <w:rPr>
          <w:rFonts w:ascii="Times New Roman"/>
          <w:sz w:val="30"/>
        </w:rPr>
      </w:pPr>
      <w:bookmarkStart w:id="42" w:name="_Toc1823"/>
      <w:bookmarkStart w:id="43" w:name="_Toc17912"/>
      <w:bookmarkStart w:id="44" w:name="_Toc21988"/>
      <w:bookmarkStart w:id="45" w:name="_Toc18526"/>
      <w:bookmarkStart w:id="46" w:name="_Toc16372"/>
      <w:bookmarkStart w:id="47" w:name="_Toc176187995"/>
      <w:bookmarkStart w:id="48" w:name="_Toc26986"/>
      <w:bookmarkStart w:id="49" w:name="_Toc18329"/>
      <w:bookmarkStart w:id="50" w:name="_Toc79154669"/>
      <w:bookmarkStart w:id="51" w:name="_Toc4741"/>
      <w:bookmarkStart w:id="52" w:name="_Toc92377135"/>
      <w:bookmarkStart w:id="53" w:name="_Toc103260533"/>
      <w:bookmarkStart w:id="54" w:name="_Toc14893"/>
      <w:bookmarkStart w:id="55" w:name="_Toc139991735"/>
      <w:bookmarkStart w:id="56" w:name="_Toc18797"/>
      <w:bookmarkStart w:id="57" w:name="_Toc7848"/>
      <w:bookmarkStart w:id="58" w:name="_Toc74065742"/>
      <w:bookmarkStart w:id="59" w:name="_Toc14170388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11DE9F65">
      <w:pPr>
        <w:pStyle w:val="34"/>
        <w:spacing w:line="360" w:lineRule="auto"/>
        <w:ind w:firstLine="361" w:firstLineChars="200"/>
        <w:rPr>
          <w:rFonts w:asciiTheme="minorEastAsia" w:hAnsiTheme="minorEastAsia" w:eastAsiaTheme="minorEastAsia"/>
          <w:b/>
          <w:color w:val="auto"/>
          <w:sz w:val="18"/>
          <w:szCs w:val="18"/>
        </w:rPr>
      </w:pPr>
      <w:bookmarkStart w:id="60" w:name="_Hlk490214295"/>
      <w:r>
        <w:rPr>
          <w:rFonts w:hint="eastAsia" w:asciiTheme="minorEastAsia" w:hAnsiTheme="minorEastAsia" w:eastAsiaTheme="minorEastAsia"/>
          <w:b/>
          <w:color w:val="auto"/>
          <w:sz w:val="18"/>
          <w:szCs w:val="18"/>
        </w:rPr>
        <w:t>（一）理财产品的资产的保管和处分</w:t>
      </w:r>
    </w:p>
    <w:p w14:paraId="7B05D71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79A03DC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433E73D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7878F15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（二）理财产品的有关账户</w:t>
      </w:r>
    </w:p>
    <w:p w14:paraId="16A5981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78B5CE6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122267EE">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14:paraId="7364605A">
      <w:pPr>
        <w:pStyle w:val="2"/>
        <w:spacing w:before="0" w:after="0" w:line="360" w:lineRule="auto"/>
        <w:jc w:val="center"/>
        <w:rPr>
          <w:rFonts w:ascii="Times New Roman"/>
          <w:sz w:val="28"/>
          <w:szCs w:val="28"/>
        </w:rPr>
      </w:pPr>
      <w:bookmarkStart w:id="61" w:name="_Toc92377136"/>
      <w:bookmarkStart w:id="62" w:name="_Toc83391971"/>
      <w:bookmarkStart w:id="63" w:name="_Toc176187996"/>
      <w:bookmarkStart w:id="64" w:name="_Toc103260534"/>
      <w:bookmarkStart w:id="65" w:name="_Toc11569"/>
      <w:bookmarkStart w:id="66" w:name="_Toc23261"/>
      <w:bookmarkStart w:id="67" w:name="_Toc74065743"/>
      <w:bookmarkStart w:id="68" w:name="_Toc123051452"/>
      <w:bookmarkStart w:id="69" w:name="_Toc7920"/>
      <w:bookmarkStart w:id="70" w:name="_Toc20733"/>
      <w:bookmarkStart w:id="71" w:name="_Toc10463"/>
      <w:bookmarkStart w:id="72" w:name="_Toc1427"/>
      <w:bookmarkStart w:id="73" w:name="_Toc139991736"/>
      <w:bookmarkStart w:id="74" w:name="_Toc23822"/>
      <w:bookmarkStart w:id="75" w:name="_Toc1270"/>
      <w:bookmarkStart w:id="76" w:name="_Toc141703886"/>
      <w:bookmarkStart w:id="77" w:name="_Toc123102453"/>
      <w:bookmarkStart w:id="78" w:name="_Toc79392606"/>
      <w:bookmarkStart w:id="79" w:name="_Toc17244"/>
      <w:bookmarkStart w:id="80" w:name="_Toc610"/>
      <w:bookmarkStart w:id="81" w:name="_Toc48649707"/>
      <w:bookmarkStart w:id="82" w:name="_Toc98560352"/>
      <w:bookmarkStart w:id="83" w:name="_Toc123112234"/>
      <w:bookmarkStart w:id="84" w:name="_Toc79154670"/>
      <w:bookmarkStart w:id="85" w:name="_Toc4003"/>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14:paraId="777F17B7">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5541649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3EE8AD1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74B6502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6344C5EB">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本产品存续期间，每【周】进行一次估值。如遇产品申购日/赎回日、季度末、半年度末、年度末等时间节点管理人将增加估值日。</w:t>
      </w:r>
    </w:p>
    <w:permEnd w:id="20"/>
    <w:p w14:paraId="06C37EEC">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74A71F0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4CBEC65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（四）估值方法</w:t>
      </w:r>
    </w:p>
    <w:p w14:paraId="58024090">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31E3781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37329EF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2F4CE43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704957DB">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5315B54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020A622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48A42C7B">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14:paraId="3B73AF1F">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613D81A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14:paraId="7FB4DBD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51453E00">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14:paraId="78EEB8E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75AD0EF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56CDAC6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57C983A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4D31877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1C8D00F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26ECCA3F">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55C8817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778AC2C7">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3C7BFB6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35870A6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证券投资基金估值</w:t>
      </w:r>
    </w:p>
    <w:p w14:paraId="348B3E8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43A594A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61357F9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09A1C3B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7B66243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5A0ABBF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0B2CBCD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77D33D4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0CEC585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284F6CA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640DB84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211C560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034080A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18C9AA9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782A484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14:paraId="2318EF4C">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7C5097E3">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3E2C29E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2171E69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261FA6F9">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764B58B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0042CE55">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（六）估值主体</w:t>
      </w:r>
    </w:p>
    <w:p w14:paraId="1EE0CF7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17F8DEAC">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（七）★暂停估值</w:t>
      </w:r>
    </w:p>
    <w:p w14:paraId="43B8884B">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5FF76B6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4774303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2C9ABD87">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42F1B52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78A3E974">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14:paraId="36C38609">
      <w:pPr>
        <w:pStyle w:val="2"/>
        <w:spacing w:before="0" w:after="0" w:line="360" w:lineRule="auto"/>
        <w:ind w:left="60" w:firstLine="10"/>
        <w:jc w:val="center"/>
        <w:rPr>
          <w:rFonts w:ascii="Times New Roman"/>
          <w:sz w:val="30"/>
        </w:rPr>
      </w:pPr>
      <w:bookmarkStart w:id="86" w:name="_Hlt70481650"/>
      <w:bookmarkEnd w:id="86"/>
      <w:bookmarkStart w:id="87" w:name="_Toc15143"/>
      <w:bookmarkStart w:id="88" w:name="_Toc92377137"/>
      <w:bookmarkStart w:id="89" w:name="_Toc3601"/>
      <w:bookmarkStart w:id="90" w:name="_Toc29251"/>
      <w:bookmarkStart w:id="91" w:name="_Toc103260535"/>
      <w:bookmarkStart w:id="92" w:name="_Toc14835"/>
      <w:bookmarkStart w:id="93" w:name="_Toc123102454"/>
      <w:bookmarkStart w:id="94" w:name="_Toc98560353"/>
      <w:bookmarkStart w:id="95" w:name="_Toc176187997"/>
      <w:bookmarkStart w:id="96" w:name="_Toc18706"/>
      <w:bookmarkStart w:id="97" w:name="_Toc6405"/>
      <w:bookmarkStart w:id="98" w:name="_Toc79154671"/>
      <w:bookmarkStart w:id="99" w:name="_Toc74065744"/>
      <w:bookmarkStart w:id="100" w:name="_Toc12245"/>
      <w:bookmarkStart w:id="101" w:name="_Toc139991737"/>
      <w:bookmarkStart w:id="102" w:name="_Toc141703887"/>
      <w:bookmarkStart w:id="103" w:name="_Toc31653"/>
      <w:bookmarkStart w:id="104" w:name="_Toc26207"/>
      <w:bookmarkStart w:id="105" w:name="_Toc31235"/>
      <w:bookmarkStart w:id="106" w:name="_Toc123051453"/>
      <w:bookmarkStart w:id="107" w:name="_Toc123112235"/>
      <w:bookmarkStart w:id="108" w:name="_Toc3164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23711668"/>
      <w:bookmarkStart w:id="111" w:name="_Toc79392580"/>
      <w:bookmarkStart w:id="112" w:name="_Toc57530239"/>
      <w:bookmarkStart w:id="113" w:name="_Toc15118234"/>
    </w:p>
    <w:p w14:paraId="4AC2EFC0">
      <w:pPr>
        <w:pStyle w:val="34"/>
        <w:spacing w:line="360" w:lineRule="auto"/>
        <w:ind w:firstLine="361" w:firstLineChars="200"/>
        <w:rPr>
          <w:rFonts w:hAnsi="宋体"/>
          <w:b/>
          <w:color w:val="auto"/>
          <w:sz w:val="18"/>
          <w:szCs w:val="18"/>
        </w:rPr>
      </w:pPr>
      <w:r>
        <w:rPr>
          <w:rFonts w:hint="eastAsia" w:asciiTheme="minorEastAsia" w:hAnsiTheme="minorEastAsia" w:eastAsiaTheme="minorEastAsia"/>
          <w:b/>
          <w:color w:val="auto"/>
          <w:sz w:val="18"/>
          <w:szCs w:val="18"/>
        </w:rPr>
        <w:t>（一）理财利益的分配类型</w:t>
      </w:r>
    </w:p>
    <w:p w14:paraId="1516E971">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682CB890">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212EA172">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（二）理财利益的分配原则</w:t>
      </w:r>
    </w:p>
    <w:p w14:paraId="7A64D96C">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7596B989">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716653CC">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36408EC2">
      <w:pPr>
        <w:pStyle w:val="34"/>
        <w:spacing w:line="360" w:lineRule="auto"/>
        <w:ind w:firstLine="361" w:firstLineChars="200"/>
        <w:rPr>
          <w:rFonts w:hAnsi="宋体"/>
          <w:b/>
          <w:bCs/>
          <w:color w:val="auto"/>
          <w:sz w:val="18"/>
          <w:szCs w:val="18"/>
        </w:rPr>
      </w:pPr>
      <w:r>
        <w:rPr>
          <w:rFonts w:hint="eastAsia" w:asciiTheme="minorEastAsia" w:hAnsiTheme="minorEastAsia" w:eastAsiaTheme="minorEastAsia"/>
          <w:b/>
          <w:color w:val="auto"/>
          <w:sz w:val="18"/>
          <w:szCs w:val="18"/>
        </w:rPr>
        <w:t>（三）理财利益的分配方案</w:t>
      </w:r>
    </w:p>
    <w:p w14:paraId="4D8F5449">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14:paraId="43056B48">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1E47AA2E">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700B75BF">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20513CF5">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4C8D8677">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（四）理财利益的分配</w:t>
      </w:r>
    </w:p>
    <w:p w14:paraId="7DE3EE5B">
      <w:pPr>
        <w:pStyle w:val="34"/>
        <w:spacing w:line="360" w:lineRule="auto"/>
        <w:ind w:firstLine="360" w:firstLineChars="200"/>
        <w:rPr>
          <w:rFonts w:asciiTheme="minorEastAsia" w:hAnsiTheme="minorEastAsia" w:eastAsiaTheme="minorEastAsia"/>
          <w:color w:val="auto"/>
          <w:sz w:val="18"/>
          <w:szCs w:val="18"/>
        </w:rPr>
      </w:pPr>
      <w:permStart w:id="22" w:edGrp="everyone"/>
      <w:r>
        <w:rPr>
          <w:rFonts w:hint="eastAsia" w:asciiTheme="minorEastAsia" w:hAnsiTheme="minorEastAsia" w:eastAsiaTheme="minorEastAsia"/>
          <w:color w:val="auto"/>
          <w:sz w:val="18"/>
          <w:szCs w:val="18"/>
        </w:rPr>
        <w:t>1.理财利益的分配日</w:t>
      </w:r>
    </w:p>
    <w:p w14:paraId="0EE87EE9">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380513D3">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324892D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具体的理财利益分配以管理人实际分配的为准。</w:t>
      </w:r>
    </w:p>
    <w:permEnd w:id="22"/>
    <w:p w14:paraId="50E7311A">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14:paraId="55611918">
      <w:pPr>
        <w:pStyle w:val="2"/>
        <w:spacing w:before="0" w:after="0" w:line="360" w:lineRule="auto"/>
        <w:jc w:val="center"/>
        <w:rPr>
          <w:rFonts w:ascii="Times New Roman"/>
          <w:sz w:val="30"/>
        </w:rPr>
      </w:pPr>
      <w:bookmarkStart w:id="114" w:name="_Hlt88825574"/>
      <w:bookmarkEnd w:id="114"/>
      <w:bookmarkStart w:id="115" w:name="_Hlt88897298"/>
      <w:bookmarkEnd w:id="115"/>
      <w:bookmarkStart w:id="116" w:name="_Toc123112236"/>
      <w:bookmarkStart w:id="117" w:name="_Toc18567"/>
      <w:bookmarkStart w:id="118" w:name="_Toc7058"/>
      <w:bookmarkStart w:id="119" w:name="_Toc139991738"/>
      <w:bookmarkStart w:id="120" w:name="_Toc4559"/>
      <w:bookmarkStart w:id="121" w:name="_Toc74065745"/>
      <w:bookmarkStart w:id="122" w:name="_Toc79154672"/>
      <w:bookmarkStart w:id="123" w:name="_Toc10650"/>
      <w:bookmarkStart w:id="124" w:name="_Toc25783"/>
      <w:bookmarkStart w:id="125" w:name="_Toc123102455"/>
      <w:bookmarkStart w:id="126" w:name="_Toc3321"/>
      <w:bookmarkStart w:id="127" w:name="_Toc9706"/>
      <w:bookmarkStart w:id="128" w:name="_Toc11030"/>
      <w:bookmarkStart w:id="129" w:name="_Toc176187998"/>
      <w:bookmarkStart w:id="130" w:name="_Toc98560354"/>
      <w:bookmarkStart w:id="131" w:name="_Toc92377138"/>
      <w:bookmarkStart w:id="132" w:name="_Toc6447"/>
      <w:bookmarkStart w:id="133" w:name="_Toc3771"/>
      <w:bookmarkStart w:id="134" w:name="_Toc123051454"/>
      <w:bookmarkStart w:id="135" w:name="_Toc79392583"/>
      <w:bookmarkStart w:id="136" w:name="_Toc141703888"/>
      <w:bookmarkStart w:id="137" w:name="_Toc103260536"/>
      <w:bookmarkStart w:id="138" w:name="_Toc20951"/>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FE1970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（一）理财产品的费用</w:t>
      </w:r>
    </w:p>
    <w:p w14:paraId="65EF0202">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理财产品费用的种类</w:t>
      </w:r>
    </w:p>
    <w:p w14:paraId="2A8EAE3E">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3A54ACE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0104DF0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4E1B4B8B">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5F5B795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480CDF0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4214BC85">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0F41E66F">
      <w:pPr>
        <w:pStyle w:val="34"/>
        <w:spacing w:line="360" w:lineRule="auto"/>
        <w:ind w:firstLine="360" w:firstLineChars="200"/>
        <w:rPr>
          <w:rFonts w:hAnsi="宋体"/>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理财产品费用计提方法、计提标准和支付方式</w:t>
      </w:r>
    </w:p>
    <w:p w14:paraId="586A18F6">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3BE6B2DE">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7AE01C91">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118F3F54">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412868D0">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16BE3447">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623AA198">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3B9847A2">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518E6EC6">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5A936ED7">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71E9B2C1">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04A07E2D">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400CDABE">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16EA183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78D1CAB0">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148D11B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58938149">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08AACD2A">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14:paraId="79037633">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0CE42C03">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617E5B47">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7DDAB84F">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16D17D6A">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609E0E7A">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47A05408">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0DFAA701">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2F0F094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217E9BF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2C3C4718">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3.★</w:t>
      </w:r>
      <w:r>
        <w:rPr>
          <w:rFonts w:hint="eastAsia" w:ascii="黑体" w:hAnsi="黑体" w:eastAsia="黑体"/>
          <w:color w:val="auto"/>
          <w:sz w:val="18"/>
          <w:szCs w:val="18"/>
        </w:rPr>
        <w:t>理财产品费用的调整</w:t>
      </w:r>
    </w:p>
    <w:p w14:paraId="7C553C2B">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708B89C1">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0471F520">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（二）理财产品的税收</w:t>
      </w:r>
    </w:p>
    <w:p w14:paraId="63C71A1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33FEBD09">
      <w:pPr>
        <w:pStyle w:val="2"/>
        <w:spacing w:line="360" w:lineRule="auto"/>
        <w:jc w:val="center"/>
      </w:pPr>
      <w:bookmarkStart w:id="139" w:name="_Toc3963"/>
      <w:bookmarkStart w:id="140" w:name="_Toc1745"/>
      <w:r>
        <w:br w:type="page"/>
      </w:r>
      <w:bookmarkStart w:id="141" w:name="_Toc92377139"/>
      <w:bookmarkStart w:id="142" w:name="_Toc3572"/>
      <w:bookmarkStart w:id="143" w:name="_Toc3080"/>
      <w:bookmarkStart w:id="144" w:name="_Toc123112237"/>
      <w:bookmarkStart w:id="145" w:name="_Toc19648"/>
      <w:bookmarkStart w:id="146" w:name="_Toc176187999"/>
      <w:bookmarkStart w:id="147" w:name="_Toc123051455"/>
      <w:bookmarkStart w:id="148" w:name="_Toc16164"/>
      <w:bookmarkStart w:id="149" w:name="_Toc18206"/>
      <w:bookmarkStart w:id="150" w:name="_Toc141703889"/>
      <w:bookmarkStart w:id="151" w:name="_Toc139991739"/>
      <w:bookmarkStart w:id="152" w:name="_Toc725"/>
      <w:bookmarkStart w:id="153" w:name="_Toc79154673"/>
      <w:bookmarkStart w:id="154" w:name="_Toc10398"/>
      <w:bookmarkStart w:id="155" w:name="_Toc31821"/>
      <w:bookmarkStart w:id="156" w:name="_Toc123102456"/>
      <w:bookmarkStart w:id="157" w:name="_Toc21735"/>
      <w:bookmarkStart w:id="158" w:name="_Toc74065746"/>
      <w:bookmarkStart w:id="159" w:name="_Toc98560355"/>
      <w:bookmarkStart w:id="160" w:name="_Toc103260537"/>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36F30F39">
      <w:pPr>
        <w:widowControl/>
        <w:spacing w:line="360" w:lineRule="auto"/>
        <w:ind w:firstLine="361" w:firstLineChars="200"/>
        <w:jc w:val="left"/>
        <w:rPr>
          <w:rFonts w:ascii="宋体" w:hAnsi="宋体"/>
          <w:b/>
          <w:kern w:val="0"/>
          <w:sz w:val="18"/>
          <w:szCs w:val="18"/>
        </w:rPr>
      </w:pPr>
      <w:bookmarkStart w:id="161" w:name="_Toc79392593"/>
      <w:bookmarkStart w:id="162" w:name="_Toc57530252"/>
      <w:bookmarkStart w:id="163" w:name="_Toc15118245"/>
      <w:r>
        <w:rPr>
          <w:rFonts w:hint="eastAsia" w:ascii="宋体" w:hAnsi="宋体"/>
          <w:b/>
          <w:kern w:val="0"/>
          <w:sz w:val="18"/>
          <w:szCs w:val="18"/>
        </w:rPr>
        <w:t>（一）理财产品的终止</w:t>
      </w:r>
    </w:p>
    <w:p w14:paraId="4F8A9926">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★提前终止</w:t>
      </w:r>
    </w:p>
    <w:p w14:paraId="69E5493E">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5997CFE4">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5BBFBB2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28152B3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441CE9F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2E365504">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48FB34C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70E1254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3061E84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5236D9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1F2B690E">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★延期</w:t>
      </w:r>
      <w:r>
        <w:rPr>
          <w:rFonts w:ascii="黑体" w:hAnsi="黑体" w:eastAsia="黑体"/>
          <w:kern w:val="0"/>
          <w:sz w:val="18"/>
          <w:szCs w:val="18"/>
        </w:rPr>
        <w:t>终止</w:t>
      </w:r>
    </w:p>
    <w:p w14:paraId="269A406C">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2C35F912">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0DA1A73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5E4C148A">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67E818A3">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61A77352">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1DF90CAD">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（二）理财产品的清算</w:t>
      </w:r>
    </w:p>
    <w:bookmarkEnd w:id="161"/>
    <w:bookmarkEnd w:id="162"/>
    <w:bookmarkEnd w:id="163"/>
    <w:p w14:paraId="69F74E1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2C42884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6917025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76C6980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190649C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2798E82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24292575">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176188000"/>
      <w:bookmarkStart w:id="166" w:name="_Toc23820"/>
      <w:bookmarkStart w:id="167" w:name="_Toc103260538"/>
      <w:bookmarkStart w:id="168" w:name="_Toc21237"/>
      <w:bookmarkStart w:id="169" w:name="_Toc29408"/>
      <w:bookmarkStart w:id="170" w:name="_Toc123102457"/>
      <w:bookmarkStart w:id="171" w:name="_Toc739"/>
      <w:bookmarkStart w:id="172" w:name="_Toc32092"/>
      <w:bookmarkStart w:id="173" w:name="_Toc123051456"/>
      <w:bookmarkStart w:id="174" w:name="_Toc48649708"/>
      <w:bookmarkStart w:id="175" w:name="_Toc79154674"/>
      <w:bookmarkStart w:id="176" w:name="_Toc3329"/>
      <w:bookmarkStart w:id="177" w:name="_Toc5170"/>
      <w:bookmarkStart w:id="178" w:name="_Toc123112238"/>
      <w:bookmarkStart w:id="179" w:name="_Toc141703890"/>
      <w:bookmarkStart w:id="180" w:name="_Toc83391975"/>
      <w:bookmarkStart w:id="181" w:name="_Toc17198"/>
      <w:bookmarkStart w:id="182" w:name="_Toc32584"/>
      <w:bookmarkStart w:id="183" w:name="_Toc17920"/>
      <w:bookmarkStart w:id="184" w:name="_Toc98560356"/>
      <w:bookmarkStart w:id="185" w:name="_Toc8791"/>
      <w:bookmarkStart w:id="186" w:name="_Toc74065747"/>
      <w:bookmarkStart w:id="187" w:name="_Toc139991740"/>
      <w:bookmarkStart w:id="188" w:name="_Toc7939262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14:paraId="5E033155">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（一）信息</w:t>
      </w:r>
      <w:r>
        <w:rPr>
          <w:rFonts w:ascii="宋体" w:hAnsi="宋体"/>
          <w:b/>
          <w:kern w:val="0"/>
          <w:sz w:val="18"/>
          <w:szCs w:val="18"/>
        </w:rPr>
        <w:t>披露的原则</w:t>
      </w:r>
    </w:p>
    <w:p w14:paraId="597EA86B">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97F81D8">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（二）信息披露的渠道</w:t>
      </w:r>
    </w:p>
    <w:p w14:paraId="714F98FF">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204DBB1C">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24DA87AF">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35BFE81A">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03CAF9C">
      <w:pPr>
        <w:widowControl/>
        <w:spacing w:line="360" w:lineRule="auto"/>
        <w:ind w:firstLine="361" w:firstLineChars="200"/>
        <w:jc w:val="left"/>
        <w:rPr>
          <w:rFonts w:ascii="宋体" w:hAnsi="宋体"/>
          <w:b/>
          <w:bCs/>
          <w:sz w:val="18"/>
          <w:szCs w:val="18"/>
        </w:rPr>
      </w:pPr>
      <w:r>
        <w:rPr>
          <w:rFonts w:hint="eastAsia" w:ascii="宋体" w:hAnsi="宋体"/>
          <w:b/>
          <w:kern w:val="0"/>
          <w:sz w:val="18"/>
          <w:szCs w:val="18"/>
        </w:rPr>
        <w:t>（三）信息披露的内容</w:t>
      </w:r>
    </w:p>
    <w:p w14:paraId="290BEF98">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271BC23C">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（四）信息披露的频率和时间</w:t>
      </w:r>
    </w:p>
    <w:p w14:paraId="11411AA3">
      <w:pPr>
        <w:widowControl/>
        <w:spacing w:line="360" w:lineRule="auto"/>
        <w:ind w:firstLine="360" w:firstLineChars="200"/>
        <w:jc w:val="left"/>
        <w:rPr>
          <w:rFonts w:ascii="宋体" w:hAnsi="宋体"/>
          <w:kern w:val="0"/>
          <w:sz w:val="18"/>
          <w:szCs w:val="18"/>
        </w:rPr>
      </w:pPr>
      <w:r>
        <w:rPr>
          <w:rFonts w:ascii="宋体" w:hAnsi="宋体"/>
          <w:kern w:val="0"/>
          <w:sz w:val="18"/>
          <w:szCs w:val="18"/>
        </w:rPr>
        <w:t>1.产品成立公告</w:t>
      </w:r>
    </w:p>
    <w:p w14:paraId="09B49222">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6F935566">
      <w:pPr>
        <w:widowControl/>
        <w:spacing w:line="360" w:lineRule="auto"/>
        <w:ind w:firstLine="360" w:firstLineChars="200"/>
        <w:jc w:val="left"/>
        <w:rPr>
          <w:rFonts w:ascii="宋体" w:hAnsi="宋体"/>
          <w:kern w:val="0"/>
          <w:sz w:val="18"/>
          <w:szCs w:val="18"/>
        </w:rPr>
      </w:pPr>
      <w:r>
        <w:rPr>
          <w:rFonts w:ascii="宋体" w:hAnsi="宋体"/>
          <w:kern w:val="0"/>
          <w:sz w:val="18"/>
          <w:szCs w:val="18"/>
        </w:rPr>
        <w:t>2.重大事项</w:t>
      </w:r>
      <w:r>
        <w:rPr>
          <w:rFonts w:hint="eastAsia" w:ascii="宋体" w:hAnsi="宋体"/>
          <w:kern w:val="0"/>
          <w:sz w:val="18"/>
          <w:szCs w:val="18"/>
        </w:rPr>
        <w:t>公告</w:t>
      </w:r>
    </w:p>
    <w:p w14:paraId="4E3DCA8F">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083D5128">
      <w:pPr>
        <w:widowControl/>
        <w:spacing w:line="360" w:lineRule="auto"/>
        <w:ind w:firstLine="360" w:firstLineChars="200"/>
        <w:jc w:val="left"/>
        <w:rPr>
          <w:rFonts w:ascii="宋体" w:hAnsi="宋体"/>
          <w:kern w:val="0"/>
          <w:sz w:val="18"/>
          <w:szCs w:val="18"/>
        </w:rPr>
      </w:pPr>
      <w:r>
        <w:rPr>
          <w:rFonts w:ascii="宋体" w:hAnsi="宋体"/>
          <w:kern w:val="0"/>
          <w:sz w:val="18"/>
          <w:szCs w:val="18"/>
        </w:rPr>
        <w:t>3.定期报告</w:t>
      </w:r>
    </w:p>
    <w:p w14:paraId="5E395E21">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32F802EF">
      <w:pPr>
        <w:widowControl/>
        <w:spacing w:line="360" w:lineRule="auto"/>
        <w:ind w:firstLine="360" w:firstLineChars="200"/>
        <w:jc w:val="left"/>
        <w:rPr>
          <w:rFonts w:ascii="宋体" w:hAnsi="宋体"/>
          <w:kern w:val="0"/>
          <w:sz w:val="18"/>
          <w:szCs w:val="18"/>
        </w:rPr>
      </w:pPr>
      <w:r>
        <w:rPr>
          <w:rFonts w:ascii="宋体" w:hAnsi="宋体"/>
          <w:kern w:val="0"/>
          <w:sz w:val="18"/>
          <w:szCs w:val="18"/>
        </w:rPr>
        <w:t>4.到期公告</w:t>
      </w:r>
    </w:p>
    <w:p w14:paraId="3484B548">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39191546">
      <w:pPr>
        <w:widowControl/>
        <w:spacing w:line="360" w:lineRule="auto"/>
        <w:ind w:firstLine="360" w:firstLineChars="200"/>
        <w:jc w:val="left"/>
        <w:rPr>
          <w:rFonts w:ascii="宋体" w:hAnsi="宋体"/>
          <w:kern w:val="0"/>
          <w:sz w:val="18"/>
          <w:szCs w:val="18"/>
        </w:rPr>
      </w:pPr>
      <w:r>
        <w:rPr>
          <w:rFonts w:ascii="宋体" w:hAnsi="宋体"/>
          <w:kern w:val="0"/>
          <w:sz w:val="18"/>
          <w:szCs w:val="18"/>
        </w:rPr>
        <w:t>5.开放日</w:t>
      </w:r>
      <w:r>
        <w:rPr>
          <w:rFonts w:hint="eastAsia" w:ascii="宋体" w:hAnsi="宋体"/>
          <w:kern w:val="0"/>
          <w:sz w:val="18"/>
          <w:szCs w:val="18"/>
        </w:rPr>
        <w:t>/估值日</w:t>
      </w:r>
      <w:r>
        <w:rPr>
          <w:rFonts w:ascii="宋体" w:hAnsi="宋体"/>
          <w:kern w:val="0"/>
          <w:sz w:val="18"/>
          <w:szCs w:val="18"/>
        </w:rPr>
        <w:t>公告</w:t>
      </w:r>
    </w:p>
    <w:p w14:paraId="59C9902A">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14:paraId="5930C684">
      <w:pPr>
        <w:widowControl/>
        <w:spacing w:line="360" w:lineRule="auto"/>
        <w:ind w:firstLine="360" w:firstLineChars="200"/>
        <w:jc w:val="left"/>
        <w:rPr>
          <w:rFonts w:ascii="宋体" w:hAnsi="宋体"/>
          <w:kern w:val="0"/>
          <w:sz w:val="18"/>
          <w:szCs w:val="18"/>
        </w:rPr>
      </w:pPr>
      <w:r>
        <w:rPr>
          <w:rFonts w:ascii="宋体" w:hAnsi="宋体"/>
          <w:kern w:val="0"/>
          <w:sz w:val="18"/>
          <w:szCs w:val="18"/>
        </w:rPr>
        <w:t>6.临时公告</w:t>
      </w:r>
    </w:p>
    <w:p w14:paraId="6AB7EC56">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4BFED36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74EF87C6">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49077344">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1B35BA8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22929B4A">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14:paraId="17F50A74">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75D180C0">
      <w:pPr>
        <w:spacing w:line="360" w:lineRule="auto"/>
        <w:ind w:firstLine="480" w:firstLineChars="200"/>
        <w:rPr>
          <w:bCs/>
          <w:sz w:val="24"/>
        </w:rPr>
      </w:pPr>
      <w:r>
        <w:rPr>
          <w:sz w:val="24"/>
        </w:rPr>
        <w:br w:type="page"/>
      </w:r>
    </w:p>
    <w:p w14:paraId="7726AC1B">
      <w:pPr>
        <w:pStyle w:val="2"/>
        <w:spacing w:before="0" w:after="0" w:line="360" w:lineRule="auto"/>
        <w:jc w:val="center"/>
        <w:rPr>
          <w:rFonts w:ascii="Times New Roman"/>
          <w:b w:val="0"/>
          <w:sz w:val="30"/>
        </w:rPr>
      </w:pPr>
      <w:bookmarkStart w:id="189" w:name="_Toc176188001"/>
      <w:bookmarkStart w:id="190" w:name="_Toc103260539"/>
      <w:bookmarkStart w:id="191" w:name="_Toc9986"/>
      <w:bookmarkStart w:id="192" w:name="_Toc92377141"/>
      <w:bookmarkStart w:id="193"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14:paraId="2E6FF25E">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759FD11">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6B32637A">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4ACB825A">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14:paraId="401AE1EB">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14:paraId="31FC0ED4">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14:paraId="17D56D8F">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12DA264E">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信用风险</w:t>
      </w:r>
    </w:p>
    <w:p w14:paraId="0FF16A0F">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04DD00F3">
      <w:pPr>
        <w:widowControl/>
        <w:spacing w:line="360" w:lineRule="auto"/>
        <w:ind w:firstLine="360" w:firstLineChars="200"/>
        <w:jc w:val="left"/>
        <w:rPr>
          <w:rFonts w:ascii="宋体" w:hAnsi="宋体"/>
          <w:kern w:val="0"/>
          <w:sz w:val="18"/>
          <w:szCs w:val="18"/>
        </w:rPr>
      </w:pP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利率风险</w:t>
      </w:r>
    </w:p>
    <w:p w14:paraId="65EC68D8">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0020031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3.市场</w:t>
      </w:r>
      <w:r>
        <w:rPr>
          <w:rFonts w:ascii="宋体" w:hAnsi="宋体"/>
          <w:kern w:val="0"/>
          <w:sz w:val="18"/>
          <w:szCs w:val="18"/>
        </w:rPr>
        <w:t>风险</w:t>
      </w:r>
    </w:p>
    <w:p w14:paraId="4226C5A7">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6AB6C7E8">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4.流动性风险</w:t>
      </w:r>
    </w:p>
    <w:p w14:paraId="146B31BF">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FE4E2A8">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5.</w:t>
      </w:r>
      <w:r>
        <w:rPr>
          <w:rFonts w:ascii="宋体" w:hAnsi="宋体"/>
          <w:kern w:val="0"/>
          <w:sz w:val="18"/>
          <w:szCs w:val="18"/>
        </w:rPr>
        <w:t>法律与政策风险</w:t>
      </w:r>
    </w:p>
    <w:p w14:paraId="0C37B962">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41E1EC2D">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6.</w:t>
      </w:r>
      <w:r>
        <w:rPr>
          <w:rFonts w:ascii="宋体" w:hAnsi="宋体"/>
          <w:kern w:val="0"/>
          <w:sz w:val="18"/>
          <w:szCs w:val="18"/>
        </w:rPr>
        <w:t>延期</w:t>
      </w:r>
      <w:r>
        <w:rPr>
          <w:rFonts w:hint="eastAsia" w:ascii="宋体" w:hAnsi="宋体"/>
          <w:kern w:val="0"/>
          <w:sz w:val="18"/>
          <w:szCs w:val="18"/>
        </w:rPr>
        <w:t>终止</w:t>
      </w:r>
      <w:r>
        <w:rPr>
          <w:rFonts w:ascii="宋体" w:hAnsi="宋体"/>
          <w:kern w:val="0"/>
          <w:sz w:val="18"/>
          <w:szCs w:val="18"/>
        </w:rPr>
        <w:t>风险</w:t>
      </w:r>
    </w:p>
    <w:p w14:paraId="16121ACE">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26233B9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7.</w:t>
      </w:r>
      <w:r>
        <w:rPr>
          <w:rFonts w:ascii="宋体" w:hAnsi="宋体"/>
          <w:kern w:val="0"/>
          <w:sz w:val="18"/>
          <w:szCs w:val="18"/>
        </w:rPr>
        <w:t>提前终止风险</w:t>
      </w:r>
    </w:p>
    <w:p w14:paraId="26D140DE">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6800C964">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8</w:t>
      </w:r>
      <w:r>
        <w:rPr>
          <w:rFonts w:ascii="黑体" w:hAnsi="黑体" w:eastAsia="黑体"/>
          <w:kern w:val="0"/>
          <w:sz w:val="18"/>
          <w:szCs w:val="18"/>
        </w:rPr>
        <w:t>.★信息传递风险</w:t>
      </w:r>
    </w:p>
    <w:p w14:paraId="395177A1">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7E48DD9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9.</w:t>
      </w:r>
      <w:r>
        <w:rPr>
          <w:rFonts w:ascii="宋体" w:hAnsi="宋体"/>
          <w:kern w:val="0"/>
          <w:sz w:val="18"/>
          <w:szCs w:val="18"/>
        </w:rPr>
        <w:t>不可抗力及意外事件风险</w:t>
      </w:r>
    </w:p>
    <w:p w14:paraId="0EE7AAE7">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2D6128C6">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0.</w:t>
      </w:r>
      <w:r>
        <w:rPr>
          <w:rFonts w:ascii="宋体" w:hAnsi="宋体"/>
          <w:kern w:val="0"/>
          <w:sz w:val="18"/>
          <w:szCs w:val="18"/>
        </w:rPr>
        <w:t>管理人风险</w:t>
      </w:r>
    </w:p>
    <w:p w14:paraId="66915803">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2B37157F">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1.理财产品不成立风险</w:t>
      </w:r>
    </w:p>
    <w:p w14:paraId="7127054E">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39D2AA94">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2.</w:t>
      </w:r>
      <w:r>
        <w:rPr>
          <w:rFonts w:ascii="宋体" w:hAnsi="宋体"/>
          <w:kern w:val="0"/>
          <w:sz w:val="18"/>
          <w:szCs w:val="18"/>
        </w:rPr>
        <w:t>操作风险</w:t>
      </w:r>
    </w:p>
    <w:p w14:paraId="5392DC4F">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65D01470">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3</w:t>
      </w:r>
      <w:r>
        <w:rPr>
          <w:rFonts w:ascii="宋体" w:hAnsi="宋体"/>
          <w:kern w:val="0"/>
          <w:sz w:val="18"/>
          <w:szCs w:val="18"/>
        </w:rPr>
        <w:t>.估值</w:t>
      </w:r>
      <w:r>
        <w:rPr>
          <w:rFonts w:hint="eastAsia" w:ascii="宋体" w:hAnsi="宋体"/>
          <w:kern w:val="0"/>
          <w:sz w:val="18"/>
          <w:szCs w:val="18"/>
        </w:rPr>
        <w:t>波动</w:t>
      </w:r>
      <w:r>
        <w:rPr>
          <w:rFonts w:ascii="宋体" w:hAnsi="宋体"/>
          <w:kern w:val="0"/>
          <w:sz w:val="18"/>
          <w:szCs w:val="18"/>
        </w:rPr>
        <w:t>风险</w:t>
      </w:r>
    </w:p>
    <w:p w14:paraId="459DC618">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0C649D55">
      <w:pPr>
        <w:widowControl/>
        <w:spacing w:line="360" w:lineRule="auto"/>
        <w:ind w:firstLine="360" w:firstLineChars="200"/>
        <w:jc w:val="left"/>
        <w:rPr>
          <w:rFonts w:ascii="宋体" w:hAnsi="宋体"/>
          <w:sz w:val="18"/>
          <w:szCs w:val="18"/>
        </w:rPr>
      </w:pPr>
      <w:r>
        <w:rPr>
          <w:rFonts w:ascii="宋体" w:hAnsi="宋体"/>
          <w:kern w:val="0"/>
          <w:sz w:val="18"/>
          <w:szCs w:val="18"/>
        </w:rPr>
        <w:t>1</w:t>
      </w:r>
      <w:r>
        <w:rPr>
          <w:rFonts w:hint="eastAsia" w:ascii="宋体" w:hAnsi="宋体"/>
          <w:kern w:val="0"/>
          <w:sz w:val="18"/>
          <w:szCs w:val="18"/>
        </w:rPr>
        <w:t>4.</w:t>
      </w:r>
      <w:r>
        <w:rPr>
          <w:rFonts w:ascii="宋体" w:hAnsi="宋体"/>
          <w:kern w:val="0"/>
          <w:sz w:val="18"/>
          <w:szCs w:val="18"/>
        </w:rPr>
        <w:t>估值差错风险</w:t>
      </w:r>
    </w:p>
    <w:p w14:paraId="6F4EA172">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7F0E47DB">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15.★代销风险</w:t>
      </w:r>
    </w:p>
    <w:p w14:paraId="20A61E26">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A18A639">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6</w:t>
      </w:r>
      <w:r>
        <w:rPr>
          <w:rFonts w:ascii="黑体" w:hAnsi="黑体" w:eastAsia="黑体"/>
          <w:kern w:val="0"/>
          <w:sz w:val="18"/>
          <w:szCs w:val="18"/>
        </w:rPr>
        <w:t>.</w:t>
      </w:r>
      <w:r>
        <w:rPr>
          <w:rFonts w:hint="eastAsia" w:ascii="黑体" w:hAnsi="黑体" w:eastAsia="黑体"/>
          <w:kern w:val="0"/>
          <w:sz w:val="18"/>
          <w:szCs w:val="18"/>
        </w:rPr>
        <w:t>★不同理财产品份额类别存在差异的风险</w:t>
      </w:r>
    </w:p>
    <w:p w14:paraId="10F53F0B">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41309385">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7</w:t>
      </w:r>
      <w:r>
        <w:rPr>
          <w:rFonts w:ascii="宋体" w:hAnsi="宋体"/>
          <w:kern w:val="0"/>
          <w:sz w:val="18"/>
          <w:szCs w:val="18"/>
        </w:rPr>
        <w:t>.</w:t>
      </w:r>
      <w:r>
        <w:rPr>
          <w:rFonts w:hint="eastAsia" w:ascii="宋体" w:hAnsi="宋体"/>
          <w:kern w:val="0"/>
          <w:sz w:val="18"/>
          <w:szCs w:val="18"/>
        </w:rPr>
        <w:t>关联交易风险</w:t>
      </w:r>
    </w:p>
    <w:p w14:paraId="2AF83696">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70D5D726">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0C199C21">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31318B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0797CE5E">
            <w:pPr>
              <w:spacing w:line="280" w:lineRule="atLeast"/>
              <w:ind w:firstLine="422"/>
              <w:jc w:val="center"/>
              <w:rPr>
                <w:rFonts w:ascii="宋体" w:hAnsi="宋体" w:cs="Arial"/>
                <w:b/>
                <w:szCs w:val="21"/>
              </w:rPr>
            </w:pPr>
            <w:r>
              <w:rPr>
                <w:rFonts w:hint="eastAsia" w:ascii="宋体" w:hAnsi="宋体" w:cs="Arial"/>
                <w:b/>
                <w:szCs w:val="21"/>
              </w:rPr>
              <w:t>投资者确认栏</w:t>
            </w:r>
          </w:p>
          <w:p w14:paraId="4143DB28">
            <w:pPr>
              <w:spacing w:line="360" w:lineRule="auto"/>
              <w:ind w:firstLine="361"/>
              <w:rPr>
                <w:b/>
                <w:sz w:val="18"/>
                <w:szCs w:val="18"/>
              </w:rPr>
            </w:pPr>
          </w:p>
        </w:tc>
      </w:tr>
      <w:tr w14:paraId="39B1E3D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0D93F2BA">
            <w:pPr>
              <w:spacing w:line="360" w:lineRule="auto"/>
              <w:jc w:val="left"/>
              <w:rPr>
                <w:b/>
                <w:sz w:val="18"/>
                <w:szCs w:val="18"/>
              </w:rPr>
            </w:pPr>
            <w:r>
              <w:rPr>
                <w:rFonts w:hint="eastAsia"/>
                <w:b/>
                <w:sz w:val="18"/>
                <w:szCs w:val="18"/>
              </w:rPr>
              <w:t>个人投资者适用</w:t>
            </w:r>
          </w:p>
        </w:tc>
        <w:tc>
          <w:tcPr>
            <w:tcW w:w="7371" w:type="dxa"/>
          </w:tcPr>
          <w:p w14:paraId="2961C37E">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19F34618">
            <w:pPr>
              <w:spacing w:line="360" w:lineRule="auto"/>
              <w:ind w:firstLine="361"/>
              <w:jc w:val="left"/>
              <w:rPr>
                <w:b/>
                <w:sz w:val="18"/>
                <w:szCs w:val="18"/>
              </w:rPr>
            </w:pPr>
          </w:p>
          <w:p w14:paraId="51671562">
            <w:pPr>
              <w:spacing w:line="360" w:lineRule="auto"/>
              <w:ind w:firstLine="360"/>
              <w:jc w:val="left"/>
              <w:rPr>
                <w:sz w:val="18"/>
                <w:szCs w:val="18"/>
              </w:rPr>
            </w:pPr>
            <w:r>
              <w:rPr>
                <w:rFonts w:hint="eastAsia"/>
                <w:sz w:val="18"/>
                <w:szCs w:val="18"/>
              </w:rPr>
              <w:t>日期：</w:t>
            </w:r>
          </w:p>
        </w:tc>
      </w:tr>
      <w:tr w14:paraId="1CE74C4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3794BADF">
            <w:pPr>
              <w:spacing w:line="360" w:lineRule="auto"/>
              <w:jc w:val="left"/>
              <w:rPr>
                <w:b/>
                <w:sz w:val="18"/>
                <w:szCs w:val="18"/>
              </w:rPr>
            </w:pPr>
            <w:r>
              <w:rPr>
                <w:rFonts w:hint="eastAsia"/>
                <w:b/>
                <w:sz w:val="18"/>
                <w:szCs w:val="18"/>
              </w:rPr>
              <w:t>机构投资者适用</w:t>
            </w:r>
          </w:p>
        </w:tc>
        <w:tc>
          <w:tcPr>
            <w:tcW w:w="7371" w:type="dxa"/>
          </w:tcPr>
          <w:p w14:paraId="19DB41FF">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1BB9E9AB">
            <w:pPr>
              <w:spacing w:line="360" w:lineRule="auto"/>
              <w:ind w:firstLine="360"/>
              <w:jc w:val="left"/>
              <w:rPr>
                <w:rFonts w:cs="Arial"/>
                <w:sz w:val="18"/>
                <w:szCs w:val="18"/>
              </w:rPr>
            </w:pPr>
          </w:p>
          <w:p w14:paraId="76FC8304">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6626B248">
            <w:pPr>
              <w:spacing w:line="360" w:lineRule="auto"/>
              <w:ind w:firstLine="360"/>
              <w:jc w:val="left"/>
              <w:rPr>
                <w:sz w:val="18"/>
                <w:szCs w:val="18"/>
              </w:rPr>
            </w:pPr>
            <w:r>
              <w:rPr>
                <w:rFonts w:hint="eastAsia"/>
                <w:sz w:val="18"/>
                <w:szCs w:val="18"/>
              </w:rPr>
              <w:t>日期：</w:t>
            </w:r>
          </w:p>
        </w:tc>
      </w:tr>
    </w:tbl>
    <w:p w14:paraId="23849DD5">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15C33494">
      <w:pPr>
        <w:spacing w:line="360" w:lineRule="auto"/>
        <w:ind w:firstLine="360" w:firstLineChars="200"/>
        <w:rPr>
          <w:rFonts w:ascii="宋体" w:hAnsi="宋体"/>
          <w:sz w:val="18"/>
          <w:szCs w:val="18"/>
        </w:rPr>
      </w:pPr>
    </w:p>
    <w:p w14:paraId="02256A64">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3254A21C">
        <w:pPr>
          <w:pStyle w:val="14"/>
          <w:jc w:val="center"/>
        </w:pPr>
        <w:r>
          <w:fldChar w:fldCharType="begin"/>
        </w:r>
        <w:r>
          <w:instrText xml:space="preserve"> PAGE   \* MERGEFORMAT </w:instrText>
        </w:r>
        <w:r>
          <w:fldChar w:fldCharType="separate"/>
        </w:r>
        <w:r>
          <w:rPr>
            <w:lang w:val="zh-CN"/>
          </w:rPr>
          <w:t>9</w:t>
        </w:r>
        <w:r>
          <w:fldChar w:fldCharType="end"/>
        </w:r>
      </w:p>
    </w:sdtContent>
  </w:sdt>
  <w:p w14:paraId="6F1D65A5">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E68CD">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4541E520">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4FEE5592">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PbSeBv4pVdOu3N2xUjullcy3iz3StGpYU8JvGtdYbxwRMRK4fwXnUEXH++2M8MPC/7qe65It0rBIt8/r7uHAqg==" w:salt="ODMuSXqVA2wTqgAZi07qD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46816"/>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019"/>
    <w:rsid w:val="001232D0"/>
    <w:rsid w:val="0012639A"/>
    <w:rsid w:val="0012671C"/>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B03"/>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4FC2"/>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1961"/>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89F"/>
    <w:rsid w:val="00266978"/>
    <w:rsid w:val="00266DAB"/>
    <w:rsid w:val="00272C40"/>
    <w:rsid w:val="00273F65"/>
    <w:rsid w:val="00274DDB"/>
    <w:rsid w:val="00275526"/>
    <w:rsid w:val="00275757"/>
    <w:rsid w:val="00276898"/>
    <w:rsid w:val="00276ACE"/>
    <w:rsid w:val="00280B4F"/>
    <w:rsid w:val="00281B9A"/>
    <w:rsid w:val="002826EB"/>
    <w:rsid w:val="00282B2B"/>
    <w:rsid w:val="002869B1"/>
    <w:rsid w:val="002877ED"/>
    <w:rsid w:val="00290893"/>
    <w:rsid w:val="0029197D"/>
    <w:rsid w:val="00293329"/>
    <w:rsid w:val="002A1894"/>
    <w:rsid w:val="002A2964"/>
    <w:rsid w:val="002A3DA0"/>
    <w:rsid w:val="002A4229"/>
    <w:rsid w:val="002A640F"/>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530A"/>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5DCD"/>
    <w:rsid w:val="003173FE"/>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2A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6A2D"/>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8A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4234"/>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68F4"/>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C97"/>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219"/>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536"/>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167"/>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A70EA"/>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472B"/>
    <w:rsid w:val="006D586E"/>
    <w:rsid w:val="006D6C20"/>
    <w:rsid w:val="006D7C06"/>
    <w:rsid w:val="006D7D05"/>
    <w:rsid w:val="006E011D"/>
    <w:rsid w:val="006E1A9B"/>
    <w:rsid w:val="006E2E41"/>
    <w:rsid w:val="006E4201"/>
    <w:rsid w:val="006E535B"/>
    <w:rsid w:val="006E5D67"/>
    <w:rsid w:val="006E6ED0"/>
    <w:rsid w:val="006E7124"/>
    <w:rsid w:val="006E7FC7"/>
    <w:rsid w:val="006F067A"/>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28C6"/>
    <w:rsid w:val="007C67CB"/>
    <w:rsid w:val="007D115D"/>
    <w:rsid w:val="007D1185"/>
    <w:rsid w:val="007D2FA6"/>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5865"/>
    <w:rsid w:val="00827113"/>
    <w:rsid w:val="00827169"/>
    <w:rsid w:val="00827DAF"/>
    <w:rsid w:val="008306A2"/>
    <w:rsid w:val="00830FAF"/>
    <w:rsid w:val="00831A1A"/>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2567"/>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7E3"/>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5456"/>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3F5E"/>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3475"/>
    <w:rsid w:val="009B6315"/>
    <w:rsid w:val="009B6C73"/>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A7867"/>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58E"/>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5E81"/>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1AB6"/>
    <w:rsid w:val="00C7392F"/>
    <w:rsid w:val="00C74920"/>
    <w:rsid w:val="00C7610F"/>
    <w:rsid w:val="00C773F9"/>
    <w:rsid w:val="00C775A1"/>
    <w:rsid w:val="00C77B0A"/>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04E5"/>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04E"/>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2ACE"/>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29C"/>
    <w:rsid w:val="00ED230B"/>
    <w:rsid w:val="00ED3570"/>
    <w:rsid w:val="00ED368F"/>
    <w:rsid w:val="00ED3B71"/>
    <w:rsid w:val="00ED4A3F"/>
    <w:rsid w:val="00ED4FDE"/>
    <w:rsid w:val="00ED6D87"/>
    <w:rsid w:val="00EE147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88"/>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4B"/>
    <w:rsid w:val="00FE1ADC"/>
    <w:rsid w:val="00FE225D"/>
    <w:rsid w:val="00FE4989"/>
    <w:rsid w:val="00FE5C3E"/>
    <w:rsid w:val="00FF0A2F"/>
    <w:rsid w:val="00FF1B04"/>
    <w:rsid w:val="00FF22F8"/>
    <w:rsid w:val="01533290"/>
    <w:rsid w:val="01654C82"/>
    <w:rsid w:val="01BB0B74"/>
    <w:rsid w:val="020A6A96"/>
    <w:rsid w:val="0356786B"/>
    <w:rsid w:val="046E31C1"/>
    <w:rsid w:val="056C4F65"/>
    <w:rsid w:val="06F4696E"/>
    <w:rsid w:val="07245E56"/>
    <w:rsid w:val="09FB7353"/>
    <w:rsid w:val="0C023D8C"/>
    <w:rsid w:val="0C225D7B"/>
    <w:rsid w:val="0D544AD8"/>
    <w:rsid w:val="0E9022D3"/>
    <w:rsid w:val="0E94232E"/>
    <w:rsid w:val="0EDE05BD"/>
    <w:rsid w:val="0F025487"/>
    <w:rsid w:val="0F1306D5"/>
    <w:rsid w:val="10365F82"/>
    <w:rsid w:val="10AB63B0"/>
    <w:rsid w:val="11295396"/>
    <w:rsid w:val="14740EE4"/>
    <w:rsid w:val="163E2FB7"/>
    <w:rsid w:val="17101A9E"/>
    <w:rsid w:val="17622796"/>
    <w:rsid w:val="17925B3D"/>
    <w:rsid w:val="19F32D28"/>
    <w:rsid w:val="1A48157B"/>
    <w:rsid w:val="1AAA799F"/>
    <w:rsid w:val="1B9930ED"/>
    <w:rsid w:val="1BAC7095"/>
    <w:rsid w:val="1BD70953"/>
    <w:rsid w:val="1BF87698"/>
    <w:rsid w:val="1C606C74"/>
    <w:rsid w:val="1D4C7D7F"/>
    <w:rsid w:val="1E585AB7"/>
    <w:rsid w:val="1EB160C2"/>
    <w:rsid w:val="1FF145B9"/>
    <w:rsid w:val="2193546F"/>
    <w:rsid w:val="26F50BA9"/>
    <w:rsid w:val="27BD5E26"/>
    <w:rsid w:val="285E4249"/>
    <w:rsid w:val="29026D00"/>
    <w:rsid w:val="2AF13C2E"/>
    <w:rsid w:val="2C1C6772"/>
    <w:rsid w:val="2EA421B8"/>
    <w:rsid w:val="2EA644DF"/>
    <w:rsid w:val="2EFA4D05"/>
    <w:rsid w:val="2F56637E"/>
    <w:rsid w:val="2FB532A0"/>
    <w:rsid w:val="3035346F"/>
    <w:rsid w:val="319C4BEA"/>
    <w:rsid w:val="34663B5D"/>
    <w:rsid w:val="34C829B2"/>
    <w:rsid w:val="35381804"/>
    <w:rsid w:val="36146FAD"/>
    <w:rsid w:val="386A3F56"/>
    <w:rsid w:val="3A810EF7"/>
    <w:rsid w:val="3A842191"/>
    <w:rsid w:val="3ACF0F3F"/>
    <w:rsid w:val="3B39051F"/>
    <w:rsid w:val="3B7626CB"/>
    <w:rsid w:val="3C3802E9"/>
    <w:rsid w:val="3E586AB8"/>
    <w:rsid w:val="3E5C1B1D"/>
    <w:rsid w:val="3EAE14E9"/>
    <w:rsid w:val="3FD261A6"/>
    <w:rsid w:val="41F15766"/>
    <w:rsid w:val="42EB2F9C"/>
    <w:rsid w:val="42F736A3"/>
    <w:rsid w:val="439D563D"/>
    <w:rsid w:val="443C724B"/>
    <w:rsid w:val="45226963"/>
    <w:rsid w:val="46640412"/>
    <w:rsid w:val="479A6CA5"/>
    <w:rsid w:val="4AD06887"/>
    <w:rsid w:val="4C354C02"/>
    <w:rsid w:val="4D39606F"/>
    <w:rsid w:val="4DEA2DA4"/>
    <w:rsid w:val="4EB642FA"/>
    <w:rsid w:val="4F8E3D4D"/>
    <w:rsid w:val="5171747E"/>
    <w:rsid w:val="53063B85"/>
    <w:rsid w:val="533C1961"/>
    <w:rsid w:val="53B3493A"/>
    <w:rsid w:val="53EE2EEC"/>
    <w:rsid w:val="5537323C"/>
    <w:rsid w:val="55855837"/>
    <w:rsid w:val="55E83741"/>
    <w:rsid w:val="56503211"/>
    <w:rsid w:val="570F235C"/>
    <w:rsid w:val="580710CE"/>
    <w:rsid w:val="598B567E"/>
    <w:rsid w:val="5BA35A94"/>
    <w:rsid w:val="5C624734"/>
    <w:rsid w:val="5FE91ABC"/>
    <w:rsid w:val="628E734C"/>
    <w:rsid w:val="62BD3A82"/>
    <w:rsid w:val="6382470C"/>
    <w:rsid w:val="6580603B"/>
    <w:rsid w:val="66A34D18"/>
    <w:rsid w:val="682A44E1"/>
    <w:rsid w:val="68C7223A"/>
    <w:rsid w:val="68EF6886"/>
    <w:rsid w:val="6A681BC3"/>
    <w:rsid w:val="6A8739CF"/>
    <w:rsid w:val="6B5C2848"/>
    <w:rsid w:val="6C2B2E22"/>
    <w:rsid w:val="6EAA7DFD"/>
    <w:rsid w:val="6F315DAE"/>
    <w:rsid w:val="6FDD1093"/>
    <w:rsid w:val="709C0126"/>
    <w:rsid w:val="73D736B7"/>
    <w:rsid w:val="76022652"/>
    <w:rsid w:val="768501BE"/>
    <w:rsid w:val="76C8601E"/>
    <w:rsid w:val="770C74D3"/>
    <w:rsid w:val="77150144"/>
    <w:rsid w:val="7AC82DE4"/>
    <w:rsid w:val="7BEA1CFE"/>
    <w:rsid w:val="7D3666EB"/>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39</Pages>
  <Words>8851</Words>
  <Characters>9107</Characters>
  <Lines>203</Lines>
  <Paragraphs>57</Paragraphs>
  <TotalTime>0</TotalTime>
  <ScaleCrop>false</ScaleCrop>
  <LinksUpToDate>false</LinksUpToDate>
  <CharactersWithSpaces>9209</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滴滴哒</cp:lastModifiedBy>
  <cp:lastPrinted>2022-01-18T08:37:00Z</cp:lastPrinted>
  <dcterms:modified xsi:type="dcterms:W3CDTF">2024-12-26T07:48:04Z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7607B2145C4946E1A89192CBF8C439DC_13</vt:lpwstr>
  </property>
  <property fmtid="{D5CDD505-2E9C-101B-9397-08002B2CF9AE}" pid="4" name="KSOTemplateDocerSaveRecord">
    <vt:lpwstr>eyJoZGlkIjoiMjg4YmYzNWQ0OTJiYmI4MDkxZWVhMTQxYzZkMjUzYTEiLCJ1c2VySWQiOiIyNDkwMDI2NTYifQ==</vt:lpwstr>
  </property>
</Properties>
</file>