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11</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"_Toc32762"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_Toc32762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"_Toc1693" </w:instrText>
          </w:r>
          <w:r>
            <w:fldChar w:fldCharType="separate"/>
          </w:r>
          <w:r>
            <w:rPr>
              <w:rFonts w:hint="eastAsia" w:hAnsi="宋体"/>
              <w:szCs w:val="28"/>
            </w:rPr>
            <w:t xml:space="preserve">第二条  理财产品基本情况 </w:t>
          </w:r>
          <w:r>
            <w:tab/>
          </w:r>
          <w:r>
            <w:fldChar w:fldCharType="begin"/>
          </w:r>
          <w:r>
            <w:instrText xml:space="preserve"> PAGEREF _Toc1693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"_Toc10659"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_Toc10659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"_Toc32177"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_Toc32177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"_Toc25685"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_Toc25685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"_Toc31087"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_Toc31087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"_Toc19132"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_Toc19132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"_Toc8695"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_Toc8695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"_Toc1043"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_Toc1043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"_Toc2757"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_Toc2757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"_Toc593"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_Toc593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"_Toc184"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_Toc184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26572"/>
      <w:bookmarkStart w:id="3" w:name="_Toc29814"/>
      <w:bookmarkStart w:id="4" w:name="_Toc3276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中国工商银行股份有限公司（以下简称“工商银行”）。工商银行成立于1984年，于1998年开展资产托管业务，具备理财产品托管资格。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国家金融监督管理总局</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工作日：指除中国法定节假日和公休日外的其他日。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5" w:name="_Toc79154665"/>
      <w:bookmarkStart w:id="6" w:name="_Toc92377131"/>
      <w:bookmarkStart w:id="7" w:name="_Toc14559"/>
      <w:bookmarkStart w:id="8" w:name="_Toc30087"/>
      <w:bookmarkStart w:id="9" w:name="_Toc1693"/>
      <w:r>
        <w:rPr>
          <w:rFonts w:hint="eastAsia" w:hAnsi="宋体"/>
          <w:sz w:val="28"/>
          <w:szCs w:val="28"/>
        </w:rPr>
        <w:t>第二条  理财产品基本情况</w:t>
      </w:r>
      <w:bookmarkEnd w:id="5"/>
      <w:bookmarkEnd w:id="6"/>
      <w:r>
        <w:rPr>
          <w:rFonts w:hint="eastAsia" w:hAnsi="宋体"/>
          <w:sz w:val="28"/>
          <w:szCs w:val="28"/>
        </w:rPr>
        <w:t xml:space="preserve"> </w:t>
      </w:r>
      <w:bookmarkEnd w:id="7"/>
      <w:bookmarkEnd w:id="8"/>
      <w:bookmarkEnd w:id="9"/>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【兴银理财稳添利周盈77号(7天最短持有期存款存单策略)日开固收类理财产品】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【兴银稳添利周盈77号B(存款存单策略)】</w:t>
            </w:r>
            <w:r>
              <w:rPr>
                <w:rFonts w:hint="eastAsia" w:hAnsi="宋体"/>
                <w:sz w:val="18"/>
                <w:szCs w:val="18"/>
              </w:rPr>
              <w:t>（</w:t>
            </w:r>
            <w:r>
              <w:rPr>
                <w:rFonts w:hint="eastAsia" w:hAnsi="宋体"/>
                <w:sz w:val="18"/>
                <w:szCs w:val="18"/>
                <w:lang w:eastAsia="zh-CN"/>
              </w:rPr>
              <w:t>适用【B】类份额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【Z7002025001432】</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9K410770】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【9K41077B】（</w:t>
            </w:r>
            <w:r>
              <w:rPr>
                <w:rFonts w:hint="eastAsia" w:hAnsi="宋体"/>
                <w:sz w:val="18"/>
                <w:szCs w:val="18"/>
                <w:lang w:eastAsia="zh-CN"/>
              </w:rPr>
              <w:t>适用【B】类份额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本产品属于【</w:t>
            </w:r>
            <w:r>
              <w:rPr>
                <w:rFonts w:hint="eastAsia" w:asciiTheme="majorEastAsia" w:hAnsiTheme="majorEastAsia" w:eastAsiaTheme="majorEastAsia"/>
                <w:bCs/>
                <w:sz w:val="18"/>
                <w:szCs w:val="18"/>
              </w:rPr>
              <w:t>■</w:t>
            </w:r>
            <w:r>
              <w:rPr>
                <w:rFonts w:hint="eastAsia" w:ascii="黑体" w:hAnsi="黑体" w:eastAsia="黑体" w:cs="黑体"/>
                <w:bCs/>
                <w:sz w:val="18"/>
                <w:szCs w:val="18"/>
              </w:rPr>
              <w:t xml:space="preserve"> R1、□ R2、□ R3、□ R4、□ R5】理财产品。</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适用【B】类份额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lang w:eastAsia="zh-CN"/>
              </w:rPr>
              <w:t>□</w:t>
            </w:r>
            <w:r>
              <w:rPr>
                <w:rFonts w:hint="eastAsia" w:ascii="宋体" w:hAnsi="宋体"/>
                <w:sz w:val="18"/>
                <w:szCs w:val="18"/>
              </w:rPr>
              <w:t xml:space="preserve">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中国工商银行股份有限公司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0.6</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lang w:eastAsia="zh-CN"/>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6</w:t>
            </w:r>
            <w:r>
              <w:rPr>
                <w:rFonts w:hint="eastAsia" w:cs="Times New Roman" w:asciiTheme="minorEastAsia" w:hAnsiTheme="minorEastAsia"/>
                <w:sz w:val="18"/>
                <w:szCs w:val="18"/>
              </w:rPr>
              <w:t>】日【9:00】</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【17：00】</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认购期/募集期内资金产生的利息（如有）不计入本金份额</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13</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inorEastAsia" w:hAnsiTheme="minorEastAsia"/>
                <w:sz w:val="18"/>
                <w:szCs w:val="18"/>
                <w:lang w:val="en-US" w:eastAsia="zh-CN"/>
              </w:rPr>
              <w:t>申请</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适用【B】类份额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适用【B】类份额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4.理财产品份额净值四舍五入保留5位小数。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适用【B】类份额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lang w:eastAsia="zh-CN"/>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asciiTheme="majorEastAsia" w:hAnsiTheme="majorEastAsia" w:eastAsiaTheme="majorEastAsia"/>
                <w:bCs/>
                <w:sz w:val="18"/>
                <w:szCs w:val="18"/>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1.10%-2.10</w:t>
            </w:r>
            <w:bookmarkStart w:id="194" w:name="_GoBack"/>
            <w:bookmarkEnd w:id="194"/>
            <w:r>
              <w:rPr>
                <w:rFonts w:hint="eastAsia" w:ascii="宋体" w:hAnsi="宋体"/>
                <w:bCs/>
                <w:sz w:val="18"/>
                <w:szCs w:val="18"/>
                <w:lang w:val="en-US" w:eastAsia="zh-CN"/>
              </w:rPr>
              <w:t>%</w:t>
            </w:r>
            <w:r>
              <w:rPr>
                <w:rFonts w:ascii="宋体" w:hAnsi="宋体"/>
                <w:bCs/>
                <w:sz w:val="18"/>
                <w:szCs w:val="18"/>
              </w:rPr>
              <w:t>】</w:t>
            </w:r>
            <w:r>
              <w:rPr>
                <w:rFonts w:hint="eastAsia" w:ascii="宋体" w:hAnsi="宋体"/>
                <w:bCs/>
                <w:sz w:val="18"/>
                <w:szCs w:val="18"/>
              </w:rPr>
              <w:t>。（</w:t>
            </w:r>
            <w:r>
              <w:rPr>
                <w:rFonts w:hint="eastAsia" w:ascii="宋体" w:hAnsi="宋体"/>
                <w:bCs/>
                <w:sz w:val="18"/>
                <w:szCs w:val="18"/>
                <w:lang w:eastAsia="zh-CN"/>
              </w:rPr>
              <w:t>适用【B】类份额</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按照本产品说明书“理财产品的信息披露”条款约定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适用【B】类份额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lang w:eastAsia="zh-CN"/>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按照本产品说明书“理财产品的信息披露”条款约定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适用【B】类份额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黑体" w:hAnsi="黑体" w:eastAsia="黑体" w:cs="黑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黑体" w:hAnsi="黑体" w:eastAsia="黑体" w:cs="黑体"/>
                <w:sz w:val="18"/>
                <w:szCs w:val="18"/>
                <w:lang w:val="en-US" w:eastAsia="zh-CN"/>
              </w:rPr>
              <w:t>/</w:t>
            </w:r>
            <w:r>
              <w:rPr>
                <w:rFonts w:hint="eastAsia" w:ascii="黑体" w:hAnsi="黑体" w:eastAsia="黑体" w:cs="黑体"/>
                <w:sz w:val="18"/>
                <w:szCs w:val="18"/>
              </w:rPr>
              <w:t>】作为超额业绩报酬。</w:t>
            </w:r>
          </w:p>
          <w:p>
            <w:pPr>
              <w:spacing w:line="360" w:lineRule="auto"/>
              <w:rPr>
                <w:rFonts w:hint="eastAsia" w:ascii="黑体" w:hAnsi="黑体" w:eastAsia="黑体" w:cs="黑体"/>
                <w:bCs/>
                <w:sz w:val="18"/>
                <w:szCs w:val="18"/>
              </w:rPr>
            </w:pPr>
            <w:r>
              <w:rPr>
                <w:rFonts w:hint="eastAsia" w:ascii="黑体" w:hAnsi="黑体" w:eastAsia="黑体" w:cs="黑体"/>
                <w:bCs/>
                <w:sz w:val="18"/>
                <w:szCs w:val="18"/>
              </w:rPr>
              <w:t>2.以上费用金额均按照四舍五入方法，保留到小数点后2位。</w:t>
            </w:r>
          </w:p>
          <w:p>
            <w:pPr>
              <w:spacing w:line="360" w:lineRule="auto"/>
              <w:rPr>
                <w:rFonts w:ascii="黑体" w:hAnsi="黑体" w:eastAsia="黑体"/>
                <w:bCs/>
                <w:sz w:val="18"/>
                <w:szCs w:val="18"/>
              </w:rPr>
            </w:pPr>
            <w:r>
              <w:rPr>
                <w:rFonts w:hint="eastAsia" w:ascii="黑体" w:hAnsi="黑体" w:eastAsia="黑体" w:cs="黑体"/>
                <w:bCs/>
                <w:sz w:val="18"/>
                <w:szCs w:val="18"/>
              </w:rPr>
              <w:t>3.产品管理人有权根据相关法律和国家政策规定，对理财产品费用的收费项目、收费条件、收费标准和收费方式等进行调整。产品管理人对费用的调整将依本产品说明书的“理财产品的信息披露”条款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10" w:name="_Toc10659"/>
      <w:bookmarkStart w:id="11" w:name="_Toc21959"/>
      <w:bookmarkStart w:id="12" w:name="_Toc92377132"/>
      <w:bookmarkStart w:id="13" w:name="_Toc79154666"/>
      <w:bookmarkStart w:id="14" w:name="_Toc4403"/>
      <w:r>
        <w:rPr>
          <w:rFonts w:ascii="Times New Roman"/>
          <w:sz w:val="30"/>
        </w:rPr>
        <w:t>第</w:t>
      </w:r>
      <w:r>
        <w:rPr>
          <w:rFonts w:hint="eastAsia" w:ascii="Times New Roman"/>
          <w:sz w:val="30"/>
        </w:rPr>
        <w:t>三条</w:t>
      </w:r>
      <w:r>
        <w:rPr>
          <w:rFonts w:ascii="Times New Roman"/>
          <w:sz w:val="30"/>
        </w:rPr>
        <w:t xml:space="preserve">  </w:t>
      </w:r>
      <w:bookmarkStart w:id="15" w:name="_Toc79392573"/>
      <w:r>
        <w:rPr>
          <w:rFonts w:hint="eastAsia" w:ascii="Times New Roman"/>
          <w:sz w:val="30"/>
        </w:rPr>
        <w:t>理财产品的认购</w:t>
      </w:r>
      <w:bookmarkEnd w:id="10"/>
      <w:bookmarkEnd w:id="11"/>
      <w:bookmarkEnd w:id="12"/>
      <w:bookmarkEnd w:id="13"/>
      <w:bookmarkEnd w:id="14"/>
    </w:p>
    <w:p>
      <w:pPr>
        <w:spacing w:line="360" w:lineRule="auto"/>
        <w:ind w:firstLine="361" w:firstLineChars="200"/>
        <w:rPr>
          <w:rFonts w:asciiTheme="minorEastAsia" w:hAnsiTheme="minorEastAsia"/>
          <w:b/>
          <w:bCs/>
          <w:sz w:val="18"/>
          <w:szCs w:val="18"/>
        </w:rPr>
      </w:pPr>
      <w:bookmarkStart w:id="16" w:name="_Hlt88031774"/>
      <w:bookmarkEnd w:id="16"/>
      <w:bookmarkStart w:id="1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认购期/募集期内资金产生的利息（如有），不计入本金份额。</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8" w:name="_Toc6529"/>
      <w:bookmarkStart w:id="19" w:name="_Toc29856"/>
      <w:bookmarkStart w:id="20" w:name="_Toc92377133"/>
      <w:bookmarkStart w:id="21" w:name="_Toc32177"/>
      <w:bookmarkStart w:id="22"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8"/>
      <w:bookmarkEnd w:id="19"/>
      <w:bookmarkEnd w:id="20"/>
      <w:bookmarkEnd w:id="21"/>
      <w:bookmarkEnd w:id="22"/>
    </w:p>
    <w:bookmarkEnd w:id="17"/>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5"/>
    <w:p>
      <w:pPr>
        <w:pStyle w:val="2"/>
        <w:spacing w:before="0" w:after="0" w:line="360" w:lineRule="auto"/>
        <w:jc w:val="center"/>
        <w:rPr>
          <w:rFonts w:ascii="Times New Roman"/>
          <w:sz w:val="30"/>
        </w:rPr>
      </w:pPr>
      <w:bookmarkStart w:id="23" w:name="_Toc27226"/>
      <w:bookmarkStart w:id="24" w:name="_Toc15203"/>
      <w:bookmarkStart w:id="25" w:name="_Toc12517"/>
      <w:bookmarkStart w:id="26" w:name="_Toc22074"/>
      <w:bookmarkStart w:id="27" w:name="_Toc25685"/>
      <w:bookmarkStart w:id="28" w:name="_Toc92377134"/>
      <w:bookmarkStart w:id="29" w:name="_Toc90742688"/>
      <w:bookmarkStart w:id="30" w:name="_Toc6714"/>
      <w:bookmarkStart w:id="31" w:name="_Toc27189"/>
      <w:bookmarkStart w:id="32" w:name="_Toc74065741"/>
      <w:bookmarkStart w:id="33" w:name="_Toc29948"/>
      <w:bookmarkStart w:id="34" w:name="_Toc16265"/>
      <w:bookmarkStart w:id="35" w:name="_Toc79154668"/>
      <w:bookmarkStart w:id="36" w:name="_Toc23413"/>
      <w:bookmarkStart w:id="37" w:name="_Toc90742321"/>
      <w:bookmarkStart w:id="38" w:name="_Toc3266"/>
      <w:bookmarkStart w:id="39" w:name="_Toc90742390"/>
      <w:bookmarkStart w:id="40" w:name="_Toc29784"/>
      <w:bookmarkStart w:id="41" w:name="_Toc715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（4）本产品不投资于非标准化债权类资产、不投资于权益类资产、不投资于商品和金融衍生品类资产。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（1）本产品100%投资于债权类资产。</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（2）本产品投资于同业存单及存款类资产的比例不低于产品总资产的80%。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非因管理人主观因素导致突破前款规定比例限制的，产品管理人在流动性受限资产可出售、可转让或者恢复交易的15个交易日内调整至符合要求，监管机构规定的特殊情形除外。</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hint="eastAsia"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pPr>
        <w:spacing w:line="360" w:lineRule="auto"/>
        <w:ind w:firstLine="360" w:firstLineChars="200"/>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（7）本产品投资不存在活跃交易市场，并且需要采用估值技术确定公允价值的资产占理财产品净资产的比例低于50%。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42" w:name="_Toc14893"/>
      <w:bookmarkStart w:id="43" w:name="_Toc139991735"/>
      <w:bookmarkStart w:id="44" w:name="_Toc1823"/>
      <w:bookmarkStart w:id="45" w:name="_Toc92377135"/>
      <w:bookmarkStart w:id="46" w:name="_Toc26986"/>
      <w:bookmarkStart w:id="47" w:name="_Toc7848"/>
      <w:bookmarkStart w:id="48" w:name="_Toc18797"/>
      <w:bookmarkStart w:id="49" w:name="_Toc5702"/>
      <w:bookmarkStart w:id="50" w:name="_Toc79154669"/>
      <w:bookmarkStart w:id="51" w:name="_Toc18329"/>
      <w:bookmarkStart w:id="52" w:name="_Toc141703885"/>
      <w:bookmarkStart w:id="53" w:name="_Toc17912"/>
      <w:bookmarkStart w:id="54" w:name="_Toc27967"/>
      <w:bookmarkStart w:id="55" w:name="_Toc21988"/>
      <w:bookmarkStart w:id="56" w:name="_Toc4741"/>
      <w:bookmarkStart w:id="57" w:name="_Toc74065742"/>
      <w:bookmarkStart w:id="58" w:name="_Toc31087"/>
      <w:bookmarkStart w:id="59" w:name="_Toc1852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34"/>
        <w:spacing w:line="360" w:lineRule="auto"/>
        <w:ind w:firstLine="361" w:firstLineChars="200"/>
        <w:rPr>
          <w:rFonts w:asciiTheme="majorEastAsia" w:hAnsiTheme="majorEastAsia" w:eastAsiaTheme="majorEastAsia"/>
          <w:b/>
          <w:color w:val="auto"/>
          <w:sz w:val="18"/>
          <w:szCs w:val="18"/>
        </w:rPr>
      </w:pPr>
      <w:bookmarkStart w:id="60"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0"/>
    <w:p>
      <w:pPr>
        <w:pStyle w:val="2"/>
        <w:spacing w:before="0" w:after="0" w:line="360" w:lineRule="auto"/>
        <w:jc w:val="center"/>
        <w:rPr>
          <w:rFonts w:ascii="Times New Roman"/>
          <w:sz w:val="28"/>
          <w:szCs w:val="28"/>
        </w:rPr>
      </w:pPr>
      <w:bookmarkStart w:id="61" w:name="_Toc13903"/>
      <w:bookmarkStart w:id="62" w:name="_Toc92377136"/>
      <w:bookmarkStart w:id="63" w:name="_Toc11152"/>
      <w:bookmarkStart w:id="64" w:name="_Toc19132"/>
      <w:bookmarkStart w:id="65" w:name="_Toc83391971"/>
      <w:bookmarkStart w:id="66" w:name="_Toc610"/>
      <w:bookmarkStart w:id="67" w:name="_Toc48649707"/>
      <w:bookmarkStart w:id="68" w:name="_Toc139991736"/>
      <w:bookmarkStart w:id="69" w:name="_Toc4003"/>
      <w:bookmarkStart w:id="70" w:name="_Toc1427"/>
      <w:bookmarkStart w:id="71" w:name="_Toc79154670"/>
      <w:bookmarkStart w:id="72" w:name="_Toc79392606"/>
      <w:bookmarkStart w:id="73" w:name="_Toc17244"/>
      <w:bookmarkStart w:id="74" w:name="_Toc123112234"/>
      <w:bookmarkStart w:id="75" w:name="_Toc10463"/>
      <w:bookmarkStart w:id="76" w:name="_Toc20733"/>
      <w:bookmarkStart w:id="77" w:name="_Toc141703886"/>
      <w:bookmarkStart w:id="78" w:name="_Toc1270"/>
      <w:bookmarkStart w:id="79" w:name="_Toc123051452"/>
      <w:bookmarkStart w:id="80" w:name="_Toc23261"/>
      <w:bookmarkStart w:id="81" w:name="_Toc23822"/>
      <w:bookmarkStart w:id="82" w:name="_Toc123102453"/>
      <w:bookmarkStart w:id="83" w:name="_Toc74065743"/>
      <w:bookmarkStart w:id="84" w:name="_Toc7920"/>
      <w:bookmarkStart w:id="85" w:name="_Toc98560352"/>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1"/>
      <w:bookmarkEnd w:id="62"/>
      <w:bookmarkEnd w:id="63"/>
      <w:bookmarkEnd w:id="64"/>
      <w:bookmarkEnd w:id="65"/>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，每个开放日进行一次估值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（2）对已发行但未上市流通，且第三方估值机构未提供估值数据的标准化债权类资产，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Pr>
        <w:pStyle w:val="2"/>
        <w:spacing w:before="0" w:after="0" w:line="360" w:lineRule="auto"/>
        <w:ind w:left="60" w:firstLine="10"/>
        <w:jc w:val="center"/>
        <w:rPr>
          <w:rFonts w:ascii="Times New Roman"/>
          <w:sz w:val="30"/>
        </w:rPr>
      </w:pPr>
      <w:bookmarkStart w:id="86" w:name="_Hlt70481650"/>
      <w:bookmarkEnd w:id="86"/>
      <w:bookmarkStart w:id="87" w:name="_Toc15143"/>
      <w:bookmarkStart w:id="88" w:name="_Toc26207"/>
      <w:bookmarkStart w:id="89" w:name="_Toc31653"/>
      <w:bookmarkStart w:id="90" w:name="_Toc6405"/>
      <w:bookmarkStart w:id="91" w:name="_Toc123112235"/>
      <w:bookmarkStart w:id="92" w:name="_Toc3601"/>
      <w:bookmarkStart w:id="93" w:name="_Toc74065744"/>
      <w:bookmarkStart w:id="94" w:name="_Toc98560353"/>
      <w:bookmarkStart w:id="95" w:name="_Toc123102454"/>
      <w:bookmarkStart w:id="96" w:name="_Toc12245"/>
      <w:bookmarkStart w:id="97" w:name="_Toc92377137"/>
      <w:bookmarkStart w:id="98" w:name="_Toc31235"/>
      <w:bookmarkStart w:id="99" w:name="_Toc4020"/>
      <w:bookmarkStart w:id="100" w:name="_Toc29251"/>
      <w:bookmarkStart w:id="101" w:name="_Toc123051453"/>
      <w:bookmarkStart w:id="102" w:name="_Toc8695"/>
      <w:bookmarkStart w:id="103" w:name="_Toc14835"/>
      <w:bookmarkStart w:id="104" w:name="_Toc141703887"/>
      <w:bookmarkStart w:id="105" w:name="_Toc79154671"/>
      <w:bookmarkStart w:id="106" w:name="_Toc8045"/>
      <w:bookmarkStart w:id="107" w:name="_Toc139991737"/>
      <w:bookmarkStart w:id="108" w:name="_Toc3164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523711668"/>
      <w:bookmarkStart w:id="111" w:name="_Toc15118234"/>
      <w:bookmarkStart w:id="112" w:name="_Toc79392580"/>
      <w:bookmarkStart w:id="113"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10"/>
    <w:bookmarkEnd w:id="111"/>
    <w:bookmarkEnd w:id="112"/>
    <w:bookmarkEnd w:id="113"/>
    <w:p>
      <w:pPr>
        <w:pStyle w:val="2"/>
        <w:spacing w:before="0" w:after="0" w:line="360" w:lineRule="auto"/>
        <w:jc w:val="center"/>
        <w:rPr>
          <w:rFonts w:ascii="Times New Roman"/>
          <w:sz w:val="30"/>
        </w:rPr>
      </w:pPr>
      <w:bookmarkStart w:id="114" w:name="_Hlt88825574"/>
      <w:bookmarkEnd w:id="114"/>
      <w:bookmarkStart w:id="115" w:name="_Hlt88897298"/>
      <w:bookmarkEnd w:id="115"/>
      <w:bookmarkStart w:id="116" w:name="_Toc3771"/>
      <w:bookmarkStart w:id="117" w:name="_Toc4559"/>
      <w:bookmarkStart w:id="118" w:name="_Toc1043"/>
      <w:bookmarkStart w:id="119" w:name="_Toc6447"/>
      <w:bookmarkStart w:id="120" w:name="_Toc3321"/>
      <w:bookmarkStart w:id="121" w:name="_Toc25783"/>
      <w:bookmarkStart w:id="122" w:name="_Toc79392583"/>
      <w:bookmarkStart w:id="123" w:name="_Toc6394"/>
      <w:bookmarkStart w:id="124" w:name="_Toc22998"/>
      <w:bookmarkStart w:id="125" w:name="_Toc141703888"/>
      <w:bookmarkStart w:id="126" w:name="_Toc123112236"/>
      <w:bookmarkStart w:id="127" w:name="_Toc9706"/>
      <w:bookmarkStart w:id="128" w:name="_Toc79154672"/>
      <w:bookmarkStart w:id="129" w:name="_Toc98560354"/>
      <w:bookmarkStart w:id="130" w:name="_Toc123051454"/>
      <w:bookmarkStart w:id="131" w:name="_Toc92377138"/>
      <w:bookmarkStart w:id="132" w:name="_Toc139991738"/>
      <w:bookmarkStart w:id="133" w:name="_Toc74065745"/>
      <w:bookmarkStart w:id="134" w:name="_Toc123102455"/>
      <w:bookmarkStart w:id="135" w:name="_Toc7058"/>
      <w:bookmarkStart w:id="136" w:name="_Toc11030"/>
      <w:bookmarkStart w:id="137" w:name="_Toc18567"/>
      <w:bookmarkStart w:id="138" w:name="_Toc1065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pPr>
        <w:pStyle w:val="34"/>
        <w:spacing w:line="360" w:lineRule="auto"/>
        <w:ind w:firstLine="361" w:firstLineChars="200"/>
        <w:rPr>
          <w:rFonts w:hint="eastAsia" w:ascii="黑体" w:hAnsi="黑体" w:eastAsia="黑体" w:cs="黑体"/>
          <w:b/>
          <w:color w:val="auto"/>
          <w:sz w:val="18"/>
          <w:szCs w:val="18"/>
        </w:rPr>
      </w:pPr>
      <w:r>
        <w:rPr>
          <w:rFonts w:hint="eastAsia" w:ascii="黑体" w:hAnsi="黑体" w:eastAsia="黑体" w:cs="黑体"/>
          <w:b/>
          <w:color w:val="auto"/>
          <w:sz w:val="18"/>
          <w:szCs w:val="18"/>
        </w:rPr>
        <w:t>（一）理财产品的费用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1.理财产品费用的种类</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（3）理财产品的投资管理费及超额业绩报酬；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（4）理财产品的产品托管费；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（5）理财产品的交易费用（包括但不限于证券交易费用、经纪费用等）；</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（7）按照国家法律法规规定可以列入的其他费用。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2.理财产品费用计提方法、计提标准和支付方式</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1）认购费：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2）申购费：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Style w:val="30"/>
          <w:rFonts w:hint="eastAsia" w:ascii="黑体" w:hAnsi="黑体" w:eastAsia="黑体" w:cs="黑体"/>
          <w:kern w:val="0"/>
        </w:rPr>
      </w:pPr>
      <w:r>
        <w:rPr>
          <w:rFonts w:hint="eastAsia" w:ascii="黑体" w:hAnsi="黑体" w:eastAsia="黑体" w:cs="黑体"/>
          <w:kern w:val="0"/>
          <w:sz w:val="18"/>
          <w:szCs w:val="18"/>
        </w:rPr>
        <w:t>3）赎回费：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H＝E×销售服务费年费率÷365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pStyle w:val="34"/>
        <w:spacing w:line="360" w:lineRule="auto"/>
        <w:ind w:firstLine="360" w:firstLineChars="200"/>
        <w:rPr>
          <w:rFonts w:hint="eastAsia" w:ascii="黑体" w:hAnsi="黑体" w:eastAsia="黑体" w:cs="黑体"/>
          <w:color w:val="auto"/>
          <w:kern w:val="2"/>
          <w:sz w:val="18"/>
          <w:szCs w:val="18"/>
        </w:rPr>
      </w:pPr>
      <w:r>
        <w:rPr>
          <w:rFonts w:hint="eastAsia" w:ascii="黑体" w:hAnsi="黑体" w:eastAsia="黑体" w:cs="黑体"/>
          <w:color w:val="auto"/>
          <w:sz w:val="18"/>
          <w:szCs w:val="18"/>
        </w:rPr>
        <w:t>销售服务费依照上述约定，从理财财产中支付。</w:t>
      </w:r>
      <w:r>
        <w:rPr>
          <w:rFonts w:hint="eastAsia" w:ascii="黑体" w:hAnsi="黑体" w:eastAsia="黑体" w:cs="黑体"/>
          <w:color w:val="auto"/>
          <w:kern w:val="2"/>
          <w:sz w:val="18"/>
          <w:szCs w:val="18"/>
        </w:rPr>
        <w:t>费率具体数值以</w:t>
      </w:r>
      <w:r>
        <w:rPr>
          <w:rFonts w:hint="eastAsia" w:ascii="黑体" w:hAnsi="黑体" w:eastAsia="黑体" w:cs="黑体"/>
          <w:color w:val="auto"/>
          <w:sz w:val="18"/>
          <w:szCs w:val="18"/>
        </w:rPr>
        <w:t>《产品说明书》“第二条 理财产品基本情况”</w:t>
      </w:r>
      <w:r>
        <w:rPr>
          <w:rFonts w:hint="eastAsia" w:ascii="黑体" w:hAnsi="黑体" w:eastAsia="黑体" w:cs="黑体"/>
          <w:color w:val="auto"/>
          <w:kern w:val="2"/>
          <w:sz w:val="18"/>
          <w:szCs w:val="18"/>
        </w:rPr>
        <w:t>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本产品的投资管理费按前一日理财资产净值与投资管理费每日费率每日计提。</w:t>
      </w:r>
      <w:r>
        <w:rPr>
          <w:rFonts w:hint="eastAsia" w:ascii="黑体" w:hAnsi="黑体" w:eastAsia="黑体" w:cs="黑体"/>
          <w:kern w:val="0"/>
          <w:sz w:val="18"/>
          <w:szCs w:val="18"/>
        </w:rPr>
        <w:t>投资管理费的计算方法如下：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H＝E×投资管理费年费率÷365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H为每日应计提的产品投资管理费</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投资管理费依照上述约定，从理财财产中支付。</w:t>
      </w:r>
      <w:r>
        <w:rPr>
          <w:rFonts w:hint="eastAsia" w:ascii="黑体" w:hAnsi="黑体" w:eastAsia="黑体" w:cs="黑体"/>
          <w:sz w:val="18"/>
          <w:szCs w:val="18"/>
        </w:rPr>
        <w:t>费率具体数值以《产品说明书》“第二条 理财产品基本情况”为准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（4）超额业绩报酬</w:t>
      </w:r>
    </w:p>
    <w:p>
      <w:pPr>
        <w:widowControl/>
        <w:spacing w:line="360" w:lineRule="auto"/>
        <w:ind w:firstLine="360" w:firstLineChars="200"/>
        <w:jc w:val="left"/>
        <w:rPr>
          <w:rFonts w:hint="eastAsia" w:ascii="黑体" w:hAnsi="黑体" w:eastAsia="黑体" w:cs="黑体"/>
          <w:sz w:val="18"/>
          <w:szCs w:val="18"/>
        </w:rPr>
      </w:pPr>
      <w:permStart w:id="23" w:edGrp="everyone"/>
      <w:r>
        <w:rPr>
          <w:rFonts w:hint="eastAsia" w:ascii="黑体" w:hAnsi="黑体" w:eastAsia="黑体" w:cs="黑体"/>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业绩报酬计提基准的设置、超额业绩报酬的具体比例数值以《</w:t>
      </w:r>
      <w:r>
        <w:rPr>
          <w:rFonts w:hint="eastAsia" w:ascii="黑体" w:hAnsi="黑体" w:eastAsia="黑体" w:cs="黑体"/>
          <w:bCs/>
          <w:sz w:val="18"/>
          <w:szCs w:val="18"/>
        </w:rPr>
        <w:t>产品说明</w:t>
      </w:r>
      <w:r>
        <w:rPr>
          <w:rFonts w:hint="eastAsia" w:ascii="黑体" w:hAnsi="黑体" w:eastAsia="黑体" w:cs="黑体"/>
          <w:sz w:val="18"/>
          <w:szCs w:val="18"/>
        </w:rPr>
        <w:t>书》“第二条 理财产品基本情况”为准。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1）收取超额业绩报酬的原则：</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①按投资者每份产品份额分别计算年化收益率并计提超额业绩报酬；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2）超额业绩报酬计提方法</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①超额业绩报酬计提起始日</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每份产品份额超额业绩报酬计提起始日为：a.募集期内认购的产品份额，以产品成立日为该笔产品份额超额业绩报酬计提起始日；b.存续期内申购的产品份额，以申购日为该笔产品份额超额业绩报酬计提起始日。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②超额业绩报酬计提日</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每份产品份额超额业绩报酬计提日为投资者提出赎回申请的产品份额所对应的赎回日或产品终止日。</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③超额业绩报酬的计算</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产品管理人对每份份额当前年化收益率（R）超过当前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的部分，按比例（N）以及产品份额持有天数（D）提取超额业绩报酬，计算方法如下：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当R≤当前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，超额业绩报酬=0；</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当R＞当前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，超额业绩报酬=赎回的产品份额或产品终止时投资者持有的产品份额×产品成立日或产品份额申购日的产品份额净值×（R-当前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）×N×D/365。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（5）理财产品的产品托管费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本产品的产品托管费按前一日理财资产净值与产品托管费每日费率每日计提。</w:t>
      </w:r>
      <w:r>
        <w:rPr>
          <w:rFonts w:hint="eastAsia" w:ascii="黑体" w:hAnsi="黑体" w:eastAsia="黑体" w:cs="黑体"/>
          <w:kern w:val="0"/>
          <w:sz w:val="18"/>
          <w:szCs w:val="18"/>
        </w:rPr>
        <w:t>产品托管费的计算方法如下：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H＝E×产品托管费年费率÷365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产品托管费依照上述约定，从理财财产中支付。</w:t>
      </w:r>
      <w:r>
        <w:rPr>
          <w:rFonts w:hint="eastAsia" w:ascii="黑体" w:hAnsi="黑体" w:eastAsia="黑体" w:cs="黑体"/>
          <w:sz w:val="18"/>
          <w:szCs w:val="18"/>
        </w:rPr>
        <w:t>费率具体数值以《产品说明书》“第二条 理财产品基本情况”为准。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（6）上述理财产品的证券交易费用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（7）上述理财产品验资费、审计费、律师费、信息披露费、清算费、执行费用等相关费用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按费用实际支出金额列入当期费用，从理财财产中支付。产品管理人因处理上述事务而先行垫付上述费用的，管理人有权从理财产品资产中优先受偿。</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3.</w:t>
      </w:r>
      <w:r>
        <w:rPr>
          <w:rFonts w:hint="eastAsia" w:ascii="黑体" w:hAnsi="黑体" w:eastAsia="黑体" w:cs="黑体"/>
          <w:color w:val="auto"/>
          <w:sz w:val="18"/>
          <w:szCs w:val="18"/>
        </w:rPr>
        <w:t>★理财产品费用</w:t>
      </w:r>
      <w:r>
        <w:rPr>
          <w:rFonts w:hint="eastAsia" w:ascii="黑体" w:hAnsi="黑体" w:eastAsia="黑体" w:cs="黑体"/>
          <w:color w:val="auto"/>
          <w:sz w:val="18"/>
        </w:rPr>
        <w:t>的调整</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hint="eastAsia" w:ascii="黑体" w:hAnsi="黑体" w:eastAsia="黑体" w:cs="黑体"/>
          <w:b/>
          <w:color w:val="auto"/>
          <w:sz w:val="18"/>
        </w:rPr>
      </w:pPr>
      <w:r>
        <w:rPr>
          <w:rFonts w:hint="eastAsia" w:ascii="黑体" w:hAnsi="黑体" w:eastAsia="黑体" w:cs="黑体"/>
          <w:color w:val="auto"/>
          <w:sz w:val="18"/>
        </w:rPr>
        <w:t>（2）产品管理人有权</w:t>
      </w:r>
      <w:r>
        <w:rPr>
          <w:rFonts w:hint="eastAsia" w:ascii="黑体" w:hAnsi="黑体" w:eastAsia="黑体" w:cs="黑体"/>
          <w:color w:val="auto"/>
          <w:sz w:val="18"/>
          <w:szCs w:val="18"/>
        </w:rPr>
        <w:t>根据相关法律和国家政策规定，</w:t>
      </w:r>
      <w:r>
        <w:rPr>
          <w:rFonts w:hint="eastAsia" w:ascii="黑体" w:hAnsi="黑体" w:eastAsia="黑体" w:cs="黑体"/>
          <w:color w:val="auto"/>
          <w:sz w:val="18"/>
        </w:rPr>
        <w:t>对理财产品费用的收费项目、收费条件、收费标准和收费方式等进行调整。产品管理人对费用的调整</w:t>
      </w:r>
      <w:r>
        <w:rPr>
          <w:rFonts w:hint="eastAsia" w:ascii="黑体" w:hAnsi="黑体" w:eastAsia="黑体" w:cs="黑体"/>
          <w:bCs/>
          <w:color w:val="auto"/>
          <w:sz w:val="18"/>
        </w:rPr>
        <w:t>将依本产品说明书的“理财产品的信息披露”条款约定进行公告。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9" w:name="_Toc3963"/>
      <w:bookmarkStart w:id="140" w:name="_Toc1745"/>
      <w:r>
        <w:br w:type="page"/>
      </w:r>
      <w:bookmarkStart w:id="141" w:name="_Toc123102456"/>
      <w:bookmarkStart w:id="142" w:name="_Toc5388"/>
      <w:bookmarkStart w:id="143" w:name="_Toc139991739"/>
      <w:bookmarkStart w:id="144" w:name="_Toc2757"/>
      <w:bookmarkStart w:id="145" w:name="_Toc25397"/>
      <w:bookmarkStart w:id="146" w:name="_Toc123112237"/>
      <w:bookmarkStart w:id="147" w:name="_Toc92377139"/>
      <w:bookmarkStart w:id="148" w:name="_Toc74065746"/>
      <w:bookmarkStart w:id="149" w:name="_Toc123051455"/>
      <w:bookmarkStart w:id="150" w:name="_Toc18206"/>
      <w:bookmarkStart w:id="151" w:name="_Toc16164"/>
      <w:bookmarkStart w:id="152" w:name="_Toc98560355"/>
      <w:bookmarkStart w:id="153" w:name="_Toc10398"/>
      <w:bookmarkStart w:id="154" w:name="_Toc31821"/>
      <w:bookmarkStart w:id="155" w:name="_Toc141703889"/>
      <w:bookmarkStart w:id="156" w:name="_Toc21735"/>
      <w:bookmarkStart w:id="157" w:name="_Toc3080"/>
      <w:bookmarkStart w:id="158" w:name="_Toc79154673"/>
      <w:bookmarkStart w:id="159" w:name="_Toc3572"/>
      <w:bookmarkStart w:id="160" w:name="_Toc725"/>
      <w:r>
        <w:rPr>
          <w:rFonts w:hint="eastAsia"/>
          <w:sz w:val="30"/>
        </w:rPr>
        <w:t>第十条</w:t>
      </w:r>
      <w:r>
        <w:rPr>
          <w:sz w:val="30"/>
        </w:rPr>
        <w:t xml:space="preserve">  </w:t>
      </w:r>
      <w:r>
        <w:rPr>
          <w:rFonts w:hint="eastAsia"/>
          <w:sz w:val="30"/>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pPr>
        <w:spacing w:line="360" w:lineRule="auto"/>
        <w:ind w:firstLine="361" w:firstLineChars="200"/>
        <w:rPr>
          <w:rFonts w:asciiTheme="majorEastAsia" w:hAnsiTheme="majorEastAsia" w:eastAsiaTheme="majorEastAsia"/>
          <w:b/>
          <w:bCs/>
          <w:sz w:val="18"/>
          <w:szCs w:val="18"/>
        </w:rPr>
      </w:pPr>
      <w:bookmarkStart w:id="161" w:name="_Toc79392593"/>
      <w:bookmarkStart w:id="162" w:name="_Toc15118245"/>
      <w:bookmarkStart w:id="16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61"/>
    <w:bookmarkEnd w:id="162"/>
    <w:bookmarkEnd w:id="16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内产生的利息（如有）归投资者所有。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理财产品部分终止日（含当日）至理财利益实际到账日之间产生的利息（如有），归投资者所有。</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4.理财产品终止日，如遇理财产品项下资产因包括但不限于市场风险、信用风险等原因不能全部变现，本产品存在二次或多次清算的可能。如产品管理人拟进行二次或多次清算的，将依约定进行公告。对于未变现资产部分，产品管理人以投资者利益最大化的原则，寻求未变现资产变现方式，在资产变现后，产品持有的现金类资产在扣除理财相关费用、缴纳所欠税款并清偿理财产品负债后，在【5】个工作日内按投资者持有的理财产品份额比例向投资者进行再次分配。</w:t>
      </w:r>
    </w:p>
    <w:p>
      <w:pPr>
        <w:pStyle w:val="2"/>
        <w:spacing w:before="0" w:after="0" w:line="360" w:lineRule="auto"/>
        <w:jc w:val="center"/>
        <w:rPr>
          <w:rFonts w:ascii="Times New Roman"/>
          <w:sz w:val="18"/>
          <w:szCs w:val="18"/>
        </w:rPr>
      </w:pPr>
      <w:r>
        <w:rPr>
          <w:rFonts w:ascii="Times New Roman"/>
          <w:b w:val="0"/>
          <w:bCs w:val="0"/>
          <w:kern w:val="2"/>
        </w:rPr>
        <w:br w:type="page"/>
      </w:r>
      <w:bookmarkStart w:id="164" w:name="_Toc92377140"/>
      <w:bookmarkStart w:id="165" w:name="_Toc24268"/>
      <w:bookmarkStart w:id="166" w:name="_Toc593"/>
      <w:bookmarkStart w:id="167" w:name="_Toc7953"/>
      <w:bookmarkStart w:id="168" w:name="_Toc739"/>
      <w:bookmarkStart w:id="169" w:name="_Toc139991740"/>
      <w:bookmarkStart w:id="170" w:name="_Toc32584"/>
      <w:bookmarkStart w:id="171" w:name="_Toc29408"/>
      <w:bookmarkStart w:id="172" w:name="_Toc74065747"/>
      <w:bookmarkStart w:id="173" w:name="_Toc79392622"/>
      <w:bookmarkStart w:id="174" w:name="_Toc48649708"/>
      <w:bookmarkStart w:id="175" w:name="_Toc123112238"/>
      <w:bookmarkStart w:id="176" w:name="_Toc32092"/>
      <w:bookmarkStart w:id="177" w:name="_Toc8791"/>
      <w:bookmarkStart w:id="178" w:name="_Toc3329"/>
      <w:bookmarkStart w:id="179" w:name="_Toc141703890"/>
      <w:bookmarkStart w:id="180" w:name="_Toc17920"/>
      <w:bookmarkStart w:id="181" w:name="_Toc79154674"/>
      <w:bookmarkStart w:id="182" w:name="_Toc83391975"/>
      <w:bookmarkStart w:id="183" w:name="_Toc98560356"/>
      <w:bookmarkStart w:id="184" w:name="_Toc17198"/>
      <w:bookmarkStart w:id="185" w:name="_Toc5170"/>
      <w:bookmarkStart w:id="186" w:name="_Toc21237"/>
      <w:bookmarkStart w:id="187" w:name="_Toc123102457"/>
      <w:bookmarkStart w:id="188" w:name="_Toc123051456"/>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64"/>
      <w:bookmarkEnd w:id="165"/>
      <w:bookmarkEnd w:id="166"/>
      <w:bookmarkEnd w:id="167"/>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89" w:name="_Toc79154675"/>
      <w:bookmarkStart w:id="190" w:name="_Toc184"/>
      <w:bookmarkStart w:id="191" w:name="_Toc8020"/>
      <w:bookmarkStart w:id="192" w:name="_Toc92377141"/>
      <w:bookmarkStart w:id="193"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89"/>
      <w:bookmarkEnd w:id="190"/>
      <w:bookmarkEnd w:id="191"/>
      <w:bookmarkEnd w:id="192"/>
      <w:bookmarkEnd w:id="193"/>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hint="eastAsia"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17.★关联交易风险</w:t>
      </w:r>
    </w:p>
    <w:p>
      <w:pPr>
        <w:spacing w:line="360" w:lineRule="auto"/>
        <w:ind w:firstLine="360" w:firstLineChars="200"/>
        <w:rPr>
          <w:rFonts w:ascii="宋体" w:hAnsi="宋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dit="readOnly" w:enforcement="1" w:cryptProviderType="rsaFull" w:cryptAlgorithmClass="hash" w:cryptAlgorithmType="typeAny" w:cryptAlgorithmSid="4" w:cryptSpinCount="0" w:hash="pSdYGECtsvjROkvjJIlYEwCVOBM=" w:salt="h5Q+wxetAqUh0TpDHiQdM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063E0"/>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AA"/>
    <w:rsid w:val="001D03C8"/>
    <w:rsid w:val="001D06D0"/>
    <w:rsid w:val="001D0990"/>
    <w:rsid w:val="001D1354"/>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5C9E"/>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0FA8"/>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2F7CC5"/>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4CA1"/>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128F"/>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17FF1"/>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358"/>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17479"/>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1DF1"/>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721"/>
    <w:rsid w:val="007B3CAC"/>
    <w:rsid w:val="007B435B"/>
    <w:rsid w:val="007B7A50"/>
    <w:rsid w:val="007B7E70"/>
    <w:rsid w:val="007C0495"/>
    <w:rsid w:val="007C67CB"/>
    <w:rsid w:val="007D115D"/>
    <w:rsid w:val="007D1185"/>
    <w:rsid w:val="007D37FB"/>
    <w:rsid w:val="007D3AB0"/>
    <w:rsid w:val="007D3C57"/>
    <w:rsid w:val="007D6324"/>
    <w:rsid w:val="007D68C9"/>
    <w:rsid w:val="007D6F94"/>
    <w:rsid w:val="007D7B84"/>
    <w:rsid w:val="007E1F76"/>
    <w:rsid w:val="007E31AB"/>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C79"/>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B65"/>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714"/>
    <w:rsid w:val="00AB3C03"/>
    <w:rsid w:val="00AB50AF"/>
    <w:rsid w:val="00AB52EA"/>
    <w:rsid w:val="00AB5EF6"/>
    <w:rsid w:val="00AB7B1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6A10"/>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2C3"/>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17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635A"/>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145A"/>
    <w:rsid w:val="00F555B0"/>
    <w:rsid w:val="00F6162A"/>
    <w:rsid w:val="00F66759"/>
    <w:rsid w:val="00F66D5C"/>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5650"/>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5A63346"/>
    <w:rsid w:val="06DC01DA"/>
    <w:rsid w:val="06F4696E"/>
    <w:rsid w:val="07245E56"/>
    <w:rsid w:val="0A8C1B58"/>
    <w:rsid w:val="0BFE233D"/>
    <w:rsid w:val="0C023D8C"/>
    <w:rsid w:val="0C225D7B"/>
    <w:rsid w:val="0C8E2CE6"/>
    <w:rsid w:val="0CED3570"/>
    <w:rsid w:val="0DAC7C67"/>
    <w:rsid w:val="0E9022D3"/>
    <w:rsid w:val="0E94232E"/>
    <w:rsid w:val="0F1306D5"/>
    <w:rsid w:val="11295396"/>
    <w:rsid w:val="12F56293"/>
    <w:rsid w:val="163A1B23"/>
    <w:rsid w:val="163E2FB7"/>
    <w:rsid w:val="17622796"/>
    <w:rsid w:val="181C08FC"/>
    <w:rsid w:val="19B35029"/>
    <w:rsid w:val="19F32D28"/>
    <w:rsid w:val="1A48157B"/>
    <w:rsid w:val="1AAA799F"/>
    <w:rsid w:val="1B9930ED"/>
    <w:rsid w:val="1BD70953"/>
    <w:rsid w:val="1BF87698"/>
    <w:rsid w:val="1E585AB7"/>
    <w:rsid w:val="1E8075A1"/>
    <w:rsid w:val="1EB160C2"/>
    <w:rsid w:val="1FA97B1F"/>
    <w:rsid w:val="1FF145B9"/>
    <w:rsid w:val="208366E3"/>
    <w:rsid w:val="2193546F"/>
    <w:rsid w:val="26F50BA9"/>
    <w:rsid w:val="27005B64"/>
    <w:rsid w:val="27BD5E26"/>
    <w:rsid w:val="285E4249"/>
    <w:rsid w:val="29026D00"/>
    <w:rsid w:val="29AF0175"/>
    <w:rsid w:val="2EA644DF"/>
    <w:rsid w:val="2FB532A0"/>
    <w:rsid w:val="301261B1"/>
    <w:rsid w:val="319C4BEA"/>
    <w:rsid w:val="338472B6"/>
    <w:rsid w:val="34C829B2"/>
    <w:rsid w:val="35381804"/>
    <w:rsid w:val="36146FAD"/>
    <w:rsid w:val="372252A6"/>
    <w:rsid w:val="38051411"/>
    <w:rsid w:val="386A3F56"/>
    <w:rsid w:val="38777E2D"/>
    <w:rsid w:val="3A810EF7"/>
    <w:rsid w:val="3A842191"/>
    <w:rsid w:val="3ACF0F3F"/>
    <w:rsid w:val="3B7626CB"/>
    <w:rsid w:val="3C3802E9"/>
    <w:rsid w:val="3DA51C15"/>
    <w:rsid w:val="3DC16BC6"/>
    <w:rsid w:val="3E586AB8"/>
    <w:rsid w:val="3E5C1B1D"/>
    <w:rsid w:val="3EAE14E9"/>
    <w:rsid w:val="3FD261A6"/>
    <w:rsid w:val="4000226E"/>
    <w:rsid w:val="407C0C49"/>
    <w:rsid w:val="42EB2F9C"/>
    <w:rsid w:val="45226963"/>
    <w:rsid w:val="477C2F5C"/>
    <w:rsid w:val="48464C27"/>
    <w:rsid w:val="499C5ED6"/>
    <w:rsid w:val="49CF7D54"/>
    <w:rsid w:val="4D39606F"/>
    <w:rsid w:val="4D7250D6"/>
    <w:rsid w:val="4F137BD5"/>
    <w:rsid w:val="4F8E3D4D"/>
    <w:rsid w:val="53063B85"/>
    <w:rsid w:val="533C1961"/>
    <w:rsid w:val="53B3493A"/>
    <w:rsid w:val="54560EDE"/>
    <w:rsid w:val="5537323C"/>
    <w:rsid w:val="55855837"/>
    <w:rsid w:val="55E83741"/>
    <w:rsid w:val="56503211"/>
    <w:rsid w:val="56BB3447"/>
    <w:rsid w:val="59030ACB"/>
    <w:rsid w:val="598B567E"/>
    <w:rsid w:val="5C624734"/>
    <w:rsid w:val="5C674E35"/>
    <w:rsid w:val="5FE91ABC"/>
    <w:rsid w:val="60EB32EA"/>
    <w:rsid w:val="61CF16A9"/>
    <w:rsid w:val="628E734C"/>
    <w:rsid w:val="62BD3A82"/>
    <w:rsid w:val="63261B7A"/>
    <w:rsid w:val="6580603B"/>
    <w:rsid w:val="664F0E3A"/>
    <w:rsid w:val="66A34D18"/>
    <w:rsid w:val="671D0A46"/>
    <w:rsid w:val="682A44E1"/>
    <w:rsid w:val="68C7223A"/>
    <w:rsid w:val="68EF6886"/>
    <w:rsid w:val="69867C07"/>
    <w:rsid w:val="6AAD6877"/>
    <w:rsid w:val="6B3F3089"/>
    <w:rsid w:val="6C2B2E22"/>
    <w:rsid w:val="6C4D0CA2"/>
    <w:rsid w:val="6EAA7DFD"/>
    <w:rsid w:val="6EE25628"/>
    <w:rsid w:val="6FDD1093"/>
    <w:rsid w:val="70945A36"/>
    <w:rsid w:val="709C0126"/>
    <w:rsid w:val="71B3252D"/>
    <w:rsid w:val="72900D31"/>
    <w:rsid w:val="757103BD"/>
    <w:rsid w:val="76022652"/>
    <w:rsid w:val="768501BE"/>
    <w:rsid w:val="76C8601E"/>
    <w:rsid w:val="77150144"/>
    <w:rsid w:val="79E61650"/>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A564346-BCA8-4B81-89B9-B65338D1A2C8}">
  <ds:schemaRefs/>
</ds:datastoreItem>
</file>

<file path=customXml/itemProps11.xml><?xml version="1.0" encoding="utf-8"?>
<ds:datastoreItem xmlns:ds="http://schemas.openxmlformats.org/officeDocument/2006/customXml" ds:itemID="{D902962D-C8CC-43BF-804A-CD60AE6D7475}">
  <ds:schemaRefs/>
</ds:datastoreItem>
</file>

<file path=customXml/itemProps12.xml><?xml version="1.0" encoding="utf-8"?>
<ds:datastoreItem xmlns:ds="http://schemas.openxmlformats.org/officeDocument/2006/customXml" ds:itemID="{79B37214-9E52-4241-8DD2-9E9CD9442006}">
  <ds:schemaRefs/>
</ds:datastoreItem>
</file>

<file path=customXml/itemProps13.xml><?xml version="1.0" encoding="utf-8"?>
<ds:datastoreItem xmlns:ds="http://schemas.openxmlformats.org/officeDocument/2006/customXml" ds:itemID="{2108FF18-8EC8-4170-A536-1AA8E39CC797}">
  <ds:schemaRefs/>
</ds:datastoreItem>
</file>

<file path=customXml/itemProps14.xml><?xml version="1.0" encoding="utf-8"?>
<ds:datastoreItem xmlns:ds="http://schemas.openxmlformats.org/officeDocument/2006/customXml" ds:itemID="{0A7AA9EF-3B8C-4BAA-9155-A6E3E5337D3C}">
  <ds:schemaRefs/>
</ds:datastoreItem>
</file>

<file path=customXml/itemProps15.xml><?xml version="1.0" encoding="utf-8"?>
<ds:datastoreItem xmlns:ds="http://schemas.openxmlformats.org/officeDocument/2006/customXml" ds:itemID="{AC86F3EB-DB57-4B60-8A7E-BBB67A22EE0B}">
  <ds:schemaRefs/>
</ds:datastoreItem>
</file>

<file path=customXml/itemProps16.xml><?xml version="1.0" encoding="utf-8"?>
<ds:datastoreItem xmlns:ds="http://schemas.openxmlformats.org/officeDocument/2006/customXml" ds:itemID="{9114D43D-ED98-4C7B-A3AE-26D78B80CA82}">
  <ds:schemaRefs/>
</ds:datastoreItem>
</file>

<file path=customXml/itemProps17.xml><?xml version="1.0" encoding="utf-8"?>
<ds:datastoreItem xmlns:ds="http://schemas.openxmlformats.org/officeDocument/2006/customXml" ds:itemID="{A06CD169-7F5C-4082-81B2-6ECAA9AF6149}">
  <ds:schemaRefs/>
</ds:datastoreItem>
</file>

<file path=customXml/itemProps18.xml><?xml version="1.0" encoding="utf-8"?>
<ds:datastoreItem xmlns:ds="http://schemas.openxmlformats.org/officeDocument/2006/customXml" ds:itemID="{CF487381-D648-48A1-B1E4-A4540B0D3650}">
  <ds:schemaRefs/>
</ds:datastoreItem>
</file>

<file path=customXml/itemProps2.xml><?xml version="1.0" encoding="utf-8"?>
<ds:datastoreItem xmlns:ds="http://schemas.openxmlformats.org/officeDocument/2006/customXml" ds:itemID="{7E5C9D84-6DB6-48FB-8632-D5279FC233C8}">
  <ds:schemaRefs/>
</ds:datastoreItem>
</file>

<file path=customXml/itemProps3.xml><?xml version="1.0" encoding="utf-8"?>
<ds:datastoreItem xmlns:ds="http://schemas.openxmlformats.org/officeDocument/2006/customXml" ds:itemID="{1990A2D8-324F-45D5-B9CD-07245ED2860B}">
  <ds:schemaRefs/>
</ds:datastoreItem>
</file>

<file path=customXml/itemProps4.xml><?xml version="1.0" encoding="utf-8"?>
<ds:datastoreItem xmlns:ds="http://schemas.openxmlformats.org/officeDocument/2006/customXml" ds:itemID="{3A3C3A8D-C5E4-45AF-8B48-C3BF528808AD}">
  <ds:schemaRefs/>
</ds:datastoreItem>
</file>

<file path=customXml/itemProps5.xml><?xml version="1.0" encoding="utf-8"?>
<ds:datastoreItem xmlns:ds="http://schemas.openxmlformats.org/officeDocument/2006/customXml" ds:itemID="{509BA638-9D3A-4AA3-A169-FF78BC0E4BE9}">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BEEE0313-55EB-45FA-BBBD-C0232D367255}">
  <ds:schemaRefs/>
</ds:datastoreItem>
</file>

<file path=customXml/itemProps8.xml><?xml version="1.0" encoding="utf-8"?>
<ds:datastoreItem xmlns:ds="http://schemas.openxmlformats.org/officeDocument/2006/customXml" ds:itemID="{1A3BDF38-4832-4575-A8AB-7A1679738229}">
  <ds:schemaRefs/>
</ds:datastoreItem>
</file>

<file path=customXml/itemProps9.xml><?xml version="1.0" encoding="utf-8"?>
<ds:datastoreItem xmlns:ds="http://schemas.openxmlformats.org/officeDocument/2006/customXml" ds:itemID="{E6D3D55C-3DD8-4C31-8069-E5508DD844F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4318</Words>
  <Characters>24617</Characters>
  <Lines>205</Lines>
  <Paragraphs>57</Paragraphs>
  <TotalTime>2</TotalTime>
  <ScaleCrop>false</ScaleCrop>
  <LinksUpToDate>false</LinksUpToDate>
  <CharactersWithSpaces>28878</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2025-11-04T05:47:20Z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