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bookmarkStart w:id="0" w:name="file_year"/>
      <w:bookmarkEnd w:id="0"/>
      <w:r>
        <w:rPr>
          <w:rStyle w:val="27"/>
          <w:rFonts w:hint="eastAsia" w:ascii="宋体" w:hAnsi="宋体" w:cs="Times New Roman"/>
          <w:sz w:val="32"/>
          <w:szCs w:val="32"/>
          <w:lang w:eastAsia="zh-CN"/>
        </w:rPr>
        <w:t>2025</w:t>
      </w:r>
      <w:r>
        <w:rPr>
          <w:rStyle w:val="27"/>
          <w:rFonts w:hint="eastAsia" w:ascii="宋体" w:hAnsi="宋体" w:cs="Times New Roman"/>
          <w:sz w:val="32"/>
          <w:szCs w:val="32"/>
        </w:rPr>
        <w:t>】年【</w:t>
      </w:r>
      <w:bookmarkStart w:id="1" w:name="file_month"/>
      <w:bookmarkEnd w:id="1"/>
      <w:r>
        <w:rPr>
          <w:rStyle w:val="27"/>
          <w:rFonts w:hint="eastAsia" w:ascii="宋体" w:hAnsi="宋体" w:cs="Times New Roman"/>
          <w:sz w:val="32"/>
          <w:szCs w:val="32"/>
          <w:lang w:eastAsia="zh-CN"/>
        </w:rPr>
        <w:t>1</w:t>
      </w:r>
      <w:r>
        <w:rPr>
          <w:rStyle w:val="27"/>
          <w:rFonts w:hint="eastAsia" w:ascii="宋体" w:hAnsi="宋体" w:cs="Times New Roman"/>
          <w:sz w:val="32"/>
          <w:szCs w:val="32"/>
          <w:lang w:val="en-US" w:eastAsia="zh-CN"/>
        </w:rPr>
        <w:t>2</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permStart w:id="2" w:edGrp="everyone"/>
          <w:bookmarkStart w:id="2" w:name="_Toc78276587"/>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"_Toc32762"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_Toc32762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"_Toc1693" </w:instrText>
          </w:r>
          <w:r>
            <w:fldChar w:fldCharType="separate"/>
          </w:r>
          <w:r>
            <w:rPr>
              <w:rFonts w:hint="eastAsia" w:hAnsi="宋体"/>
              <w:szCs w:val="28"/>
            </w:rPr>
            <w:t xml:space="preserve">第二条  理财产品基本情况 </w:t>
          </w:r>
          <w:r>
            <w:tab/>
          </w:r>
          <w:r>
            <w:fldChar w:fldCharType="begin"/>
          </w:r>
          <w:r>
            <w:instrText xml:space="preserve"> PAGEREF _Toc1693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"_Toc10659"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_Toc10659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"_Toc32177"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_Toc32177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"_Toc25685"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_Toc25685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"_Toc31087"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_Toc31087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"_Toc19132"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_Toc19132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"_Toc8695"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_Toc8695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"_Toc1043"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_Toc1043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"_Toc2757"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_Toc2757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"_Toc593"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_Toc593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"_Toc184"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_Toc184 \h </w:instrText>
          </w:r>
          <w:r>
            <w:fldChar w:fldCharType="separate"/>
          </w:r>
          <w:r>
            <w:t>36</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3" w:name="_Toc29814"/>
      <w:bookmarkStart w:id="4" w:name="_Toc26572"/>
      <w:bookmarkStart w:id="5" w:name="_Toc32762"/>
      <w:bookmarkStart w:id="6" w:name="_Toc92377130"/>
      <w:r>
        <w:rPr>
          <w:rFonts w:ascii="Times New Roman"/>
          <w:sz w:val="30"/>
        </w:rPr>
        <w:t>第</w:t>
      </w:r>
      <w:r>
        <w:rPr>
          <w:rFonts w:hint="eastAsia" w:ascii="Times New Roman"/>
          <w:sz w:val="30"/>
        </w:rPr>
        <w:t xml:space="preserve">一条 </w:t>
      </w:r>
      <w:r>
        <w:rPr>
          <w:rFonts w:ascii="Times New Roman"/>
          <w:sz w:val="30"/>
        </w:rPr>
        <w:t xml:space="preserve"> 释义</w:t>
      </w:r>
      <w:bookmarkEnd w:id="2"/>
      <w:bookmarkEnd w:id="3"/>
      <w:bookmarkEnd w:id="4"/>
      <w:bookmarkEnd w:id="5"/>
      <w:bookmarkEnd w:id="6"/>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兴业银行”）。兴业银行成立于1988年，于2005年开展资产托管业务，具备理财产品托管资格。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【稳添利最短持有期日开固收类】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7" w:name="_Toc79154665"/>
      <w:bookmarkStart w:id="8" w:name="_Toc92377131"/>
      <w:bookmarkStart w:id="9" w:name="_Toc14559"/>
      <w:bookmarkStart w:id="10" w:name="_Toc30087"/>
      <w:bookmarkStart w:id="11" w:name="_Toc1693"/>
      <w:r>
        <w:rPr>
          <w:rFonts w:hint="eastAsia" w:hAnsi="宋体"/>
          <w:sz w:val="28"/>
          <w:szCs w:val="28"/>
        </w:rPr>
        <w:t>第二条  理财产品基本情况</w:t>
      </w:r>
      <w:bookmarkEnd w:id="7"/>
      <w:bookmarkEnd w:id="8"/>
      <w:r>
        <w:rPr>
          <w:rFonts w:hint="eastAsia" w:hAnsi="宋体"/>
          <w:sz w:val="28"/>
          <w:szCs w:val="28"/>
        </w:rPr>
        <w:t xml:space="preserve"> </w:t>
      </w:r>
      <w:bookmarkEnd w:id="9"/>
      <w:bookmarkEnd w:id="10"/>
      <w:bookmarkEnd w:id="11"/>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w:t>
            </w:r>
            <w:bookmarkStart w:id="12" w:name="pro_name"/>
            <w:bookmarkEnd w:id="12"/>
            <w:r>
              <w:rPr>
                <w:rFonts w:hint="eastAsia" w:ascii="宋体" w:hAnsi="宋体"/>
                <w:sz w:val="18"/>
                <w:szCs w:val="18"/>
                <w:lang w:eastAsia="zh-CN"/>
              </w:rPr>
              <w:t>兴银理财稳添利月盈81号(1个月最短持有期)日开固收类理财产品</w:t>
            </w:r>
            <w:r>
              <w:rPr>
                <w:rFonts w:hint="eastAsia"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spacing w:line="360" w:lineRule="auto"/>
              <w:jc w:val="left"/>
              <w:rPr>
                <w:rFonts w:hint="eastAsia" w:ascii="宋体" w:hAnsi="宋体" w:eastAsia="宋体"/>
                <w:kern w:val="0"/>
                <w:sz w:val="18"/>
                <w:szCs w:val="18"/>
                <w:lang w:eastAsia="zh-CN"/>
              </w:rPr>
            </w:pPr>
            <w:bookmarkStart w:id="13" w:name="sale_name"/>
            <w:bookmarkEnd w:id="13"/>
            <w:r>
              <w:rPr>
                <w:rFonts w:hint="eastAsia" w:ascii="宋体" w:hAnsi="宋体"/>
                <w:kern w:val="0"/>
                <w:sz w:val="18"/>
                <w:szCs w:val="18"/>
                <w:lang w:eastAsia="zh-CN"/>
              </w:rPr>
              <w:t>【稳添利月盈增利81号D】（适用【D】类份额）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w:t>
            </w:r>
            <w:bookmarkStart w:id="14" w:name="regist_code"/>
            <w:bookmarkEnd w:id="14"/>
            <w:r>
              <w:rPr>
                <w:rFonts w:hint="eastAsia" w:asciiTheme="minorEastAsia" w:hAnsiTheme="minorEastAsia"/>
                <w:sz w:val="18"/>
                <w:szCs w:val="18"/>
                <w:lang w:eastAsia="zh-CN"/>
              </w:rPr>
              <w:t>Z7002025001849</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bookmarkStart w:id="15" w:name="pro_code"/>
            <w:bookmarkEnd w:id="15"/>
            <w:r>
              <w:rPr>
                <w:rFonts w:hint="eastAsia" w:ascii="宋体" w:hAnsi="宋体"/>
                <w:bCs/>
                <w:sz w:val="18"/>
                <w:szCs w:val="18"/>
                <w:lang w:eastAsia="zh-CN"/>
              </w:rPr>
              <w:t>9K430810</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int="eastAsia" w:ascii="宋体" w:hAnsi="宋体" w:eastAsia="宋体"/>
                <w:sz w:val="18"/>
                <w:szCs w:val="18"/>
                <w:lang w:eastAsia="zh-CN"/>
              </w:rPr>
            </w:pPr>
            <w:bookmarkStart w:id="16" w:name="sale_code"/>
            <w:bookmarkEnd w:id="16"/>
            <w:r>
              <w:rPr>
                <w:rFonts w:hint="eastAsia" w:ascii="宋体" w:hAnsi="宋体"/>
                <w:sz w:val="18"/>
                <w:szCs w:val="18"/>
                <w:lang w:eastAsia="zh-CN"/>
              </w:rPr>
              <w:t>【9K43081</w:t>
            </w:r>
            <w:r>
              <w:rPr>
                <w:rFonts w:hint="eastAsia" w:ascii="宋体" w:hAnsi="宋体"/>
                <w:sz w:val="18"/>
                <w:szCs w:val="18"/>
                <w:lang w:val="en-US" w:eastAsia="zh-CN"/>
              </w:rPr>
              <w:t>D</w:t>
            </w:r>
            <w:r>
              <w:rPr>
                <w:rFonts w:hint="eastAsia" w:ascii="宋体" w:hAnsi="宋体"/>
                <w:sz w:val="18"/>
                <w:szCs w:val="18"/>
                <w:lang w:eastAsia="zh-CN"/>
              </w:rPr>
              <w:t>】（适用【D】类份额）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r>
              <w:rPr>
                <w:rFonts w:hint="eastAsia" w:hAnsi="宋体"/>
                <w:sz w:val="18"/>
                <w:szCs w:val="18"/>
              </w:rPr>
              <w:t>（</w:t>
            </w:r>
            <w:r>
              <w:rPr>
                <w:rFonts w:hint="eastAsia" w:hAnsi="宋体"/>
                <w:sz w:val="18"/>
                <w:szCs w:val="18"/>
                <w:lang w:eastAsia="zh-CN"/>
              </w:rPr>
              <w:t>适用【D】类份额</w:t>
            </w:r>
            <w:r>
              <w:rPr>
                <w:rFonts w:hint="eastAsia" w:hAnsi="宋体"/>
                <w:sz w:val="18"/>
                <w:szCs w:val="18"/>
              </w:rPr>
              <w:t>）</w:t>
            </w:r>
          </w:p>
          <w:p>
            <w:pPr>
              <w:spacing w:line="360" w:lineRule="auto"/>
              <w:rPr>
                <w:rFonts w:hint="eastAsia" w:asciiTheme="majorEastAsia" w:hAnsiTheme="majorEastAsia" w:eastAsiaTheme="majorEastAsia"/>
                <w:bCs/>
                <w:color w:val="000000" w:themeColor="text1"/>
                <w:sz w:val="18"/>
                <w:szCs w:val="18"/>
                <w:lang w:eastAsia="zh-CN"/>
                <w14:textFill>
                  <w14:solidFill>
                    <w14:schemeClr w14:val="tx1"/>
                  </w14:solidFill>
                </w14:textFill>
              </w:rPr>
            </w:pPr>
            <w:bookmarkStart w:id="17" w:name="per_inv"/>
            <w:bookmarkEnd w:id="17"/>
            <w:r>
              <w:rPr>
                <w:rFonts w:hint="eastAsia" w:asciiTheme="majorEastAsia" w:hAnsiTheme="majorEastAsia" w:eastAsiaTheme="majorEastAsia"/>
                <w:bCs/>
                <w:color w:val="000000" w:themeColor="text1"/>
                <w:sz w:val="18"/>
                <w:szCs w:val="18"/>
                <w:lang w:eastAsia="zh-CN"/>
                <w14:textFill>
                  <w14:solidFill>
                    <w14:schemeClr w14:val="tx1"/>
                  </w14:solidFill>
                </w14:textFill>
              </w:rPr>
              <w:t>■个人投资者</w:t>
            </w:r>
          </w:p>
          <w:p>
            <w:pPr>
              <w:spacing w:line="360" w:lineRule="auto"/>
              <w:rPr>
                <w:rFonts w:hint="eastAsia" w:asciiTheme="majorEastAsia" w:hAnsiTheme="majorEastAsia" w:eastAsiaTheme="majorEastAsia"/>
                <w:bCs/>
                <w:sz w:val="18"/>
                <w:szCs w:val="18"/>
                <w:lang w:eastAsia="zh-CN"/>
              </w:rPr>
            </w:pPr>
            <w:bookmarkStart w:id="18" w:name="ins_inv"/>
            <w:bookmarkEnd w:id="18"/>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r>
              <w:rPr>
                <w:rFonts w:hint="eastAsia" w:asciiTheme="majorEastAsia" w:hAnsiTheme="majorEastAsia" w:eastAsiaTheme="majorEastAsia"/>
                <w:bCs/>
                <w:sz w:val="18"/>
                <w:szCs w:val="18"/>
                <w:lang w:eastAsia="zh-CN"/>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bookmarkStart w:id="19" w:name="pro_size"/>
            <w:bookmarkEnd w:id="19"/>
            <w:r>
              <w:rPr>
                <w:rFonts w:hint="eastAsia" w:asciiTheme="majorEastAsia" w:hAnsiTheme="majorEastAsia" w:eastAsiaTheme="majorEastAsia"/>
                <w:bCs/>
                <w:sz w:val="18"/>
                <w:szCs w:val="18"/>
                <w:lang w:eastAsia="zh-CN"/>
              </w:rPr>
              <w:t>0.</w:t>
            </w:r>
            <w:r>
              <w:rPr>
                <w:rFonts w:hint="eastAsia" w:asciiTheme="majorEastAsia" w:hAnsiTheme="majorEastAsia" w:eastAsiaTheme="majorEastAsia"/>
                <w:bCs/>
                <w:sz w:val="18"/>
                <w:szCs w:val="18"/>
                <w:lang w:val="en-US" w:eastAsia="zh-CN"/>
              </w:rPr>
              <w:t>8</w:t>
            </w:r>
            <w:r>
              <w:rPr>
                <w:rFonts w:hint="eastAsia" w:asciiTheme="majorEastAsia" w:hAnsiTheme="majorEastAsia" w:eastAsiaTheme="majorEastAsia"/>
                <w:bCs/>
                <w:sz w:val="18"/>
                <w:szCs w:val="18"/>
              </w:rPr>
              <w:t>】亿元，最小成立规模为【/】亿元。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p>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bookmarkStart w:id="20" w:name="buy_begin"/>
            <w:bookmarkEnd w:id="20"/>
            <w:r>
              <w:rPr>
                <w:rFonts w:hint="eastAsia" w:asciiTheme="minorEastAsia" w:hAnsiTheme="minorEastAsia"/>
                <w:bCs/>
                <w:sz w:val="18"/>
                <w:szCs w:val="18"/>
                <w:lang w:eastAsia="zh-CN"/>
              </w:rPr>
              <w:t>【2025】年【</w:t>
            </w:r>
            <w:r>
              <w:rPr>
                <w:rFonts w:hint="eastAsia" w:asciiTheme="minorEastAsia" w:hAnsiTheme="minorEastAsia"/>
                <w:bCs/>
                <w:sz w:val="18"/>
                <w:szCs w:val="18"/>
                <w:lang w:val="en-US" w:eastAsia="zh-CN"/>
              </w:rPr>
              <w:t>12</w:t>
            </w:r>
            <w:r>
              <w:rPr>
                <w:rFonts w:hint="eastAsia" w:asciiTheme="minorEastAsia" w:hAnsiTheme="minorEastAsia"/>
                <w:bCs/>
                <w:sz w:val="18"/>
                <w:szCs w:val="18"/>
                <w:lang w:eastAsia="zh-CN"/>
              </w:rPr>
              <w:t>】月【</w:t>
            </w:r>
            <w:r>
              <w:rPr>
                <w:rFonts w:hint="eastAsia" w:asciiTheme="minorEastAsia" w:hAnsiTheme="minorEastAsia"/>
                <w:bCs/>
                <w:sz w:val="18"/>
                <w:szCs w:val="18"/>
                <w:lang w:val="en-US" w:eastAsia="zh-CN"/>
              </w:rPr>
              <w:t>15</w:t>
            </w:r>
            <w:r>
              <w:rPr>
                <w:rFonts w:hint="eastAsia" w:asciiTheme="minorEastAsia" w:hAnsiTheme="minorEastAsia"/>
                <w:bCs/>
                <w:sz w:val="18"/>
                <w:szCs w:val="18"/>
                <w:lang w:eastAsia="zh-CN"/>
              </w:rPr>
              <w:t>】日</w:t>
            </w:r>
            <w:r>
              <w:rPr>
                <w:rFonts w:hint="eastAsia" w:cs="Times New Roman" w:asciiTheme="minorEastAsia" w:hAnsiTheme="minorEastAsia"/>
                <w:sz w:val="18"/>
                <w:szCs w:val="18"/>
              </w:rPr>
              <w:t>【9:00】</w:t>
            </w:r>
            <w:r>
              <w:rPr>
                <w:rFonts w:hint="eastAsia" w:cs="仿宋_GB2312" w:asciiTheme="minorEastAsia" w:hAnsiTheme="minorEastAsia"/>
                <w:sz w:val="18"/>
                <w:szCs w:val="18"/>
              </w:rPr>
              <w:t>至</w:t>
            </w:r>
            <w:bookmarkStart w:id="21" w:name="buy_end"/>
            <w:bookmarkEnd w:id="21"/>
            <w:r>
              <w:rPr>
                <w:rFonts w:hint="eastAsia" w:cs="仿宋_GB2312" w:asciiTheme="minorEastAsia" w:hAnsiTheme="minorEastAsia"/>
                <w:sz w:val="18"/>
                <w:szCs w:val="18"/>
                <w:lang w:eastAsia="zh-CN"/>
              </w:rPr>
              <w:t>【2025】年【</w:t>
            </w:r>
            <w:r>
              <w:rPr>
                <w:rFonts w:hint="eastAsia" w:cs="仿宋_GB2312" w:asciiTheme="minorEastAsia" w:hAnsiTheme="minorEastAsia"/>
                <w:sz w:val="18"/>
                <w:szCs w:val="18"/>
                <w:lang w:val="en-US" w:eastAsia="zh-CN"/>
              </w:rPr>
              <w:t>12</w:t>
            </w:r>
            <w:r>
              <w:rPr>
                <w:rFonts w:hint="eastAsia" w:cs="仿宋_GB2312" w:asciiTheme="minorEastAsia" w:hAnsiTheme="minorEastAsia"/>
                <w:sz w:val="18"/>
                <w:szCs w:val="18"/>
                <w:lang w:eastAsia="zh-CN"/>
              </w:rPr>
              <w:t>】月【</w:t>
            </w:r>
            <w:r>
              <w:rPr>
                <w:rFonts w:hint="eastAsia" w:cs="仿宋_GB2312" w:asciiTheme="minorEastAsia" w:hAnsiTheme="minorEastAsia"/>
                <w:sz w:val="18"/>
                <w:szCs w:val="18"/>
                <w:lang w:val="en-US" w:eastAsia="zh-CN"/>
              </w:rPr>
              <w:t>16</w:t>
            </w:r>
            <w:r>
              <w:rPr>
                <w:rFonts w:hint="eastAsia" w:cs="仿宋_GB2312" w:asciiTheme="minorEastAsia" w:hAnsiTheme="minorEastAsia"/>
                <w:sz w:val="18"/>
                <w:szCs w:val="18"/>
                <w:lang w:eastAsia="zh-CN"/>
              </w:rPr>
              <w:t>】日</w:t>
            </w:r>
            <w:r>
              <w:rPr>
                <w:rFonts w:hint="eastAsia" w:asciiTheme="majorEastAsia" w:hAnsiTheme="majorEastAsia" w:eastAsiaTheme="majorEastAsia"/>
                <w:sz w:val="18"/>
                <w:szCs w:val="18"/>
              </w:rPr>
              <w:t>【</w:t>
            </w:r>
            <w:bookmarkStart w:id="22" w:name="trade_end1"/>
            <w:bookmarkEnd w:id="22"/>
            <w:r>
              <w:rPr>
                <w:rFonts w:hint="eastAsia" w:asciiTheme="majorEastAsia" w:hAnsiTheme="majorEastAsia" w:eastAsiaTheme="majorEastAsia"/>
                <w:sz w:val="18"/>
                <w:szCs w:val="18"/>
                <w:lang w:eastAsia="zh-CN"/>
              </w:rPr>
              <w:t>15:45</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bookmarkStart w:id="23" w:name="pro_start"/>
            <w:bookmarkEnd w:id="23"/>
            <w:r>
              <w:rPr>
                <w:rFonts w:hint="eastAsia" w:asciiTheme="minorEastAsia" w:hAnsiTheme="minorEastAsia"/>
                <w:bCs/>
                <w:sz w:val="18"/>
                <w:szCs w:val="18"/>
                <w:lang w:eastAsia="zh-CN"/>
              </w:rPr>
              <w:t>【2025】年【1</w:t>
            </w:r>
            <w:r>
              <w:rPr>
                <w:rFonts w:hint="eastAsia" w:asciiTheme="minorEastAsia" w:hAnsiTheme="minorEastAsia"/>
                <w:bCs/>
                <w:sz w:val="18"/>
                <w:szCs w:val="18"/>
                <w:lang w:val="en-US" w:eastAsia="zh-CN"/>
              </w:rPr>
              <w:t>2</w:t>
            </w:r>
            <w:r>
              <w:rPr>
                <w:rFonts w:hint="eastAsia" w:asciiTheme="minorEastAsia" w:hAnsiTheme="minorEastAsia"/>
                <w:bCs/>
                <w:sz w:val="18"/>
                <w:szCs w:val="18"/>
                <w:lang w:eastAsia="zh-CN"/>
              </w:rPr>
              <w:t>】月【</w:t>
            </w:r>
            <w:r>
              <w:rPr>
                <w:rFonts w:hint="eastAsia" w:asciiTheme="minorEastAsia" w:hAnsiTheme="minorEastAsia"/>
                <w:bCs/>
                <w:sz w:val="18"/>
                <w:szCs w:val="18"/>
                <w:lang w:val="en-US" w:eastAsia="zh-CN"/>
              </w:rPr>
              <w:t>17</w:t>
            </w:r>
            <w:r>
              <w:rPr>
                <w:rFonts w:hint="eastAsia" w:asciiTheme="minorEastAsia" w:hAnsiTheme="minorEastAsia"/>
                <w:bCs/>
                <w:sz w:val="18"/>
                <w:szCs w:val="18"/>
                <w:lang w:eastAsia="zh-CN"/>
              </w:rPr>
              <w:t>】日</w:t>
            </w:r>
            <w:r>
              <w:rPr>
                <w:rFonts w:hint="eastAsia" w:cs="Times New Roman" w:asciiTheme="minorEastAsia" w:hAnsiTheme="minorEastAsia"/>
                <w:sz w:val="18"/>
                <w:szCs w:val="18"/>
              </w:rPr>
              <w:t>（遇节假日顺延）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cs="Times New Roman" w:asciiTheme="minorEastAsia" w:hAnsiTheme="minorEastAsia"/>
                <w:sz w:val="18"/>
                <w:szCs w:val="18"/>
              </w:rPr>
              <w:t>】年【</w:t>
            </w:r>
            <w:r>
              <w:rPr>
                <w:rFonts w:hint="eastAsia" w:cs="Times New Roman" w:asciiTheme="minorEastAsia" w:hAnsiTheme="minorEastAsia"/>
                <w:sz w:val="18"/>
                <w:szCs w:val="18"/>
              </w:rPr>
              <w:t>/】月【/】日（遇节假日顺延）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】年【</w:t>
            </w:r>
            <w:r>
              <w:rPr>
                <w:rFonts w:hint="eastAsia" w:cs="Times New Roman" w:asciiTheme="minorEastAsia" w:hAnsiTheme="minorEastAsia"/>
                <w:sz w:val="18"/>
                <w:szCs w:val="18"/>
              </w:rPr>
              <w:t>/】月【/】日</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cs="Times New Roman" w:asciiTheme="minorEastAsia" w:hAnsiTheme="minorEastAsia"/>
                <w:sz w:val="18"/>
                <w:szCs w:val="18"/>
              </w:rPr>
              <w:t>】年【</w:t>
            </w:r>
            <w:r>
              <w:rPr>
                <w:rFonts w:hint="eastAsia" w:cs="Times New Roman" w:asciiTheme="minorEastAsia" w:hAnsiTheme="minorEastAsia"/>
                <w:sz w:val="18"/>
                <w:szCs w:val="18"/>
              </w:rPr>
              <w:t>/】月【/】日</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inorEastAsia" w:hAnsiTheme="minorEastAsia"/>
                <w:sz w:val="18"/>
                <w:szCs w:val="18"/>
              </w:rPr>
              <w:t>本产品最短持有期为【</w:t>
            </w:r>
            <w:bookmarkStart w:id="24" w:name="holdings1"/>
            <w:bookmarkEnd w:id="24"/>
            <w:r>
              <w:rPr>
                <w:rFonts w:hint="eastAsia" w:asciiTheme="minorEastAsia" w:hAnsiTheme="minorEastAsia"/>
                <w:sz w:val="18"/>
                <w:szCs w:val="18"/>
                <w:lang w:eastAsia="zh-CN"/>
              </w:rPr>
              <w:t>30</w:t>
            </w:r>
            <w:r>
              <w:rPr>
                <w:rFonts w:hint="eastAsia" w:asciiTheme="minorEastAsia" w:hAnsiTheme="minorEastAsia"/>
                <w:sz w:val="18"/>
                <w:szCs w:val="18"/>
              </w:rPr>
              <w:t>】个自然日。</w:t>
            </w:r>
            <w:r>
              <w:rPr>
                <w:rFonts w:hint="eastAsia" w:asciiTheme="majorEastAsia" w:hAnsiTheme="majorEastAsia" w:eastAsiaTheme="majorEastAsia"/>
                <w:bCs/>
                <w:sz w:val="18"/>
                <w:szCs w:val="18"/>
              </w:rPr>
              <w:t>自产品成立日/申购确认日起第【</w:t>
            </w:r>
            <w:bookmarkStart w:id="25" w:name="holdings2"/>
            <w:bookmarkEnd w:id="25"/>
            <w:r>
              <w:rPr>
                <w:rFonts w:hint="eastAsia" w:asciiTheme="majorEastAsia" w:hAnsiTheme="majorEastAsia" w:eastAsiaTheme="majorEastAsia"/>
                <w:bCs/>
                <w:sz w:val="18"/>
                <w:szCs w:val="18"/>
                <w:lang w:eastAsia="zh-CN"/>
              </w:rPr>
              <w:t>30</w:t>
            </w:r>
            <w:r>
              <w:rPr>
                <w:rFonts w:hint="eastAsia" w:asciiTheme="majorEastAsia" w:hAnsiTheme="majorEastAsia" w:eastAsiaTheme="majorEastAsia"/>
                <w:bCs/>
                <w:sz w:val="18"/>
                <w:szCs w:val="18"/>
              </w:rPr>
              <w:t>】个自然日内（不含当日）投资者不能赎回该产品份额，自产品成立日/申购确认日起第【</w:t>
            </w:r>
            <w:bookmarkStart w:id="26" w:name="holdings3"/>
            <w:bookmarkEnd w:id="26"/>
            <w:r>
              <w:rPr>
                <w:rFonts w:hint="eastAsia" w:asciiTheme="majorEastAsia" w:hAnsiTheme="majorEastAsia" w:eastAsiaTheme="majorEastAsia"/>
                <w:bCs/>
                <w:sz w:val="18"/>
                <w:szCs w:val="18"/>
                <w:lang w:eastAsia="zh-CN"/>
              </w:rPr>
              <w:t>30</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bookmarkStart w:id="27" w:name="trade_end2"/>
            <w:bookmarkEnd w:id="27"/>
            <w:r>
              <w:rPr>
                <w:rFonts w:hint="eastAsia" w:cs="Times New Roman" w:asciiTheme="minorEastAsia" w:hAnsiTheme="min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bookmarkStart w:id="28" w:name="trade_end3"/>
            <w:bookmarkEnd w:id="28"/>
            <w:r>
              <w:rPr>
                <w:rFonts w:hint="eastAsia" w:cs="Times New Roman" w:asciiTheme="minorEastAsia" w:hAnsiTheme="min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产品管理人在申购日后【2】个工作日内对投资者的申购申请的有效性进行确认，并登记理财份额。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bookmarkStart w:id="29" w:name="trade_end4"/>
            <w:bookmarkEnd w:id="29"/>
            <w:r>
              <w:rPr>
                <w:rFonts w:hint="eastAsia" w:cs="Times New Roman" w:asciiTheme="minorEastAsia" w:hAnsiTheme="min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w:t>
            </w:r>
            <w:r>
              <w:rPr>
                <w:rFonts w:hint="eastAsia" w:asciiTheme="minorEastAsia" w:hAnsiTheme="minorEastAsia" w:eastAsiaTheme="minorEastAsia"/>
                <w:sz w:val="18"/>
                <w:szCs w:val="18"/>
                <w:lang w:val="en-US" w:eastAsia="zh-CN"/>
              </w:rPr>
              <w:t>赎回</w:t>
            </w:r>
            <w:r>
              <w:rPr>
                <w:rFonts w:hint="eastAsia" w:asciiTheme="minorEastAsia" w:hAnsiTheme="minorEastAsia" w:eastAsiaTheme="minorEastAsia"/>
                <w:sz w:val="18"/>
                <w:szCs w:val="18"/>
              </w:rPr>
              <w:t>申请的，提交当日为</w:t>
            </w:r>
            <w:r>
              <w:rPr>
                <w:rFonts w:hint="eastAsia" w:asciiTheme="minorEastAsia" w:hAnsiTheme="minorEastAsia" w:eastAsiaTheme="minorEastAsia"/>
                <w:sz w:val="18"/>
                <w:szCs w:val="18"/>
                <w:lang w:val="en-US" w:eastAsia="zh-CN"/>
              </w:rPr>
              <w:t>赎回</w:t>
            </w:r>
            <w:r>
              <w:rPr>
                <w:rFonts w:hint="eastAsia" w:asciiTheme="minorEastAsia" w:hAnsiTheme="minorEastAsia" w:eastAsiaTheme="minorEastAsia"/>
                <w:sz w:val="18"/>
                <w:szCs w:val="18"/>
              </w:rPr>
              <w:t>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bookmarkStart w:id="30" w:name="trade_end5"/>
            <w:bookmarkEnd w:id="30"/>
            <w:r>
              <w:rPr>
                <w:rFonts w:hint="eastAsia" w:cs="Times New Roman" w:asciiTheme="minorEastAsia" w:hAnsiTheme="min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w:t>
            </w:r>
            <w:r>
              <w:rPr>
                <w:rFonts w:hint="eastAsia" w:asciiTheme="minorEastAsia" w:hAnsiTheme="minorEastAsia" w:eastAsiaTheme="minorEastAsia"/>
                <w:sz w:val="18"/>
                <w:szCs w:val="18"/>
                <w:lang w:val="en-US" w:eastAsia="zh-CN"/>
              </w:rPr>
              <w:t>赎回</w:t>
            </w:r>
            <w:r>
              <w:rPr>
                <w:rFonts w:hint="eastAsia" w:asciiTheme="minorEastAsia" w:hAnsiTheme="minorEastAsia" w:eastAsiaTheme="minorEastAsia"/>
                <w:sz w:val="18"/>
                <w:szCs w:val="18"/>
              </w:rPr>
              <w:t>申请的，下一个工作日为</w:t>
            </w:r>
            <w:r>
              <w:rPr>
                <w:rFonts w:hint="eastAsia" w:asciiTheme="minorEastAsia" w:hAnsiTheme="minorEastAsia" w:eastAsiaTheme="minorEastAsia"/>
                <w:sz w:val="18"/>
                <w:szCs w:val="18"/>
                <w:lang w:val="en-US" w:eastAsia="zh-CN"/>
              </w:rPr>
              <w:t>赎回</w:t>
            </w:r>
            <w:r>
              <w:rPr>
                <w:rFonts w:hint="eastAsia" w:asciiTheme="minorEastAsia" w:hAnsiTheme="minorEastAsia" w:eastAsiaTheme="minorEastAsia"/>
                <w:sz w:val="18"/>
                <w:szCs w:val="18"/>
              </w:rPr>
              <w:t>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产品管理人在赎回日后【2】个工作日内对投资者的赎回申请的有效性进行确认，并注销理财份额。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日后【3】个工作日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bookmarkStart w:id="31" w:name="sale_start"/>
            <w:bookmarkEnd w:id="31"/>
            <w:r>
              <w:rPr>
                <w:rFonts w:hint="eastAsia" w:asciiTheme="majorEastAsia" w:hAnsiTheme="majorEastAsia" w:eastAsiaTheme="majorEastAsia"/>
                <w:bCs/>
                <w:sz w:val="18"/>
                <w:szCs w:val="18"/>
                <w:lang w:eastAsia="zh-CN"/>
              </w:rPr>
              <w:t>1.00</w:t>
            </w:r>
            <w:r>
              <w:rPr>
                <w:rFonts w:hint="eastAsia" w:asciiTheme="majorEastAsia" w:hAnsiTheme="majorEastAsia" w:eastAsiaTheme="majorEastAsia"/>
                <w:bCs/>
                <w:sz w:val="18"/>
                <w:szCs w:val="18"/>
              </w:rPr>
              <w:t>】元；超出起点金额的部分以【</w:t>
            </w:r>
            <w:bookmarkStart w:id="32" w:name="increase"/>
            <w:bookmarkEnd w:id="32"/>
            <w:r>
              <w:rPr>
                <w:rFonts w:hint="eastAsia" w:asciiTheme="majorEastAsia" w:hAnsiTheme="majorEastAsia" w:eastAsiaTheme="majorEastAsia"/>
                <w:bCs/>
                <w:sz w:val="18"/>
                <w:szCs w:val="18"/>
                <w:lang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适用【D】类份额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asciiTheme="minorEastAsia" w:hAnsiTheme="minorEastAsia" w:eastAsiaTheme="minorEastAsia"/>
                <w:color w:val="auto"/>
                <w:sz w:val="18"/>
                <w:szCs w:val="18"/>
              </w:rPr>
              <w:t>/</w:t>
            </w:r>
            <w:r>
              <w:rPr>
                <w:rFonts w:hint="eastAsia" w:hAnsi="宋体"/>
                <w:bCs/>
                <w:sz w:val="18"/>
                <w:szCs w:val="18"/>
              </w:rPr>
              <w:t>】类份额）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Cs/>
                <w:sz w:val="18"/>
                <w:szCs w:val="18"/>
              </w:rPr>
            </w:pPr>
            <w:r>
              <w:rPr>
                <w:rFonts w:hint="eastAsia" w:hAnsi="宋体"/>
                <w:bCs/>
                <w:sz w:val="18"/>
                <w:szCs w:val="18"/>
              </w:rPr>
              <w:t>（</w:t>
            </w:r>
            <w:r>
              <w:rPr>
                <w:rFonts w:hint="eastAsia" w:hAnsi="宋体"/>
                <w:bCs/>
                <w:sz w:val="18"/>
                <w:szCs w:val="18"/>
                <w:lang w:eastAsia="zh-CN"/>
              </w:rPr>
              <w:t>适用【D】类份额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Cs/>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bCs/>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p>
          <w:p>
            <w:pPr>
              <w:autoSpaceDE w:val="0"/>
              <w:autoSpaceDN w:val="0"/>
              <w:adjustRightInd w:val="0"/>
              <w:spacing w:line="360" w:lineRule="auto"/>
              <w:jc w:val="left"/>
              <w:rPr>
                <w:rFonts w:hint="eastAsia" w:asciiTheme="majorEastAsia" w:hAnsiTheme="majorEastAsia" w:eastAsiaTheme="majorEastAsia"/>
                <w:bCs/>
                <w:kern w:val="0"/>
                <w:sz w:val="18"/>
                <w:szCs w:val="18"/>
                <w:lang w:eastAsia="zh-CN"/>
              </w:rPr>
            </w:pPr>
            <w:bookmarkStart w:id="33" w:name="performance"/>
            <w:bookmarkEnd w:id="33"/>
            <w:r>
              <w:rPr>
                <w:rFonts w:hint="eastAsia" w:asciiTheme="majorEastAsia" w:hAnsiTheme="majorEastAsia" w:eastAsiaTheme="majorEastAsia"/>
                <w:bCs/>
                <w:kern w:val="0"/>
                <w:sz w:val="18"/>
                <w:szCs w:val="18"/>
                <w:lang w:eastAsia="zh-CN"/>
              </w:rPr>
              <w:t>【中债-新综合全价(1年以下)指数收益率*60%+人民银行7天通知存款利率*40%】（适用【D】类份额）</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hint="eastAsia" w:ascii="宋体" w:hAnsi="宋体"/>
                <w:bCs/>
                <w:sz w:val="18"/>
              </w:rPr>
              <w:t>/</w:t>
            </w:r>
            <w:r>
              <w:rPr>
                <w:rFonts w:hint="eastAsia" w:hAnsi="宋体"/>
                <w:bCs/>
                <w:sz w:val="18"/>
                <w:szCs w:val="18"/>
              </w:rPr>
              <w:t>】类份额）</w:t>
            </w:r>
          </w:p>
          <w:p>
            <w:pPr>
              <w:spacing w:line="360" w:lineRule="auto"/>
              <w:jc w:val="left"/>
              <w:rPr>
                <w:rFonts w:ascii="宋体" w:hAnsi="宋体"/>
                <w:bCs/>
                <w:sz w:val="18"/>
                <w:szCs w:val="18"/>
              </w:rPr>
            </w:pPr>
            <w:r>
              <w:rPr>
                <w:rFonts w:ascii="宋体"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 xml:space="preserve">■ </w:t>
            </w:r>
            <w:r>
              <w:rPr>
                <w:rFonts w:hint="eastAsia" w:asciiTheme="majorEastAsia" w:hAnsiTheme="majorEastAsia" w:eastAsiaTheme="majorEastAsia"/>
                <w:bCs/>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适用【D】类份额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stheme="minorEastAsia"/>
                <w:color w:val="000000" w:themeColor="text1"/>
                <w:sz w:val="18"/>
                <w:szCs w:val="18"/>
                <w14:textFill>
                  <w14:solidFill>
                    <w14:schemeClr w14:val="tx1"/>
                  </w14:solidFill>
                </w14:textFill>
              </w:rPr>
            </w:pPr>
            <w:r>
              <w:rPr>
                <w:rFonts w:ascii="黑体" w:hAnsi="黑体" w:eastAsia="黑体" w:cstheme="minorEastAsia"/>
                <w:color w:val="000000" w:themeColor="text1"/>
                <w:sz w:val="18"/>
                <w:szCs w:val="18"/>
                <w14:textFill>
                  <w14:solidFill>
                    <w14:schemeClr w14:val="tx1"/>
                  </w14:solidFill>
                </w14:textFill>
              </w:rPr>
              <w:t>1.</w:t>
            </w:r>
            <w:r>
              <w:rPr>
                <w:rFonts w:hint="eastAsia" w:ascii="黑体" w:hAnsi="黑体" w:eastAsia="黑体" w:cstheme="minorEastAsia"/>
                <w:color w:val="000000" w:themeColor="text1"/>
                <w:sz w:val="18"/>
                <w:szCs w:val="18"/>
                <w14:textFill>
                  <w14:solidFill>
                    <w14:schemeClr w14:val="tx1"/>
                  </w14:solidFill>
                </w14:textFill>
              </w:rPr>
              <w:t>理财产品的费率标准</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1）认购费：</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2）申购费：</w:t>
            </w: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3）赎回费：</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4）销售服</w:t>
            </w:r>
            <w:r>
              <w:rPr>
                <w:rFonts w:hint="eastAsia" w:ascii="黑体" w:hAnsi="黑体" w:eastAsia="黑体" w:cs="黑体"/>
                <w:color w:val="000000" w:themeColor="text1"/>
                <w:sz w:val="18"/>
                <w:szCs w:val="18"/>
                <w14:textFill>
                  <w14:solidFill>
                    <w14:schemeClr w14:val="tx1"/>
                  </w14:solidFill>
                </w14:textFill>
              </w:rPr>
              <w:t>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【0.40%】</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5）投资管理费：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【0.30%</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6）产品托管费：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【0.03%</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widowControl/>
              <w:spacing w:line="360" w:lineRule="auto"/>
              <w:jc w:val="left"/>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作为超额业绩报酬。</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34" w:name="_Toc79154666"/>
      <w:bookmarkStart w:id="35" w:name="_Toc10659"/>
      <w:bookmarkStart w:id="36" w:name="_Toc92377132"/>
      <w:bookmarkStart w:id="37" w:name="_Toc21959"/>
      <w:bookmarkStart w:id="38" w:name="_Toc4403"/>
      <w:r>
        <w:rPr>
          <w:rFonts w:ascii="Times New Roman"/>
          <w:sz w:val="30"/>
        </w:rPr>
        <w:t>第</w:t>
      </w:r>
      <w:r>
        <w:rPr>
          <w:rFonts w:hint="eastAsia" w:ascii="Times New Roman"/>
          <w:sz w:val="30"/>
        </w:rPr>
        <w:t>三条</w:t>
      </w:r>
      <w:r>
        <w:rPr>
          <w:rFonts w:ascii="Times New Roman"/>
          <w:sz w:val="30"/>
        </w:rPr>
        <w:t xml:space="preserve">  </w:t>
      </w:r>
      <w:bookmarkStart w:id="39" w:name="_Toc79392573"/>
      <w:r>
        <w:rPr>
          <w:rFonts w:hint="eastAsia" w:ascii="Times New Roman"/>
          <w:sz w:val="30"/>
        </w:rPr>
        <w:t>理财产品的认购</w:t>
      </w:r>
      <w:bookmarkEnd w:id="34"/>
      <w:bookmarkEnd w:id="35"/>
      <w:bookmarkEnd w:id="36"/>
      <w:bookmarkEnd w:id="37"/>
      <w:bookmarkEnd w:id="38"/>
    </w:p>
    <w:p>
      <w:pPr>
        <w:spacing w:line="360" w:lineRule="auto"/>
        <w:ind w:firstLine="361" w:firstLineChars="200"/>
        <w:rPr>
          <w:rFonts w:asciiTheme="minorEastAsia" w:hAnsiTheme="minorEastAsia"/>
          <w:b/>
          <w:bCs/>
          <w:sz w:val="18"/>
          <w:szCs w:val="18"/>
        </w:rPr>
      </w:pPr>
      <w:bookmarkStart w:id="40" w:name="_Hlt88031774"/>
      <w:bookmarkEnd w:id="40"/>
      <w:bookmarkStart w:id="41"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42" w:name="_Toc79154667"/>
      <w:bookmarkStart w:id="43" w:name="_Toc29856"/>
      <w:bookmarkStart w:id="44" w:name="_Toc32177"/>
      <w:bookmarkStart w:id="45" w:name="_Toc6529"/>
      <w:bookmarkStart w:id="46" w:name="_Toc92377133"/>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42"/>
      <w:bookmarkEnd w:id="43"/>
      <w:bookmarkEnd w:id="44"/>
      <w:bookmarkEnd w:id="45"/>
      <w:bookmarkEnd w:id="46"/>
    </w:p>
    <w:bookmarkEnd w:id="41"/>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39"/>
    <w:p>
      <w:pPr>
        <w:pStyle w:val="2"/>
        <w:spacing w:before="0" w:after="0" w:line="360" w:lineRule="auto"/>
        <w:jc w:val="center"/>
        <w:rPr>
          <w:rFonts w:ascii="Times New Roman"/>
          <w:sz w:val="30"/>
        </w:rPr>
      </w:pPr>
      <w:bookmarkStart w:id="47" w:name="_Toc92377134"/>
      <w:bookmarkStart w:id="48" w:name="_Toc90742321"/>
      <w:bookmarkStart w:id="49" w:name="_Toc27226"/>
      <w:bookmarkStart w:id="50" w:name="_Toc27189"/>
      <w:bookmarkStart w:id="51" w:name="_Toc23413"/>
      <w:bookmarkStart w:id="52" w:name="_Toc90742390"/>
      <w:bookmarkStart w:id="53" w:name="_Toc74065741"/>
      <w:bookmarkStart w:id="54" w:name="_Toc6714"/>
      <w:bookmarkStart w:id="55" w:name="_Toc12517"/>
      <w:bookmarkStart w:id="56" w:name="_Toc79154668"/>
      <w:bookmarkStart w:id="57" w:name="_Toc7151"/>
      <w:bookmarkStart w:id="58" w:name="_Toc29784"/>
      <w:bookmarkStart w:id="59" w:name="_Toc90742688"/>
      <w:bookmarkStart w:id="60" w:name="_Toc15203"/>
      <w:bookmarkStart w:id="61" w:name="_Toc16265"/>
      <w:bookmarkStart w:id="62" w:name="_Toc25685"/>
      <w:bookmarkStart w:id="63" w:name="_Toc29948"/>
      <w:bookmarkStart w:id="64" w:name="_Toc22074"/>
      <w:bookmarkStart w:id="65" w:name="_Toc3266"/>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w:t>
      </w:r>
      <w:bookmarkStart w:id="218" w:name="_GoBack"/>
      <w:bookmarkEnd w:id="218"/>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本产品投资于债权类资产的比例不低于产品总资产的80%。</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kern w:val="0"/>
          <w:sz w:val="18"/>
          <w:szCs w:val="18"/>
        </w:rPr>
      </w:pPr>
      <w:permStart w:id="18" w:edGrp="everyone"/>
      <w:r>
        <w:rPr>
          <w:rFonts w:hint="eastAsia" w:asciiTheme="majorEastAsia" w:hAnsiTheme="majorEastAsia" w:eastAsiaTheme="majorEastAsia"/>
          <w:bCs/>
          <w:kern w:val="0"/>
          <w:sz w:val="18"/>
          <w:szCs w:val="18"/>
        </w:rPr>
        <w:t>（1）每只公募理财产品投资单只证券或者单只公募证券投资基金的市值不得超过该理财产品净资产的10%。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（4）全部开放式公募理财产品投资单一上市公司发行的股票不得超过该上市公司可流通股票的15%。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监管部门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（8）本产品因为流动性需要可开展存单质押、债券正回购等融资业务，本产品总资产不超过净资产的140%。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9"/>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66" w:name="_Toc27967"/>
      <w:bookmarkStart w:id="67" w:name="_Toc26986"/>
      <w:bookmarkStart w:id="68" w:name="_Toc5702"/>
      <w:bookmarkStart w:id="69" w:name="_Toc141703885"/>
      <w:bookmarkStart w:id="70" w:name="_Toc21988"/>
      <w:bookmarkStart w:id="71" w:name="_Toc31087"/>
      <w:bookmarkStart w:id="72" w:name="_Toc18329"/>
      <w:bookmarkStart w:id="73" w:name="_Toc74065742"/>
      <w:bookmarkStart w:id="74" w:name="_Toc4741"/>
      <w:bookmarkStart w:id="75" w:name="_Toc18526"/>
      <w:bookmarkStart w:id="76" w:name="_Toc18797"/>
      <w:bookmarkStart w:id="77" w:name="_Toc1823"/>
      <w:bookmarkStart w:id="78" w:name="_Toc17912"/>
      <w:bookmarkStart w:id="79" w:name="_Toc92377135"/>
      <w:bookmarkStart w:id="80" w:name="_Toc79154669"/>
      <w:bookmarkStart w:id="81" w:name="_Toc139991735"/>
      <w:bookmarkStart w:id="82" w:name="_Toc7848"/>
      <w:bookmarkStart w:id="83" w:name="_Toc14893"/>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pPr>
        <w:pStyle w:val="34"/>
        <w:spacing w:line="360" w:lineRule="auto"/>
        <w:ind w:firstLine="361" w:firstLineChars="200"/>
        <w:rPr>
          <w:rFonts w:asciiTheme="majorEastAsia" w:hAnsiTheme="majorEastAsia" w:eastAsiaTheme="majorEastAsia"/>
          <w:b/>
          <w:color w:val="auto"/>
          <w:sz w:val="18"/>
          <w:szCs w:val="18"/>
        </w:rPr>
      </w:pPr>
      <w:bookmarkStart w:id="84"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84"/>
    <w:p>
      <w:pPr>
        <w:pStyle w:val="2"/>
        <w:spacing w:before="0" w:after="0" w:line="360" w:lineRule="auto"/>
        <w:jc w:val="center"/>
        <w:rPr>
          <w:rFonts w:ascii="Times New Roman"/>
          <w:sz w:val="28"/>
          <w:szCs w:val="28"/>
        </w:rPr>
      </w:pPr>
      <w:bookmarkStart w:id="85" w:name="_Toc83391971"/>
      <w:bookmarkStart w:id="86" w:name="_Toc92377136"/>
      <w:bookmarkStart w:id="87" w:name="_Toc11152"/>
      <w:bookmarkStart w:id="88" w:name="_Toc13903"/>
      <w:bookmarkStart w:id="89" w:name="_Toc19132"/>
      <w:bookmarkStart w:id="90" w:name="_Toc123051452"/>
      <w:bookmarkStart w:id="91" w:name="_Toc17244"/>
      <w:bookmarkStart w:id="92" w:name="_Toc141703886"/>
      <w:bookmarkStart w:id="93" w:name="_Toc7920"/>
      <w:bookmarkStart w:id="94" w:name="_Toc20733"/>
      <w:bookmarkStart w:id="95" w:name="_Toc610"/>
      <w:bookmarkStart w:id="96" w:name="_Toc1270"/>
      <w:bookmarkStart w:id="97" w:name="_Toc23822"/>
      <w:bookmarkStart w:id="98" w:name="_Toc139991736"/>
      <w:bookmarkStart w:id="99" w:name="_Toc48649707"/>
      <w:bookmarkStart w:id="100" w:name="_Toc123112234"/>
      <w:bookmarkStart w:id="101" w:name="_Toc79154670"/>
      <w:bookmarkStart w:id="102" w:name="_Toc10463"/>
      <w:bookmarkStart w:id="103" w:name="_Toc23261"/>
      <w:bookmarkStart w:id="104" w:name="_Toc79392606"/>
      <w:bookmarkStart w:id="105" w:name="_Toc4003"/>
      <w:bookmarkStart w:id="106" w:name="_Toc123102453"/>
      <w:bookmarkStart w:id="107" w:name="_Toc1427"/>
      <w:bookmarkStart w:id="108" w:name="_Toc98560352"/>
      <w:bookmarkStart w:id="109" w:name="_Toc74065743"/>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85"/>
      <w:bookmarkEnd w:id="86"/>
      <w:bookmarkEnd w:id="87"/>
      <w:bookmarkEnd w:id="88"/>
      <w:bookmarkEnd w:id="89"/>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，每个【工作日】进行一次估值</w:t>
      </w:r>
      <w:r>
        <w:rPr>
          <w:rFonts w:hint="eastAsia" w:asciiTheme="minorEastAsia" w:hAnsiTheme="minorEastAsia" w:eastAsiaTheme="minorEastAsia"/>
          <w:color w:val="2E3033"/>
          <w:sz w:val="18"/>
          <w:szCs w:val="18"/>
        </w:rPr>
        <w:t>。</w:t>
      </w:r>
    </w:p>
    <w:permEnd w:id="20"/>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标准化债权类</w:t>
      </w:r>
      <w:r>
        <w:rPr>
          <w:rFonts w:asciiTheme="majorEastAsia" w:hAnsiTheme="majorEastAsia" w:eastAsiaTheme="majorEastAsia"/>
          <w:bCs/>
          <w:color w:val="auto"/>
          <w:sz w:val="18"/>
          <w:szCs w:val="18"/>
        </w:rPr>
        <w:t>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hAnsi="宋体"/>
          <w:sz w:val="18"/>
          <w:szCs w:val="18"/>
        </w:rPr>
      </w:pPr>
      <w:r>
        <w:rPr>
          <w:rFonts w:hint="eastAsia" w:hAnsi="宋体"/>
          <w:sz w:val="18"/>
          <w:szCs w:val="18"/>
        </w:rPr>
        <w:t>（2）对已发行但未上市流通，且第三方估值机构未提供估值数据的标准化债权类资产，</w:t>
      </w:r>
      <w:r>
        <w:rPr>
          <w:rFonts w:hint="eastAsia" w:asciiTheme="majorEastAsia" w:hAnsiTheme="majorEastAsia" w:eastAsiaTheme="majorEastAsia"/>
          <w:bCs/>
          <w:color w:val="auto"/>
          <w:sz w:val="18"/>
          <w:szCs w:val="18"/>
        </w:rPr>
        <w:t>采用当前情况下适用并且有足够可利用数据和其他信息支持的估值技术确定其公允价值。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asciiTheme="majorEastAsia" w:hAnsiTheme="majorEastAsia" w:eastAsiaTheme="majorEastAsia"/>
          <w:bCs/>
          <w:color w:val="auto"/>
          <w:sz w:val="18"/>
          <w:szCs w:val="18"/>
        </w:rPr>
        <w:t>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bCs/>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4.上市公司股票</w:t>
      </w:r>
      <w:r>
        <w:rPr>
          <w:rFonts w:hint="eastAsia" w:asciiTheme="majorEastAsia" w:hAnsiTheme="majorEastAsia" w:eastAsiaTheme="majorEastAsia"/>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1)本产品投资的境内非货币市场基金，按所投资基金估值日的基金份额净值估值；估值日基金净值未公布的，以基金管理人最近公布的基金份额净值计算。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2)本产品投资的境内上市开放式基金（LOF），按所投资基金估值日的基金份额净值估值；估值日基金净值未公布的，以基金管理人最近公布的基金份额净值计算。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asciiTheme="minorEastAsia" w:hAnsiTheme="minorEastAsia" w:eastAsiaTheme="minorEastAsia"/>
          <w:color w:val="auto"/>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pPr>
        <w:pStyle w:val="34"/>
        <w:spacing w:line="360" w:lineRule="auto"/>
        <w:ind w:firstLine="360" w:firstLineChars="200"/>
        <w:rPr>
          <w:rFonts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r>
        <w:rPr>
          <w:rFonts w:asciiTheme="minorEastAsia" w:hAnsiTheme="minorEastAsia" w:eastAsiaTheme="minorEastAsia"/>
          <w:color w:val="auto"/>
          <w:sz w:val="18"/>
          <w:szCs w:val="18"/>
        </w:rPr>
        <w:t xml:space="preserve"> </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Pr>
        <w:pStyle w:val="2"/>
        <w:spacing w:before="0" w:after="0" w:line="360" w:lineRule="auto"/>
        <w:ind w:left="60" w:firstLine="10"/>
        <w:jc w:val="center"/>
        <w:rPr>
          <w:rFonts w:ascii="Times New Roman"/>
          <w:sz w:val="30"/>
        </w:rPr>
      </w:pPr>
      <w:bookmarkStart w:id="110" w:name="_Hlt70481650"/>
      <w:bookmarkEnd w:id="110"/>
      <w:bookmarkStart w:id="111" w:name="_Toc29251"/>
      <w:bookmarkStart w:id="112" w:name="_Toc92377137"/>
      <w:bookmarkStart w:id="113" w:name="_Toc6405"/>
      <w:bookmarkStart w:id="114" w:name="_Toc79154671"/>
      <w:bookmarkStart w:id="115" w:name="_Toc74065744"/>
      <w:bookmarkStart w:id="116" w:name="_Toc123102454"/>
      <w:bookmarkStart w:id="117" w:name="_Toc3601"/>
      <w:bookmarkStart w:id="118" w:name="_Toc141703887"/>
      <w:bookmarkStart w:id="119" w:name="_Toc98560353"/>
      <w:bookmarkStart w:id="120" w:name="_Toc14835"/>
      <w:bookmarkStart w:id="121" w:name="_Toc4020"/>
      <w:bookmarkStart w:id="122" w:name="_Toc8695"/>
      <w:bookmarkStart w:id="123" w:name="_Toc123112235"/>
      <w:bookmarkStart w:id="124" w:name="_Toc8045"/>
      <w:bookmarkStart w:id="125" w:name="_Toc139991737"/>
      <w:bookmarkStart w:id="126" w:name="_Toc26207"/>
      <w:bookmarkStart w:id="127" w:name="_Toc15143"/>
      <w:bookmarkStart w:id="128" w:name="_Toc31653"/>
      <w:bookmarkStart w:id="129" w:name="_Toc31235"/>
      <w:bookmarkStart w:id="130" w:name="_Toc12245"/>
      <w:bookmarkStart w:id="131" w:name="_Toc123051453"/>
      <w:bookmarkStart w:id="132" w:name="_Toc31644"/>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Start w:id="133" w:name="_Hlt55355235"/>
      <w:bookmarkEnd w:id="133"/>
      <w:bookmarkStart w:id="134" w:name="_Toc79392580"/>
      <w:bookmarkStart w:id="135" w:name="_Toc57530239"/>
      <w:bookmarkStart w:id="136" w:name="_Toc15118234"/>
      <w:bookmarkStart w:id="137" w:name="_Toc523711668"/>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color w:val="auto"/>
          <w:sz w:val="18"/>
          <w:szCs w:val="18"/>
        </w:rPr>
      </w:pPr>
      <w:permStart w:id="21" w:edGrp="everyone"/>
      <w:r>
        <w:rPr>
          <w:rFonts w:hAnsi="宋体"/>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Ansi="宋体"/>
          <w:color w:val="auto"/>
          <w:sz w:val="18"/>
          <w:szCs w:val="18"/>
        </w:rPr>
        <w:t>3.理财产品存续期间，产品管理人有权视理财产品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outlineLvl w:val="2"/>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ermEnd w:id="22"/>
    </w:p>
    <w:p>
      <w:pPr>
        <w:widowControl/>
        <w:spacing w:line="360" w:lineRule="auto"/>
        <w:jc w:val="left"/>
        <w:rPr>
          <w:rFonts w:ascii="宋体" w:hAnsi="宋体"/>
          <w:kern w:val="0"/>
          <w:sz w:val="18"/>
          <w:szCs w:val="18"/>
        </w:rPr>
      </w:pPr>
      <w:r>
        <w:rPr>
          <w:rFonts w:hAnsi="宋体"/>
          <w:sz w:val="18"/>
          <w:szCs w:val="18"/>
        </w:rPr>
        <w:br w:type="page"/>
      </w:r>
    </w:p>
    <w:bookmarkEnd w:id="134"/>
    <w:bookmarkEnd w:id="135"/>
    <w:bookmarkEnd w:id="136"/>
    <w:bookmarkEnd w:id="137"/>
    <w:p>
      <w:pPr>
        <w:pStyle w:val="2"/>
        <w:spacing w:before="0" w:after="0" w:line="360" w:lineRule="auto"/>
        <w:jc w:val="center"/>
        <w:rPr>
          <w:rFonts w:ascii="Times New Roman"/>
          <w:sz w:val="30"/>
        </w:rPr>
      </w:pPr>
      <w:bookmarkStart w:id="138" w:name="_Hlt88897298"/>
      <w:bookmarkEnd w:id="138"/>
      <w:bookmarkStart w:id="139" w:name="_Hlt88825574"/>
      <w:bookmarkEnd w:id="139"/>
      <w:bookmarkStart w:id="140" w:name="_Toc4559"/>
      <w:bookmarkStart w:id="141" w:name="_Toc123112236"/>
      <w:bookmarkStart w:id="142" w:name="_Toc141703888"/>
      <w:bookmarkStart w:id="143" w:name="_Toc25783"/>
      <w:bookmarkStart w:id="144" w:name="_Toc1043"/>
      <w:bookmarkStart w:id="145" w:name="_Toc6394"/>
      <w:bookmarkStart w:id="146" w:name="_Toc18567"/>
      <w:bookmarkStart w:id="147" w:name="_Toc22998"/>
      <w:bookmarkStart w:id="148" w:name="_Toc7058"/>
      <w:bookmarkStart w:id="149" w:name="_Toc74065745"/>
      <w:bookmarkStart w:id="150" w:name="_Toc79392583"/>
      <w:bookmarkStart w:id="151" w:name="_Toc3771"/>
      <w:bookmarkStart w:id="152" w:name="_Toc92377138"/>
      <w:bookmarkStart w:id="153" w:name="_Toc11030"/>
      <w:bookmarkStart w:id="154" w:name="_Toc10650"/>
      <w:bookmarkStart w:id="155" w:name="_Toc6447"/>
      <w:bookmarkStart w:id="156" w:name="_Toc98560354"/>
      <w:bookmarkStart w:id="157" w:name="_Toc9706"/>
      <w:bookmarkStart w:id="158" w:name="_Toc123102455"/>
      <w:bookmarkStart w:id="159" w:name="_Toc79154672"/>
      <w:bookmarkStart w:id="160" w:name="_Toc123051454"/>
      <w:bookmarkStart w:id="161" w:name="_Toc139991738"/>
      <w:bookmarkStart w:id="162" w:name="_Toc3321"/>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3"/>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63" w:name="_Toc3963"/>
      <w:bookmarkStart w:id="164" w:name="_Toc1745"/>
      <w:r>
        <w:br w:type="page"/>
      </w:r>
      <w:bookmarkStart w:id="165" w:name="_Toc123102456"/>
      <w:bookmarkStart w:id="166" w:name="_Toc123112237"/>
      <w:bookmarkStart w:id="167" w:name="_Toc74065746"/>
      <w:bookmarkStart w:id="168" w:name="_Toc3572"/>
      <w:bookmarkStart w:id="169" w:name="_Toc16164"/>
      <w:bookmarkStart w:id="170" w:name="_Toc79154673"/>
      <w:bookmarkStart w:id="171" w:name="_Toc139991739"/>
      <w:bookmarkStart w:id="172" w:name="_Toc21735"/>
      <w:bookmarkStart w:id="173" w:name="_Toc725"/>
      <w:bookmarkStart w:id="174" w:name="_Toc25397"/>
      <w:bookmarkStart w:id="175" w:name="_Toc18206"/>
      <w:bookmarkStart w:id="176" w:name="_Toc5388"/>
      <w:bookmarkStart w:id="177" w:name="_Toc92377139"/>
      <w:bookmarkStart w:id="178" w:name="_Toc10398"/>
      <w:bookmarkStart w:id="179" w:name="_Toc3080"/>
      <w:bookmarkStart w:id="180" w:name="_Toc98560355"/>
      <w:bookmarkStart w:id="181" w:name="_Toc141703889"/>
      <w:bookmarkStart w:id="182" w:name="_Toc31821"/>
      <w:bookmarkStart w:id="183" w:name="_Toc2757"/>
      <w:bookmarkStart w:id="184" w:name="_Toc123051455"/>
      <w:r>
        <w:rPr>
          <w:rFonts w:hint="eastAsia"/>
          <w:sz w:val="30"/>
        </w:rPr>
        <w:t>第十条</w:t>
      </w:r>
      <w:r>
        <w:rPr>
          <w:sz w:val="30"/>
        </w:rPr>
        <w:t xml:space="preserve">  </w:t>
      </w:r>
      <w:r>
        <w:rPr>
          <w:rFonts w:hint="eastAsia"/>
          <w:sz w:val="30"/>
        </w:rPr>
        <w:t>理财产品的终止与清算</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pPr>
        <w:spacing w:line="360" w:lineRule="auto"/>
        <w:ind w:firstLine="361" w:firstLineChars="200"/>
        <w:rPr>
          <w:rFonts w:asciiTheme="majorEastAsia" w:hAnsiTheme="majorEastAsia" w:eastAsiaTheme="majorEastAsia"/>
          <w:b/>
          <w:bCs/>
          <w:sz w:val="18"/>
          <w:szCs w:val="18"/>
        </w:rPr>
      </w:pPr>
      <w:bookmarkStart w:id="185" w:name="_Toc79392593"/>
      <w:bookmarkStart w:id="186" w:name="_Toc57530252"/>
      <w:bookmarkStart w:id="187" w:name="_Toc15118245"/>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85"/>
    <w:bookmarkEnd w:id="186"/>
    <w:bookmarkEnd w:id="187"/>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pStyle w:val="2"/>
        <w:spacing w:before="0" w:after="0" w:line="360" w:lineRule="auto"/>
        <w:jc w:val="center"/>
        <w:rPr>
          <w:rFonts w:ascii="Times New Roman"/>
          <w:sz w:val="18"/>
          <w:szCs w:val="18"/>
        </w:rPr>
      </w:pPr>
      <w:r>
        <w:rPr>
          <w:rFonts w:ascii="Times New Roman"/>
          <w:b w:val="0"/>
          <w:bCs w:val="0"/>
          <w:kern w:val="2"/>
        </w:rPr>
        <w:br w:type="page"/>
      </w:r>
      <w:bookmarkStart w:id="188" w:name="_Toc92377140"/>
      <w:bookmarkStart w:id="189" w:name="_Toc24268"/>
      <w:bookmarkStart w:id="190" w:name="_Toc593"/>
      <w:bookmarkStart w:id="191" w:name="_Toc7953"/>
      <w:bookmarkStart w:id="192" w:name="_Toc5170"/>
      <w:bookmarkStart w:id="193" w:name="_Toc739"/>
      <w:bookmarkStart w:id="194" w:name="_Toc48649708"/>
      <w:bookmarkStart w:id="195" w:name="_Toc74065747"/>
      <w:bookmarkStart w:id="196" w:name="_Toc123102457"/>
      <w:bookmarkStart w:id="197" w:name="_Toc21237"/>
      <w:bookmarkStart w:id="198" w:name="_Toc32092"/>
      <w:bookmarkStart w:id="199" w:name="_Toc17198"/>
      <w:bookmarkStart w:id="200" w:name="_Toc123051456"/>
      <w:bookmarkStart w:id="201" w:name="_Toc141703890"/>
      <w:bookmarkStart w:id="202" w:name="_Toc29408"/>
      <w:bookmarkStart w:id="203" w:name="_Toc123112238"/>
      <w:bookmarkStart w:id="204" w:name="_Toc98560356"/>
      <w:bookmarkStart w:id="205" w:name="_Toc32584"/>
      <w:bookmarkStart w:id="206" w:name="_Toc8791"/>
      <w:bookmarkStart w:id="207" w:name="_Toc79154674"/>
      <w:bookmarkStart w:id="208" w:name="_Toc17920"/>
      <w:bookmarkStart w:id="209" w:name="_Toc3329"/>
      <w:bookmarkStart w:id="210" w:name="_Toc83391975"/>
      <w:bookmarkStart w:id="211" w:name="_Toc79392622"/>
      <w:bookmarkStart w:id="212" w:name="_Toc139991740"/>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88"/>
      <w:bookmarkEnd w:id="189"/>
      <w:bookmarkEnd w:id="190"/>
      <w:bookmarkEnd w:id="191"/>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4"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4"/>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pPr>
        <w:spacing w:line="360" w:lineRule="auto"/>
        <w:rPr>
          <w:bCs/>
          <w:sz w:val="24"/>
        </w:rPr>
      </w:pPr>
    </w:p>
    <w:p>
      <w:pPr>
        <w:pStyle w:val="2"/>
        <w:spacing w:before="0" w:after="0" w:line="360" w:lineRule="auto"/>
        <w:jc w:val="center"/>
        <w:rPr>
          <w:rFonts w:ascii="Times New Roman"/>
          <w:b w:val="0"/>
          <w:sz w:val="30"/>
        </w:rPr>
      </w:pPr>
      <w:bookmarkStart w:id="213" w:name="_Toc30149"/>
      <w:bookmarkStart w:id="214" w:name="_Toc8020"/>
      <w:bookmarkStart w:id="215" w:name="_Toc184"/>
      <w:bookmarkStart w:id="216" w:name="_Toc79154675"/>
      <w:bookmarkStart w:id="217" w:name="_Toc92377141"/>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13"/>
      <w:bookmarkEnd w:id="214"/>
      <w:bookmarkEnd w:id="215"/>
      <w:bookmarkEnd w:id="216"/>
      <w:bookmarkEnd w:id="217"/>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pPr>
        <w:spacing w:line="360" w:lineRule="auto"/>
        <w:ind w:firstLine="360" w:firstLineChars="200"/>
        <w:outlineLvl w:val="1"/>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lang w:val="en-US" w:eastAsia="zh-CN"/>
        </w:rPr>
        <w:t>1）</w:t>
      </w:r>
      <w:r>
        <w:rPr>
          <w:rFonts w:hint="eastAsia" w:ascii="宋体" w:hAnsi="宋体"/>
          <w:sz w:val="18"/>
          <w:szCs w:val="18"/>
        </w:rPr>
        <w:t>投资标准化债权类资产的风险</w:t>
      </w:r>
    </w:p>
    <w:p>
      <w:pPr>
        <w:spacing w:line="360" w:lineRule="auto"/>
        <w:ind w:firstLine="360" w:firstLineChars="200"/>
        <w:rPr>
          <w:rFonts w:hint="eastAsia" w:ascii="宋体" w:hAnsi="宋体" w:eastAsia="宋体"/>
          <w:sz w:val="18"/>
          <w:szCs w:val="18"/>
          <w:lang w:val="en-US" w:eastAsia="zh-CN"/>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outlineLvl w:val="1"/>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25"/>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投资者法定代表人或授权代理人（签名/盖章/线上确认）：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34</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dit="readOnly" w:enforcement="1" w:cryptProviderType="rsaAES" w:cryptAlgorithmClass="hash" w:cryptAlgorithmType="typeAny" w:cryptAlgorithmSid="14" w:cryptSpinCount="100000" w:hash="s/I7peyFzPO5kmE0Xly5QePTOCNomRgWdMReD/VtctlinshRAoYsHUa7rusOFr1X9z0V6l957AL//SMqsxoV6w==" w:salt="sjjqyOcRegTsDtYQuWT5uA=="/>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A7CA7"/>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063E0"/>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AA"/>
    <w:rsid w:val="001D03C8"/>
    <w:rsid w:val="001D06D0"/>
    <w:rsid w:val="001D0990"/>
    <w:rsid w:val="001D1354"/>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5C9E"/>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0FA8"/>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2F7CC5"/>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4CA1"/>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128F"/>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17FF1"/>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358"/>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3DD"/>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17479"/>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1DF1"/>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721"/>
    <w:rsid w:val="007B3CAC"/>
    <w:rsid w:val="007B435B"/>
    <w:rsid w:val="007B7A50"/>
    <w:rsid w:val="007B7E70"/>
    <w:rsid w:val="007C0495"/>
    <w:rsid w:val="007C67CB"/>
    <w:rsid w:val="007C7E5C"/>
    <w:rsid w:val="007D115D"/>
    <w:rsid w:val="007D1185"/>
    <w:rsid w:val="007D37FB"/>
    <w:rsid w:val="007D3AB0"/>
    <w:rsid w:val="007D3C57"/>
    <w:rsid w:val="007D6324"/>
    <w:rsid w:val="007D68C9"/>
    <w:rsid w:val="007D6F94"/>
    <w:rsid w:val="007D7B84"/>
    <w:rsid w:val="007E1F76"/>
    <w:rsid w:val="007E31AB"/>
    <w:rsid w:val="007E3453"/>
    <w:rsid w:val="007E3857"/>
    <w:rsid w:val="007E4180"/>
    <w:rsid w:val="007E4A3F"/>
    <w:rsid w:val="007E5D3B"/>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5B4"/>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0C79"/>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B65"/>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714"/>
    <w:rsid w:val="00AB3C03"/>
    <w:rsid w:val="00AB50AF"/>
    <w:rsid w:val="00AB52EA"/>
    <w:rsid w:val="00AB5EF6"/>
    <w:rsid w:val="00AB7B14"/>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6A10"/>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2C3"/>
    <w:rsid w:val="00D33F2B"/>
    <w:rsid w:val="00D340DB"/>
    <w:rsid w:val="00D34189"/>
    <w:rsid w:val="00D34CE8"/>
    <w:rsid w:val="00D34E19"/>
    <w:rsid w:val="00D3593A"/>
    <w:rsid w:val="00D36139"/>
    <w:rsid w:val="00D375D6"/>
    <w:rsid w:val="00D4001C"/>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1725"/>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635A"/>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145A"/>
    <w:rsid w:val="00F555B0"/>
    <w:rsid w:val="00F6162A"/>
    <w:rsid w:val="00F66759"/>
    <w:rsid w:val="00F66D5C"/>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5650"/>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2763D6A"/>
    <w:rsid w:val="03512BEC"/>
    <w:rsid w:val="0356786B"/>
    <w:rsid w:val="046E31C1"/>
    <w:rsid w:val="056C4F65"/>
    <w:rsid w:val="06DC01DA"/>
    <w:rsid w:val="06F4696E"/>
    <w:rsid w:val="07245E56"/>
    <w:rsid w:val="07E348E1"/>
    <w:rsid w:val="089A06AF"/>
    <w:rsid w:val="092C24F8"/>
    <w:rsid w:val="09B63F7A"/>
    <w:rsid w:val="0A8C1B58"/>
    <w:rsid w:val="0B71187A"/>
    <w:rsid w:val="0C023D8C"/>
    <w:rsid w:val="0C225D7B"/>
    <w:rsid w:val="0C6B687B"/>
    <w:rsid w:val="0CAB789C"/>
    <w:rsid w:val="0D511E56"/>
    <w:rsid w:val="0DC8792A"/>
    <w:rsid w:val="0E01723A"/>
    <w:rsid w:val="0E9022D3"/>
    <w:rsid w:val="0E94232E"/>
    <w:rsid w:val="0F1306D5"/>
    <w:rsid w:val="100E5DBB"/>
    <w:rsid w:val="108957DB"/>
    <w:rsid w:val="110F0E2D"/>
    <w:rsid w:val="11295396"/>
    <w:rsid w:val="12F56293"/>
    <w:rsid w:val="12F716E1"/>
    <w:rsid w:val="163A1B23"/>
    <w:rsid w:val="163E2FB7"/>
    <w:rsid w:val="17622796"/>
    <w:rsid w:val="181C08FC"/>
    <w:rsid w:val="19F32D28"/>
    <w:rsid w:val="1A3D2A94"/>
    <w:rsid w:val="1A48157B"/>
    <w:rsid w:val="1AAA799F"/>
    <w:rsid w:val="1B9930ED"/>
    <w:rsid w:val="1BD70953"/>
    <w:rsid w:val="1BF87698"/>
    <w:rsid w:val="1D3F2644"/>
    <w:rsid w:val="1E585AB7"/>
    <w:rsid w:val="1E8075A1"/>
    <w:rsid w:val="1E865137"/>
    <w:rsid w:val="1EB160C2"/>
    <w:rsid w:val="1FA97B1F"/>
    <w:rsid w:val="1FE07882"/>
    <w:rsid w:val="1FF145B9"/>
    <w:rsid w:val="2193546F"/>
    <w:rsid w:val="24342D08"/>
    <w:rsid w:val="25AF30EE"/>
    <w:rsid w:val="26F50BA9"/>
    <w:rsid w:val="27005B64"/>
    <w:rsid w:val="27BD5E26"/>
    <w:rsid w:val="285E4249"/>
    <w:rsid w:val="29026D00"/>
    <w:rsid w:val="29AF0175"/>
    <w:rsid w:val="2BB57CB6"/>
    <w:rsid w:val="2CEF67B1"/>
    <w:rsid w:val="2CF86F57"/>
    <w:rsid w:val="2EA644DF"/>
    <w:rsid w:val="2FB532A0"/>
    <w:rsid w:val="301261B1"/>
    <w:rsid w:val="302A1668"/>
    <w:rsid w:val="307F34CE"/>
    <w:rsid w:val="319C4BEA"/>
    <w:rsid w:val="338472B6"/>
    <w:rsid w:val="34B50D9E"/>
    <w:rsid w:val="34C829B2"/>
    <w:rsid w:val="35042109"/>
    <w:rsid w:val="35381804"/>
    <w:rsid w:val="36146FAD"/>
    <w:rsid w:val="38051411"/>
    <w:rsid w:val="386A3F56"/>
    <w:rsid w:val="38777E2D"/>
    <w:rsid w:val="38A539CE"/>
    <w:rsid w:val="39494273"/>
    <w:rsid w:val="3A810EF7"/>
    <w:rsid w:val="3A842191"/>
    <w:rsid w:val="3ACF0F3F"/>
    <w:rsid w:val="3B7626CB"/>
    <w:rsid w:val="3BA52835"/>
    <w:rsid w:val="3C3802E9"/>
    <w:rsid w:val="3DA51C15"/>
    <w:rsid w:val="3DC16BC6"/>
    <w:rsid w:val="3E586AB8"/>
    <w:rsid w:val="3E5C1B1D"/>
    <w:rsid w:val="3EAE14E9"/>
    <w:rsid w:val="3F247759"/>
    <w:rsid w:val="3FD261A6"/>
    <w:rsid w:val="3FDD1E17"/>
    <w:rsid w:val="403754B6"/>
    <w:rsid w:val="407C0C49"/>
    <w:rsid w:val="42EB2F9C"/>
    <w:rsid w:val="45226963"/>
    <w:rsid w:val="477C2F5C"/>
    <w:rsid w:val="499C5ED6"/>
    <w:rsid w:val="49CF7D54"/>
    <w:rsid w:val="4AC23543"/>
    <w:rsid w:val="4D39606F"/>
    <w:rsid w:val="4D7250D6"/>
    <w:rsid w:val="4E506DAE"/>
    <w:rsid w:val="4F137BD5"/>
    <w:rsid w:val="4F8E3D4D"/>
    <w:rsid w:val="51025CC6"/>
    <w:rsid w:val="51E971E2"/>
    <w:rsid w:val="524D1644"/>
    <w:rsid w:val="52B715AE"/>
    <w:rsid w:val="53063B85"/>
    <w:rsid w:val="533C1961"/>
    <w:rsid w:val="53B3493A"/>
    <w:rsid w:val="54560EDE"/>
    <w:rsid w:val="5537323C"/>
    <w:rsid w:val="55855837"/>
    <w:rsid w:val="55E65972"/>
    <w:rsid w:val="55E83741"/>
    <w:rsid w:val="56503211"/>
    <w:rsid w:val="598B567E"/>
    <w:rsid w:val="5A4D46CD"/>
    <w:rsid w:val="5C624734"/>
    <w:rsid w:val="5CC2197C"/>
    <w:rsid w:val="5E1452FD"/>
    <w:rsid w:val="5E3F6945"/>
    <w:rsid w:val="5F3E4BF2"/>
    <w:rsid w:val="5FE91ABC"/>
    <w:rsid w:val="60EB32EA"/>
    <w:rsid w:val="61941605"/>
    <w:rsid w:val="61CF16A9"/>
    <w:rsid w:val="628E734C"/>
    <w:rsid w:val="62BD3A82"/>
    <w:rsid w:val="63CD71D4"/>
    <w:rsid w:val="6580603B"/>
    <w:rsid w:val="66A34D18"/>
    <w:rsid w:val="682A44E1"/>
    <w:rsid w:val="68C7223A"/>
    <w:rsid w:val="68EF6886"/>
    <w:rsid w:val="69867C07"/>
    <w:rsid w:val="6A345708"/>
    <w:rsid w:val="6AA91074"/>
    <w:rsid w:val="6AAD6877"/>
    <w:rsid w:val="6B3F3089"/>
    <w:rsid w:val="6C167A34"/>
    <w:rsid w:val="6C2B2E22"/>
    <w:rsid w:val="6DB1503F"/>
    <w:rsid w:val="6EAA049A"/>
    <w:rsid w:val="6EAA7DFD"/>
    <w:rsid w:val="6EE25628"/>
    <w:rsid w:val="6FDD1093"/>
    <w:rsid w:val="709C0126"/>
    <w:rsid w:val="74EF7505"/>
    <w:rsid w:val="76022652"/>
    <w:rsid w:val="768501BE"/>
    <w:rsid w:val="76C8601E"/>
    <w:rsid w:val="77150144"/>
    <w:rsid w:val="78852984"/>
    <w:rsid w:val="78A602EF"/>
    <w:rsid w:val="798738A2"/>
    <w:rsid w:val="79E61650"/>
    <w:rsid w:val="7B426088"/>
    <w:rsid w:val="7BEA1CFE"/>
    <w:rsid w:val="7C1C58EA"/>
    <w:rsid w:val="7C3055E2"/>
    <w:rsid w:val="7D803772"/>
    <w:rsid w:val="7D80556D"/>
    <w:rsid w:val="7E3713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字符"/>
    <w:basedOn w:val="26"/>
    <w:link w:val="15"/>
    <w:qFormat/>
    <w:uiPriority w:val="99"/>
    <w:rPr>
      <w:sz w:val="18"/>
      <w:szCs w:val="18"/>
    </w:rPr>
  </w:style>
  <w:style w:type="character" w:customStyle="1" w:styleId="33">
    <w:name w:val="页脚 字符"/>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字符"/>
    <w:basedOn w:val="26"/>
    <w:link w:val="8"/>
    <w:qFormat/>
    <w:uiPriority w:val="99"/>
    <w:rPr>
      <w:rFonts w:ascii="宋体" w:hAnsi="宋体" w:eastAsia="宋体" w:cs="宋体"/>
      <w:kern w:val="0"/>
      <w:sz w:val="24"/>
      <w:szCs w:val="24"/>
    </w:rPr>
  </w:style>
  <w:style w:type="character" w:customStyle="1" w:styleId="37">
    <w:name w:val="批注框文本 字符"/>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字符"/>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字符"/>
    <w:basedOn w:val="36"/>
    <w:link w:val="23"/>
    <w:qFormat/>
    <w:uiPriority w:val="99"/>
    <w:rPr>
      <w:rFonts w:ascii="宋体" w:hAnsi="宋体" w:eastAsia="宋体" w:cs="宋体"/>
      <w:b/>
      <w:bCs/>
      <w:kern w:val="0"/>
      <w:sz w:val="24"/>
      <w:szCs w:val="24"/>
    </w:rPr>
  </w:style>
  <w:style w:type="character" w:customStyle="1" w:styleId="43">
    <w:name w:val="HTML 预设格式 字符"/>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字符"/>
    <w:basedOn w:val="26"/>
    <w:link w:val="3"/>
    <w:qFormat/>
    <w:uiPriority w:val="0"/>
    <w:rPr>
      <w:rFonts w:ascii="Arial" w:hAnsi="Arial" w:eastAsia="黑体" w:cs="Times New Roman"/>
      <w:b/>
      <w:kern w:val="2"/>
      <w:sz w:val="32"/>
    </w:rPr>
  </w:style>
  <w:style w:type="character" w:customStyle="1" w:styleId="50">
    <w:name w:val="标题 3 字符"/>
    <w:basedOn w:val="26"/>
    <w:link w:val="4"/>
    <w:qFormat/>
    <w:uiPriority w:val="0"/>
    <w:rPr>
      <w:rFonts w:ascii="Times New Roman" w:hAnsi="Times New Roman" w:cs="Times New Roman"/>
      <w:b/>
      <w:kern w:val="2"/>
      <w:sz w:val="32"/>
    </w:rPr>
  </w:style>
  <w:style w:type="character" w:customStyle="1" w:styleId="51">
    <w:name w:val="标题 4 字符"/>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字符"/>
    <w:link w:val="22"/>
    <w:qFormat/>
    <w:uiPriority w:val="0"/>
    <w:rPr>
      <w:rFonts w:ascii="Cambria" w:hAnsi="Cambria"/>
      <w:b/>
      <w:kern w:val="2"/>
      <w:sz w:val="32"/>
    </w:rPr>
  </w:style>
  <w:style w:type="character" w:customStyle="1" w:styleId="55">
    <w:name w:val="正文文本 字符"/>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字符"/>
    <w:basedOn w:val="26"/>
    <w:link w:val="7"/>
    <w:qFormat/>
    <w:uiPriority w:val="0"/>
    <w:rPr>
      <w:rFonts w:ascii="Times New Roman" w:hAnsi="Times New Roman" w:cs="Times New Roman"/>
      <w:kern w:val="2"/>
      <w:sz w:val="21"/>
      <w:shd w:val="clear" w:color="auto" w:fill="000080"/>
    </w:rPr>
  </w:style>
  <w:style w:type="character" w:customStyle="1" w:styleId="63">
    <w:name w:val="纯文本 字符"/>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字符"/>
    <w:basedOn w:val="26"/>
    <w:link w:val="18"/>
    <w:qFormat/>
    <w:uiPriority w:val="0"/>
    <w:rPr>
      <w:rFonts w:ascii="Times New Roman" w:hAnsi="Times New Roman" w:cs="Times New Roman"/>
      <w:color w:val="0000FF"/>
      <w:kern w:val="2"/>
      <w:sz w:val="21"/>
    </w:rPr>
  </w:style>
  <w:style w:type="character" w:customStyle="1" w:styleId="70">
    <w:name w:val="正文文本缩进 2 字符"/>
    <w:basedOn w:val="26"/>
    <w:link w:val="12"/>
    <w:qFormat/>
    <w:uiPriority w:val="0"/>
    <w:rPr>
      <w:rFonts w:ascii="仿宋_GB2312" w:hAnsi="Times New Roman" w:eastAsia="仿宋_GB2312" w:cs="Times New Roman"/>
      <w:kern w:val="2"/>
      <w:sz w:val="28"/>
    </w:rPr>
  </w:style>
  <w:style w:type="character" w:customStyle="1" w:styleId="71">
    <w:name w:val="脚注文本 字符"/>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509BA638-9D3A-4AA3-A169-FF78BC0E4BE9}">
  <ds:schemaRefs/>
</ds:datastoreItem>
</file>

<file path=customXml/itemProps11.xml><?xml version="1.0" encoding="utf-8"?>
<ds:datastoreItem xmlns:ds="http://schemas.openxmlformats.org/officeDocument/2006/customXml" ds:itemID="{2108FF18-8EC8-4170-A536-1AA8E39CC797}">
  <ds:schemaRefs/>
</ds:datastoreItem>
</file>

<file path=customXml/itemProps12.xml><?xml version="1.0" encoding="utf-8"?>
<ds:datastoreItem xmlns:ds="http://schemas.openxmlformats.org/officeDocument/2006/customXml" ds:itemID="{3A3C3A8D-C5E4-45AF-8B48-C3BF528808AD}">
  <ds:schemaRefs/>
</ds:datastoreItem>
</file>

<file path=customXml/itemProps13.xml><?xml version="1.0" encoding="utf-8"?>
<ds:datastoreItem xmlns:ds="http://schemas.openxmlformats.org/officeDocument/2006/customXml" ds:itemID="{79B37214-9E52-4241-8DD2-9E9CD9442006}">
  <ds:schemaRefs/>
</ds:datastoreItem>
</file>

<file path=customXml/itemProps14.xml><?xml version="1.0" encoding="utf-8"?>
<ds:datastoreItem xmlns:ds="http://schemas.openxmlformats.org/officeDocument/2006/customXml" ds:itemID="{1A3BDF38-4832-4575-A8AB-7A1679738229}">
  <ds:schemaRefs/>
</ds:datastoreItem>
</file>

<file path=customXml/itemProps15.xml><?xml version="1.0" encoding="utf-8"?>
<ds:datastoreItem xmlns:ds="http://schemas.openxmlformats.org/officeDocument/2006/customXml" ds:itemID="{9114D43D-ED98-4C7B-A3AE-26D78B80CA82}">
  <ds:schemaRefs/>
</ds:datastoreItem>
</file>

<file path=customXml/itemProps16.xml><?xml version="1.0" encoding="utf-8"?>
<ds:datastoreItem xmlns:ds="http://schemas.openxmlformats.org/officeDocument/2006/customXml" ds:itemID="{1990A2D8-324F-45D5-B9CD-07245ED2860B}">
  <ds:schemaRefs/>
</ds:datastoreItem>
</file>

<file path=customXml/itemProps17.xml><?xml version="1.0" encoding="utf-8"?>
<ds:datastoreItem xmlns:ds="http://schemas.openxmlformats.org/officeDocument/2006/customXml" ds:itemID="{AC86F3EB-DB57-4B60-8A7E-BBB67A22EE0B}">
  <ds:schemaRefs/>
</ds:datastoreItem>
</file>

<file path=customXml/itemProps18.xml><?xml version="1.0" encoding="utf-8"?>
<ds:datastoreItem xmlns:ds="http://schemas.openxmlformats.org/officeDocument/2006/customXml" ds:itemID="{BEEE0313-55EB-45FA-BBBD-C0232D367255}">
  <ds:schemaRefs/>
</ds:datastoreItem>
</file>

<file path=customXml/itemProps2.xml><?xml version="1.0" encoding="utf-8"?>
<ds:datastoreItem xmlns:ds="http://schemas.openxmlformats.org/officeDocument/2006/customXml" ds:itemID="{D902962D-C8CC-43BF-804A-CD60AE6D7475}">
  <ds:schemaRefs/>
</ds:datastoreItem>
</file>

<file path=customXml/itemProps3.xml><?xml version="1.0" encoding="utf-8"?>
<ds:datastoreItem xmlns:ds="http://schemas.openxmlformats.org/officeDocument/2006/customXml" ds:itemID="{E6D3D55C-3DD8-4C31-8069-E5508DD844FB}">
  <ds:schemaRefs/>
</ds:datastoreItem>
</file>

<file path=customXml/itemProps4.xml><?xml version="1.0" encoding="utf-8"?>
<ds:datastoreItem xmlns:ds="http://schemas.openxmlformats.org/officeDocument/2006/customXml" ds:itemID="{7E5C9D84-6DB6-48FB-8632-D5279FC233C8}">
  <ds:schemaRefs/>
</ds:datastoreItem>
</file>

<file path=customXml/itemProps5.xml><?xml version="1.0" encoding="utf-8"?>
<ds:datastoreItem xmlns:ds="http://schemas.openxmlformats.org/officeDocument/2006/customXml" ds:itemID="{CF487381-D648-48A1-B1E4-A4540B0D3650}">
  <ds:schemaRefs/>
</ds:datastoreItem>
</file>

<file path=customXml/itemProps6.xml><?xml version="1.0" encoding="utf-8"?>
<ds:datastoreItem xmlns:ds="http://schemas.openxmlformats.org/officeDocument/2006/customXml" ds:itemID="{0A7AA9EF-3B8C-4BAA-9155-A6E3E5337D3C}">
  <ds:schemaRefs/>
</ds:datastoreItem>
</file>

<file path=customXml/itemProps7.xml><?xml version="1.0" encoding="utf-8"?>
<ds:datastoreItem xmlns:ds="http://schemas.openxmlformats.org/officeDocument/2006/customXml" ds:itemID="{EC45DDBE-A426-47CA-BC62-D025DE29F1BC}">
  <ds:schemaRefs/>
</ds:datastoreItem>
</file>

<file path=customXml/itemProps8.xml><?xml version="1.0" encoding="utf-8"?>
<ds:datastoreItem xmlns:ds="http://schemas.openxmlformats.org/officeDocument/2006/customXml" ds:itemID="{A06CD169-7F5C-4082-81B2-6ECAA9AF6149}">
  <ds:schemaRefs/>
</ds:datastoreItem>
</file>

<file path=customXml/itemProps9.xml><?xml version="1.0" encoding="utf-8"?>
<ds:datastoreItem xmlns:ds="http://schemas.openxmlformats.org/officeDocument/2006/customXml" ds:itemID="{2A564346-BCA8-4B81-89B9-B65338D1A2C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40</Pages>
  <Words>4409</Words>
  <Characters>25134</Characters>
  <Lines>209</Lines>
  <Paragraphs>58</Paragraphs>
  <TotalTime>0</TotalTime>
  <ScaleCrop>false</ScaleCrop>
  <LinksUpToDate>false</LinksUpToDate>
  <CharactersWithSpaces>29485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2024-08-28T12:34:00Z</dcterms:created>
  <dc:creator>张淼雯</dc:creator>
  <cp:lastModifiedBy>姚霖钰-960811</cp:lastModifiedBy>
  <cp:lastPrinted>2022-01-18T08:37:00Z</cp:lastPrinted>
  <dcterms:modified xsi:type="dcterms:W3CDTF">2025-12-12T01:47:54Z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