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permStart w:id="0" w:edGrp="everyone"/>
      <w:r>
        <w:rPr>
          <w:rStyle w:val="27"/>
          <w:rFonts w:hint="eastAsia" w:ascii="黑体" w:hAnsi="黑体" w:eastAsia="黑体"/>
          <w:sz w:val="44"/>
          <w:szCs w:val="44"/>
        </w:rPr>
        <w:t>兴银理财【稳添利最短持有期日开固收类】理财产品</w:t>
      </w:r>
      <w:permEnd w:id="0"/>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2025</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permStart w:id="2" w:edGrp="everyone"/>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"_Toc32762"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_Toc32762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"_Toc1693" </w:instrText>
          </w:r>
          <w:r>
            <w:fldChar w:fldCharType="separate"/>
          </w:r>
          <w:r>
            <w:rPr>
              <w:rFonts w:hint="eastAsia" w:hAnsi="宋体"/>
              <w:szCs w:val="28"/>
            </w:rPr>
            <w:t xml:space="preserve">第二条  理财产品基本情况 </w:t>
          </w:r>
          <w:r>
            <w:tab/>
          </w:r>
          <w:r>
            <w:fldChar w:fldCharType="begin"/>
          </w:r>
          <w:r>
            <w:instrText xml:space="preserve"> PAGEREF _Toc1693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"_Toc10659"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_Toc10659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"_Toc32177"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_Toc32177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"_Toc25685"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_Toc25685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"_Toc31087"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_Toc31087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"_Toc19132"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_Toc19132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"_Toc8695"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_Toc8695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"_Toc1043"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_Toc1043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"_Toc2757"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_Toc2757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"_Toc593"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_Toc593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"_Toc184"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_Toc184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92377130"/>
      <w:bookmarkStart w:id="2" w:name="_Toc26572"/>
      <w:bookmarkStart w:id="3" w:name="_Toc29814"/>
      <w:bookmarkStart w:id="4" w:name="_Toc32762"/>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bookmarkEnd w:id="4"/>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国家金融监督管理总局</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w:t>
      </w:r>
      <w:permStart w:id="4" w:edGrp="everyone"/>
      <w:r>
        <w:rPr>
          <w:rFonts w:hint="eastAsia" w:asciiTheme="majorEastAsia" w:hAnsiTheme="majorEastAsia" w:eastAsiaTheme="majorEastAsia"/>
          <w:bCs/>
          <w:sz w:val="18"/>
          <w:szCs w:val="18"/>
          <w:lang w:eastAsia="zh-CN"/>
        </w:rPr>
        <w:t>兴银理财【稳添利最短持有期日开固收类】理财产品</w:t>
      </w:r>
      <w:permEnd w:id="4"/>
      <w:r>
        <w:rPr>
          <w:rFonts w:hint="eastAsia" w:asciiTheme="majorEastAsia" w:hAnsiTheme="majorEastAsia" w:eastAsiaTheme="majorEastAsia"/>
          <w:bCs/>
          <w:sz w:val="18"/>
          <w:szCs w:val="18"/>
        </w:rPr>
        <w:t>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w:t>
      </w:r>
      <w:permStart w:id="5" w:edGrp="everyone"/>
      <w:r>
        <w:rPr>
          <w:rFonts w:hint="eastAsia" w:asciiTheme="majorEastAsia" w:hAnsiTheme="majorEastAsia" w:eastAsiaTheme="majorEastAsia"/>
          <w:bCs/>
          <w:sz w:val="18"/>
          <w:szCs w:val="18"/>
          <w:lang w:eastAsia="zh-CN"/>
        </w:rPr>
        <w:t>兴银理财【稳添利最短持有期日开固收类】理财产品</w:t>
      </w:r>
      <w:permEnd w:id="5"/>
      <w:r>
        <w:rPr>
          <w:rFonts w:hint="eastAsia" w:asciiTheme="majorEastAsia" w:hAnsiTheme="majorEastAsia" w:eastAsiaTheme="majorEastAsia"/>
          <w:bCs/>
          <w:sz w:val="18"/>
          <w:szCs w:val="18"/>
        </w:rPr>
        <w:t>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w:t>
      </w:r>
      <w:permStart w:id="6" w:edGrp="everyone"/>
      <w:r>
        <w:rPr>
          <w:rFonts w:hint="eastAsia" w:asciiTheme="majorEastAsia" w:hAnsiTheme="majorEastAsia" w:eastAsiaTheme="majorEastAsia"/>
          <w:bCs/>
          <w:sz w:val="18"/>
          <w:szCs w:val="18"/>
          <w:lang w:eastAsia="zh-CN"/>
        </w:rPr>
        <w:t>兴银理财【稳添利最短持有期日开固收类】理财产品</w:t>
      </w:r>
      <w:permEnd w:id="6"/>
      <w:r>
        <w:rPr>
          <w:rFonts w:hint="eastAsia" w:asciiTheme="majorEastAsia" w:hAnsiTheme="majorEastAsia" w:eastAsiaTheme="majorEastAsia"/>
          <w:bCs/>
          <w:sz w:val="18"/>
          <w:szCs w:val="18"/>
        </w:rPr>
        <w:t>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w:t>
      </w:r>
      <w:permStart w:id="7" w:edGrp="everyone"/>
      <w:r>
        <w:rPr>
          <w:rFonts w:hint="eastAsia" w:asciiTheme="majorEastAsia" w:hAnsiTheme="majorEastAsia" w:eastAsiaTheme="majorEastAsia"/>
          <w:bCs/>
          <w:sz w:val="18"/>
          <w:szCs w:val="18"/>
          <w:lang w:eastAsia="zh-CN"/>
        </w:rPr>
        <w:t>兴银理财【稳添利最短持有期日开固收类】理财产品</w:t>
      </w:r>
      <w:permEnd w:id="7"/>
      <w:r>
        <w:rPr>
          <w:rFonts w:hint="eastAsia" w:asciiTheme="majorEastAsia" w:hAnsiTheme="majorEastAsia" w:eastAsiaTheme="majorEastAsia"/>
          <w:bCs/>
          <w:sz w:val="18"/>
          <w:szCs w:val="18"/>
        </w:rPr>
        <w:t>（代理）销售协议书》或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8" w:edGrp="everyone"/>
      <w:r>
        <w:rPr>
          <w:rFonts w:hint="eastAsia" w:asciiTheme="majorEastAsia" w:hAnsiTheme="majorEastAsia" w:eastAsiaTheme="majorEastAsia"/>
          <w:bCs/>
          <w:sz w:val="18"/>
          <w:szCs w:val="18"/>
          <w:lang w:eastAsia="zh-CN"/>
        </w:rPr>
        <w:t>兴银理财【稳添利最短持有期日开固收类】理财产品</w:t>
      </w:r>
      <w:permEnd w:id="8"/>
      <w:r>
        <w:rPr>
          <w:rFonts w:hint="eastAsia" w:asciiTheme="majorEastAsia" w:hAnsiTheme="majorEastAsia" w:eastAsiaTheme="majorEastAsia"/>
          <w:bCs/>
          <w:sz w:val="18"/>
          <w:szCs w:val="18"/>
        </w:rPr>
        <w:t>（代理）销售协议书》（文件名称以代理销售机构实际编制为准），以及对该文件的有效修改或补充。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w:t>
      </w:r>
      <w:permStart w:id="9" w:edGrp="everyone"/>
      <w:r>
        <w:rPr>
          <w:rFonts w:hint="eastAsia" w:asciiTheme="majorEastAsia" w:hAnsiTheme="majorEastAsia" w:eastAsiaTheme="majorEastAsia"/>
          <w:bCs/>
          <w:sz w:val="18"/>
          <w:szCs w:val="18"/>
          <w:lang w:eastAsia="zh-CN"/>
        </w:rPr>
        <w:t>兴银理财【稳添利最短持有期日开固收类】理财产品</w:t>
      </w:r>
      <w:permEnd w:id="9"/>
      <w:r>
        <w:rPr>
          <w:rFonts w:hint="eastAsia" w:asciiTheme="majorEastAsia" w:hAnsiTheme="majorEastAsia" w:eastAsiaTheme="majorEastAsia"/>
          <w:bCs/>
          <w:sz w:val="18"/>
          <w:szCs w:val="18"/>
        </w:rPr>
        <w:t>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w:t>
      </w:r>
      <w:permStart w:id="10" w:edGrp="everyone"/>
      <w:r>
        <w:rPr>
          <w:rFonts w:hint="eastAsia" w:asciiTheme="majorEastAsia" w:hAnsiTheme="majorEastAsia" w:eastAsiaTheme="majorEastAsia"/>
          <w:bCs/>
          <w:sz w:val="18"/>
          <w:szCs w:val="18"/>
          <w:lang w:eastAsia="zh-CN"/>
        </w:rPr>
        <w:t>兴银理财【稳添利最短持有期日开固收类】理财产品</w:t>
      </w:r>
      <w:permEnd w:id="10"/>
      <w:r>
        <w:rPr>
          <w:rFonts w:hint="eastAsia" w:asciiTheme="majorEastAsia" w:hAnsiTheme="majorEastAsia" w:eastAsiaTheme="majorEastAsia"/>
          <w:bCs/>
          <w:sz w:val="18"/>
          <w:szCs w:val="18"/>
        </w:rPr>
        <w:t>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w:t>
      </w:r>
      <w:permStart w:id="11" w:edGrp="everyone"/>
      <w:r>
        <w:rPr>
          <w:rFonts w:hint="eastAsia" w:asciiTheme="majorEastAsia" w:hAnsiTheme="majorEastAsia" w:eastAsiaTheme="majorEastAsia"/>
          <w:bCs/>
          <w:sz w:val="18"/>
          <w:szCs w:val="18"/>
          <w:lang w:eastAsia="zh-CN"/>
        </w:rPr>
        <w:t>兴银理财【稳添利最短持有期日开固收类】理财产品</w:t>
      </w:r>
      <w:permEnd w:id="11"/>
      <w:r>
        <w:rPr>
          <w:rFonts w:hint="eastAsia" w:asciiTheme="majorEastAsia" w:hAnsiTheme="majorEastAsia" w:eastAsiaTheme="majorEastAsia"/>
          <w:bCs/>
          <w:sz w:val="18"/>
          <w:szCs w:val="18"/>
        </w:rPr>
        <w:t>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w:t>
      </w:r>
      <w:permStart w:id="12" w:edGrp="everyone"/>
      <w:r>
        <w:rPr>
          <w:rFonts w:hint="eastAsia" w:asciiTheme="majorEastAsia" w:hAnsiTheme="majorEastAsia" w:eastAsiaTheme="majorEastAsia"/>
          <w:bCs/>
          <w:sz w:val="18"/>
          <w:szCs w:val="18"/>
          <w:lang w:eastAsia="zh-CN"/>
        </w:rPr>
        <w:t>兴银理财【稳添利最短持有期日开固收类】理财产品</w:t>
      </w:r>
      <w:permEnd w:id="12"/>
      <w:r>
        <w:rPr>
          <w:rFonts w:hint="eastAsia" w:asciiTheme="majorEastAsia" w:hAnsiTheme="majorEastAsia" w:eastAsiaTheme="majorEastAsia"/>
          <w:bCs/>
          <w:sz w:val="18"/>
          <w:szCs w:val="18"/>
        </w:rPr>
        <w:t>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销售服务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工作日：指除中国法定节假日和公休日外的其他日。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5" w:name="_Toc79154665"/>
      <w:bookmarkStart w:id="6" w:name="_Toc92377131"/>
      <w:bookmarkStart w:id="7" w:name="_Toc1693"/>
      <w:bookmarkStart w:id="8" w:name="_Toc30087"/>
      <w:bookmarkStart w:id="9" w:name="_Toc14559"/>
      <w:r>
        <w:rPr>
          <w:rFonts w:hint="eastAsia" w:hAnsi="宋体"/>
          <w:sz w:val="28"/>
          <w:szCs w:val="28"/>
        </w:rPr>
        <w:t>第二条  理财产品基本情况</w:t>
      </w:r>
      <w:bookmarkEnd w:id="5"/>
      <w:bookmarkEnd w:id="6"/>
      <w:r>
        <w:rPr>
          <w:rFonts w:hint="eastAsia" w:hAnsi="宋体"/>
          <w:sz w:val="28"/>
          <w:szCs w:val="28"/>
        </w:rPr>
        <w:t xml:space="preserve"> </w:t>
      </w:r>
      <w:bookmarkEnd w:id="7"/>
      <w:bookmarkEnd w:id="8"/>
      <w:bookmarkEnd w:id="9"/>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vAlign w:val="top"/>
          </w:tcPr>
          <w:p>
            <w:pPr>
              <w:spacing w:line="360" w:lineRule="auto"/>
              <w:jc w:val="left"/>
              <w:rPr>
                <w:rFonts w:ascii="宋体" w:hAnsi="宋体"/>
                <w:bCs/>
                <w:sz w:val="18"/>
                <w:szCs w:val="18"/>
              </w:rPr>
            </w:pPr>
            <w:r>
              <w:rPr>
                <w:rFonts w:hint="eastAsia" w:ascii="宋体" w:hAnsi="宋体"/>
                <w:sz w:val="18"/>
                <w:szCs w:val="18"/>
              </w:rPr>
              <w:t>【兴银理财稳添利季盈77号(3个月最短持有期)日开固收类理财产品】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vAlign w:val="center"/>
          </w:tcPr>
          <w:p>
            <w:pPr>
              <w:spacing w:line="360" w:lineRule="auto"/>
              <w:jc w:val="left"/>
              <w:rPr>
                <w:rFonts w:ascii="宋体" w:hAnsi="宋体"/>
                <w:kern w:val="0"/>
                <w:sz w:val="22"/>
              </w:rPr>
            </w:pPr>
            <w:r>
              <w:rPr>
                <w:rFonts w:hint="eastAsia" w:ascii="宋体" w:hAnsi="宋体"/>
                <w:sz w:val="18"/>
                <w:szCs w:val="18"/>
              </w:rPr>
              <w:t>【稳添利季盈增利77号G】</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适用【G】类份额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w:t>
            </w:r>
            <w:r>
              <w:rPr>
                <w:rFonts w:hint="eastAsia" w:ascii="宋体" w:hAnsi="宋体"/>
                <w:sz w:val="18"/>
                <w:szCs w:val="18"/>
              </w:rPr>
              <w:t>Z7002025002083</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9K450770</w:t>
            </w:r>
            <w:r>
              <w:rPr>
                <w:rFonts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hAnsi="宋体"/>
                <w:sz w:val="18"/>
                <w:szCs w:val="18"/>
              </w:rPr>
            </w:pPr>
            <w:r>
              <w:rPr>
                <w:rFonts w:hint="eastAsia" w:ascii="宋体" w:hAnsi="宋体"/>
                <w:color w:val="000000" w:themeColor="text1"/>
                <w:sz w:val="18"/>
                <w:szCs w:val="18"/>
                <w14:textFill>
                  <w14:solidFill>
                    <w14:schemeClr w14:val="tx1"/>
                  </w14:solidFill>
                </w14:textFill>
              </w:rPr>
              <w:t>【9K45077G】（</w:t>
            </w:r>
            <w:r>
              <w:rPr>
                <w:rFonts w:hint="eastAsia" w:ascii="宋体" w:hAnsi="宋体"/>
                <w:color w:val="000000" w:themeColor="text1"/>
                <w:sz w:val="18"/>
                <w:szCs w:val="18"/>
                <w:lang w:eastAsia="zh-CN"/>
                <w14:textFill>
                  <w14:solidFill>
                    <w14:schemeClr w14:val="tx1"/>
                  </w14:solidFill>
                </w14:textFill>
              </w:rPr>
              <w:t>适用【G】类份额</w:t>
            </w:r>
            <w:r>
              <w:rPr>
                <w:rFonts w:hint="eastAsia" w:ascii="宋体" w:hAnsi="宋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本产品属于【□ R1、</w:t>
            </w:r>
            <w:r>
              <w:rPr>
                <w:rFonts w:hint="eastAsia" w:asciiTheme="majorEastAsia" w:hAnsiTheme="majorEastAsia" w:eastAsiaTheme="majorEastAsia"/>
                <w:bCs/>
                <w:sz w:val="18"/>
                <w:szCs w:val="18"/>
              </w:rPr>
              <w:t>■</w:t>
            </w:r>
            <w:r>
              <w:rPr>
                <w:rFonts w:hint="eastAsia" w:ascii="黑体" w:hAnsi="黑体" w:eastAsia="黑体" w:cs="黑体"/>
                <w:bCs/>
                <w:sz w:val="18"/>
                <w:szCs w:val="18"/>
              </w:rPr>
              <w:t xml:space="preserve"> R2、□ R3、□ R4、□ R5】理财产品。</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r>
              <w:rPr>
                <w:rFonts w:hint="eastAsia"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lang w:eastAsia="zh-CN"/>
                <w14:textFill>
                  <w14:solidFill>
                    <w14:schemeClr w14:val="tx1"/>
                  </w14:solidFill>
                </w14:textFill>
              </w:rPr>
              <w:t>适用【G】类份额</w:t>
            </w:r>
            <w:r>
              <w:rPr>
                <w:rFonts w:hint="eastAsia" w:ascii="宋体" w:hAnsi="宋体"/>
                <w:color w:val="000000" w:themeColor="text1"/>
                <w:sz w:val="18"/>
                <w:szCs w:val="18"/>
                <w14:textFill>
                  <w14:solidFill>
                    <w14:schemeClr w14:val="tx1"/>
                  </w14:solidFill>
                </w14:textFill>
              </w:rPr>
              <w:t>）</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黑体" w:hAnsi="黑体" w:eastAsia="黑体" w:cs="黑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0.8</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color w:val="000000" w:themeColor="text1"/>
                <w:sz w:val="18"/>
                <w:szCs w:val="18"/>
                <w:lang w:eastAsia="zh-CN"/>
                <w14:textFill>
                  <w14:solidFill>
                    <w14:schemeClr w14:val="tx1"/>
                  </w14:solidFill>
                </w14:textFill>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22</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23</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认购期/募集期内资金产生的利息（如有）不计入本金份额</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2025</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90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90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90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inorEastAsia" w:hAnsiTheme="minorEastAsia"/>
                <w:sz w:val="18"/>
                <w:szCs w:val="18"/>
                <w:lang w:val="en-US" w:eastAsia="zh-CN"/>
              </w:rPr>
              <w:t>申请</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bookmarkStart w:id="194" w:name="_GoBack"/>
            <w:bookmarkEnd w:id="194"/>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cs="Times New Roman" w:asciiTheme="minorEastAsia" w:hAnsiTheme="min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1.00</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适用【G】类份额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w:t>
            </w:r>
            <w:r>
              <w:rPr>
                <w:rFonts w:hint="eastAsia" w:hAnsi="宋体"/>
                <w:bCs/>
                <w:sz w:val="18"/>
                <w:szCs w:val="18"/>
                <w:lang w:eastAsia="zh-CN"/>
              </w:rPr>
              <w:t>适用【G】类份额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4.理财产品份额净值四舍五入保留5位小数。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w:t>
            </w:r>
            <w:r>
              <w:rPr>
                <w:rFonts w:hint="eastAsia" w:hAnsi="宋体"/>
                <w:bCs/>
                <w:sz w:val="18"/>
                <w:szCs w:val="18"/>
                <w:lang w:eastAsia="zh-CN"/>
              </w:rPr>
              <w:t>适用【G】类份额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autoSpaceDE w:val="0"/>
              <w:autoSpaceDN w:val="0"/>
              <w:adjustRightInd w:val="0"/>
              <w:spacing w:line="360" w:lineRule="auto"/>
              <w:jc w:val="left"/>
              <w:rPr>
                <w:rFonts w:hint="eastAsia" w:asciiTheme="majorEastAsia" w:hAnsiTheme="majorEastAsia" w:eastAsiaTheme="majorEastAsia"/>
                <w:bCs/>
                <w:kern w:val="0"/>
                <w:sz w:val="18"/>
                <w:szCs w:val="18"/>
                <w:lang w:eastAsia="zh-CN"/>
              </w:rPr>
            </w:pPr>
            <w:r>
              <w:rPr>
                <w:rFonts w:hint="eastAsia" w:asciiTheme="majorEastAsia" w:hAnsiTheme="majorEastAsia" w:eastAsiaTheme="majorEastAsia"/>
                <w:bCs/>
                <w:kern w:val="0"/>
                <w:sz w:val="18"/>
                <w:szCs w:val="18"/>
                <w:lang w:eastAsia="zh-CN"/>
              </w:rPr>
              <w:t>【中债-新综合全价(1年以下)指数收益率*</w:t>
            </w:r>
            <w:r>
              <w:rPr>
                <w:rFonts w:hint="eastAsia" w:asciiTheme="majorEastAsia" w:hAnsiTheme="majorEastAsia" w:eastAsiaTheme="majorEastAsia"/>
                <w:bCs/>
                <w:kern w:val="0"/>
                <w:sz w:val="18"/>
                <w:szCs w:val="18"/>
                <w:lang w:val="en-US" w:eastAsia="zh-CN"/>
              </w:rPr>
              <w:t>60</w:t>
            </w:r>
            <w:r>
              <w:rPr>
                <w:rFonts w:hint="eastAsia" w:asciiTheme="majorEastAsia" w:hAnsiTheme="majorEastAsia" w:eastAsiaTheme="majorEastAsia"/>
                <w:bCs/>
                <w:kern w:val="0"/>
                <w:sz w:val="18"/>
                <w:szCs w:val="18"/>
                <w:lang w:eastAsia="zh-CN"/>
              </w:rPr>
              <w:t>%+人民银行7天通知存款利率*</w:t>
            </w:r>
            <w:r>
              <w:rPr>
                <w:rFonts w:hint="eastAsia" w:asciiTheme="majorEastAsia" w:hAnsiTheme="majorEastAsia" w:eastAsiaTheme="majorEastAsia"/>
                <w:bCs/>
                <w:kern w:val="0"/>
                <w:sz w:val="18"/>
                <w:szCs w:val="18"/>
                <w:lang w:val="en-US" w:eastAsia="zh-CN"/>
              </w:rPr>
              <w:t>40</w:t>
            </w:r>
            <w:r>
              <w:rPr>
                <w:rFonts w:hint="eastAsia" w:asciiTheme="majorEastAsia" w:hAnsiTheme="majorEastAsia" w:eastAsiaTheme="majorEastAsia"/>
                <w:bCs/>
                <w:kern w:val="0"/>
                <w:sz w:val="18"/>
                <w:szCs w:val="18"/>
                <w:lang w:eastAsia="zh-CN"/>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按照本产品说明书“理财产品的信息披露”条款约定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w:t>
            </w:r>
            <w:r>
              <w:rPr>
                <w:rFonts w:hint="eastAsia" w:hAnsi="宋体"/>
                <w:bCs/>
                <w:sz w:val="18"/>
                <w:szCs w:val="18"/>
                <w:lang w:eastAsia="zh-CN"/>
              </w:rPr>
              <w:t>适用【</w:t>
            </w:r>
            <w:r>
              <w:rPr>
                <w:rFonts w:hint="eastAsia" w:hAnsi="宋体"/>
                <w:bCs/>
                <w:sz w:val="18"/>
                <w:szCs w:val="18"/>
                <w:lang w:val="en-US" w:eastAsia="zh-CN"/>
              </w:rPr>
              <w:t>/</w:t>
            </w:r>
            <w:r>
              <w:rPr>
                <w:rFonts w:hint="eastAsia" w:hAnsi="宋体"/>
                <w:bCs/>
                <w:sz w:val="18"/>
                <w:szCs w:val="18"/>
                <w:lang w:eastAsia="zh-CN"/>
              </w:rPr>
              <w:t>】类份额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按照本产品说明书“理财产品的信息披露”条款约定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lang w:eastAsia="zh-CN"/>
                <w14:textFill>
                  <w14:solidFill>
                    <w14:schemeClr w14:val="tx1"/>
                  </w14:solidFill>
                </w14:textFill>
              </w:rPr>
              <w:t>适用【G】类份额</w:t>
            </w:r>
            <w:r>
              <w:rPr>
                <w:rFonts w:hint="eastAsia" w:asciiTheme="majorEastAsia" w:hAnsiTheme="majorEastAsia" w:eastAsiaTheme="majorEastAsia"/>
                <w:bCs/>
                <w:color w:val="000000" w:themeColor="text1"/>
                <w:sz w:val="18"/>
                <w:szCs w:val="18"/>
                <w14:textFill>
                  <w14:solidFill>
                    <w14:schemeClr w14:val="tx1"/>
                  </w14:solidFill>
                </w14:textFill>
              </w:rPr>
              <w:t>）</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【0.40%】</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黑体" w:hAnsi="黑体" w:eastAsia="黑体" w:cs="黑体"/>
                <w:sz w:val="18"/>
                <w:szCs w:val="18"/>
                <w:lang w:val="en-US" w:eastAsia="zh-CN"/>
              </w:rPr>
              <w:t>/</w:t>
            </w:r>
            <w:r>
              <w:rPr>
                <w:rFonts w:hint="eastAsia" w:ascii="黑体" w:hAnsi="黑体" w:eastAsia="黑体" w:cs="黑体"/>
                <w:sz w:val="18"/>
                <w:szCs w:val="18"/>
              </w:rPr>
              <w:t>】作为超额业绩报酬。</w:t>
            </w:r>
          </w:p>
          <w:p>
            <w:pPr>
              <w:spacing w:line="360" w:lineRule="auto"/>
              <w:rPr>
                <w:rFonts w:hint="eastAsia" w:ascii="黑体" w:hAnsi="黑体" w:eastAsia="黑体" w:cs="黑体"/>
                <w:bCs/>
                <w:sz w:val="18"/>
                <w:szCs w:val="18"/>
              </w:rPr>
            </w:pPr>
            <w:r>
              <w:rPr>
                <w:rFonts w:hint="eastAsia" w:ascii="黑体" w:hAnsi="黑体" w:eastAsia="黑体" w:cs="黑体"/>
                <w:bCs/>
                <w:sz w:val="18"/>
                <w:szCs w:val="18"/>
              </w:rPr>
              <w:t>2.以上费用金额均按照四舍五入方法，保留到小数点后2位。</w:t>
            </w:r>
          </w:p>
          <w:p>
            <w:pPr>
              <w:spacing w:line="360" w:lineRule="auto"/>
              <w:rPr>
                <w:rFonts w:ascii="黑体" w:hAnsi="黑体" w:eastAsia="黑体"/>
                <w:bCs/>
                <w:sz w:val="18"/>
                <w:szCs w:val="18"/>
              </w:rPr>
            </w:pPr>
            <w:r>
              <w:rPr>
                <w:rFonts w:hint="eastAsia" w:ascii="黑体" w:hAnsi="黑体" w:eastAsia="黑体" w:cs="黑体"/>
                <w:bCs/>
                <w:sz w:val="18"/>
                <w:szCs w:val="18"/>
              </w:rPr>
              <w:t>3.产品管理人有权根据相关法律和国家政策规定，对理财产品费用的收费项目、收费条件、收费标准和收费方式等进行调整。产品管理人对费用的调整将依本产品说明书的“理财产品的信息披露”条款约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10" w:name="_Toc10659"/>
      <w:bookmarkStart w:id="11" w:name="_Toc4403"/>
      <w:bookmarkStart w:id="12" w:name="_Toc92377132"/>
      <w:bookmarkStart w:id="13" w:name="_Toc21959"/>
      <w:bookmarkStart w:id="14" w:name="_Toc79154666"/>
      <w:r>
        <w:rPr>
          <w:rFonts w:ascii="Times New Roman"/>
          <w:sz w:val="30"/>
        </w:rPr>
        <w:t>第</w:t>
      </w:r>
      <w:r>
        <w:rPr>
          <w:rFonts w:hint="eastAsia" w:ascii="Times New Roman"/>
          <w:sz w:val="30"/>
        </w:rPr>
        <w:t>三条</w:t>
      </w:r>
      <w:r>
        <w:rPr>
          <w:rFonts w:ascii="Times New Roman"/>
          <w:sz w:val="30"/>
        </w:rPr>
        <w:t xml:space="preserve">  </w:t>
      </w:r>
      <w:bookmarkStart w:id="15" w:name="_Toc79392573"/>
      <w:r>
        <w:rPr>
          <w:rFonts w:hint="eastAsia" w:ascii="Times New Roman"/>
          <w:sz w:val="30"/>
        </w:rPr>
        <w:t>理财产品的认购</w:t>
      </w:r>
      <w:bookmarkEnd w:id="10"/>
      <w:bookmarkEnd w:id="11"/>
      <w:bookmarkEnd w:id="12"/>
      <w:bookmarkEnd w:id="13"/>
      <w:bookmarkEnd w:id="14"/>
    </w:p>
    <w:p>
      <w:pPr>
        <w:spacing w:line="360" w:lineRule="auto"/>
        <w:ind w:firstLine="361" w:firstLineChars="200"/>
        <w:rPr>
          <w:rFonts w:asciiTheme="minorEastAsia" w:hAnsiTheme="minorEastAsia"/>
          <w:b/>
          <w:bCs/>
          <w:sz w:val="18"/>
          <w:szCs w:val="18"/>
        </w:rPr>
      </w:pPr>
      <w:bookmarkStart w:id="16" w:name="_Hlt88031774"/>
      <w:bookmarkEnd w:id="16"/>
      <w:bookmarkStart w:id="17"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认购期/募集期内资金产生的利息（如有），不计入本金份额。</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8" w:name="_Toc32177"/>
      <w:bookmarkStart w:id="19" w:name="_Toc79154667"/>
      <w:bookmarkStart w:id="20" w:name="_Toc92377133"/>
      <w:bookmarkStart w:id="21" w:name="_Toc29856"/>
      <w:bookmarkStart w:id="22" w:name="_Toc6529"/>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8"/>
      <w:bookmarkEnd w:id="19"/>
      <w:bookmarkEnd w:id="20"/>
      <w:bookmarkEnd w:id="21"/>
      <w:bookmarkEnd w:id="22"/>
    </w:p>
    <w:bookmarkEnd w:id="17"/>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5"/>
    <w:p>
      <w:pPr>
        <w:pStyle w:val="2"/>
        <w:spacing w:before="0" w:after="0" w:line="360" w:lineRule="auto"/>
        <w:jc w:val="center"/>
        <w:rPr>
          <w:rFonts w:ascii="Times New Roman"/>
          <w:sz w:val="30"/>
        </w:rPr>
      </w:pPr>
      <w:bookmarkStart w:id="23" w:name="_Toc92377134"/>
      <w:bookmarkStart w:id="24" w:name="_Toc15203"/>
      <w:bookmarkStart w:id="25" w:name="_Toc27226"/>
      <w:bookmarkStart w:id="26" w:name="_Toc79154668"/>
      <w:bookmarkStart w:id="27" w:name="_Toc6714"/>
      <w:bookmarkStart w:id="28" w:name="_Toc16265"/>
      <w:bookmarkStart w:id="29" w:name="_Toc90742688"/>
      <w:bookmarkStart w:id="30" w:name="_Toc7151"/>
      <w:bookmarkStart w:id="31" w:name="_Toc90742390"/>
      <w:bookmarkStart w:id="32" w:name="_Toc29948"/>
      <w:bookmarkStart w:id="33" w:name="_Toc22074"/>
      <w:bookmarkStart w:id="34" w:name="_Toc12517"/>
      <w:bookmarkStart w:id="35" w:name="_Toc3266"/>
      <w:bookmarkStart w:id="36" w:name="_Toc27189"/>
      <w:bookmarkStart w:id="37" w:name="_Toc74065741"/>
      <w:bookmarkStart w:id="38" w:name="_Toc90742321"/>
      <w:bookmarkStart w:id="39" w:name="_Toc29784"/>
      <w:bookmarkStart w:id="40" w:name="_Toc23413"/>
      <w:bookmarkStart w:id="41" w:name="_Toc25685"/>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lang w:val="en-US" w:eastAsia="zh-CN"/>
        </w:rPr>
        <w:t>5</w:t>
      </w:r>
      <w:r>
        <w:rPr>
          <w:rFonts w:hint="eastAsia" w:asciiTheme="majorEastAsia" w:hAnsiTheme="majorEastAsia" w:eastAsiaTheme="majorEastAsia"/>
          <w:bCs/>
          <w:kern w:val="0"/>
          <w:sz w:val="18"/>
          <w:szCs w:val="18"/>
        </w:rPr>
        <w:t>）其他风险不高于前述资产的资产。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非因管理人主观因素导致突破前款规定比例限制的，产品管理人在流动性受限资产可出售、可转让或者恢复交易的15个交易日内调整至符合要求，监管机构规定的特殊情形除外。</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kern w:val="0"/>
          <w:sz w:val="18"/>
          <w:szCs w:val="18"/>
        </w:rPr>
      </w:pPr>
      <w:permStart w:id="18" w:edGrp="everyone"/>
      <w:r>
        <w:rPr>
          <w:rFonts w:hint="eastAsia" w:asciiTheme="majorEastAsia" w:hAnsiTheme="majorEastAsia" w:eastAsiaTheme="majorEastAsia"/>
          <w:bCs/>
          <w:kern w:val="0"/>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（4）全部开放式公募理财产品投资单一上市公司发行的股票不得超过该上市公司可流通股票的15%。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监管部门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（8）本产品因为流动性需要可开展存单质押、债券正回购等融资业务，本产品总资产不超过净资产的140%。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42" w:name="_Toc79154669"/>
      <w:bookmarkStart w:id="43" w:name="_Toc74065742"/>
      <w:bookmarkStart w:id="44" w:name="_Toc18797"/>
      <w:bookmarkStart w:id="45" w:name="_Toc5702"/>
      <w:bookmarkStart w:id="46" w:name="_Toc7848"/>
      <w:bookmarkStart w:id="47" w:name="_Toc21988"/>
      <w:bookmarkStart w:id="48" w:name="_Toc14893"/>
      <w:bookmarkStart w:id="49" w:name="_Toc27967"/>
      <w:bookmarkStart w:id="50" w:name="_Toc139991735"/>
      <w:bookmarkStart w:id="51" w:name="_Toc4741"/>
      <w:bookmarkStart w:id="52" w:name="_Toc18526"/>
      <w:bookmarkStart w:id="53" w:name="_Toc31087"/>
      <w:bookmarkStart w:id="54" w:name="_Toc17912"/>
      <w:bookmarkStart w:id="55" w:name="_Toc26986"/>
      <w:bookmarkStart w:id="56" w:name="_Toc141703885"/>
      <w:bookmarkStart w:id="57" w:name="_Toc92377135"/>
      <w:bookmarkStart w:id="58" w:name="_Toc18329"/>
      <w:bookmarkStart w:id="59" w:name="_Toc1823"/>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pPr>
        <w:pStyle w:val="34"/>
        <w:spacing w:line="360" w:lineRule="auto"/>
        <w:ind w:firstLine="361" w:firstLineChars="200"/>
        <w:rPr>
          <w:rFonts w:asciiTheme="majorEastAsia" w:hAnsiTheme="majorEastAsia" w:eastAsiaTheme="majorEastAsia"/>
          <w:b/>
          <w:color w:val="auto"/>
          <w:sz w:val="18"/>
          <w:szCs w:val="18"/>
        </w:rPr>
      </w:pPr>
      <w:bookmarkStart w:id="60"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60"/>
    <w:p>
      <w:pPr>
        <w:pStyle w:val="2"/>
        <w:spacing w:before="0" w:after="0" w:line="360" w:lineRule="auto"/>
        <w:jc w:val="center"/>
        <w:rPr>
          <w:rFonts w:ascii="Times New Roman"/>
          <w:sz w:val="28"/>
          <w:szCs w:val="28"/>
        </w:rPr>
      </w:pPr>
      <w:bookmarkStart w:id="61" w:name="_Toc13903"/>
      <w:bookmarkStart w:id="62" w:name="_Toc19132"/>
      <w:bookmarkStart w:id="63" w:name="_Toc83391971"/>
      <w:bookmarkStart w:id="64" w:name="_Toc11152"/>
      <w:bookmarkStart w:id="65" w:name="_Toc92377136"/>
      <w:bookmarkStart w:id="66" w:name="_Toc139991736"/>
      <w:bookmarkStart w:id="67" w:name="_Toc23261"/>
      <w:bookmarkStart w:id="68" w:name="_Toc123112234"/>
      <w:bookmarkStart w:id="69" w:name="_Toc79392606"/>
      <w:bookmarkStart w:id="70" w:name="_Toc20733"/>
      <w:bookmarkStart w:id="71" w:name="_Toc1270"/>
      <w:bookmarkStart w:id="72" w:name="_Toc123051452"/>
      <w:bookmarkStart w:id="73" w:name="_Toc48649707"/>
      <w:bookmarkStart w:id="74" w:name="_Toc23822"/>
      <w:bookmarkStart w:id="75" w:name="_Toc1427"/>
      <w:bookmarkStart w:id="76" w:name="_Toc98560352"/>
      <w:bookmarkStart w:id="77" w:name="_Toc141703886"/>
      <w:bookmarkStart w:id="78" w:name="_Toc74065743"/>
      <w:bookmarkStart w:id="79" w:name="_Toc10463"/>
      <w:bookmarkStart w:id="80" w:name="_Toc17244"/>
      <w:bookmarkStart w:id="81" w:name="_Toc79154670"/>
      <w:bookmarkStart w:id="82" w:name="_Toc4003"/>
      <w:bookmarkStart w:id="83" w:name="_Toc123102453"/>
      <w:bookmarkStart w:id="84" w:name="_Toc610"/>
      <w:bookmarkStart w:id="85" w:name="_Toc7920"/>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61"/>
      <w:bookmarkEnd w:id="62"/>
      <w:bookmarkEnd w:id="63"/>
      <w:bookmarkEnd w:id="64"/>
      <w:bookmarkEnd w:id="65"/>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，每个开放日进行一次估值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标准化债权类</w:t>
      </w:r>
      <w:r>
        <w:rPr>
          <w:rFonts w:asciiTheme="majorEastAsia" w:hAnsiTheme="majorEastAsia" w:eastAsiaTheme="majorEastAsia"/>
          <w:bCs/>
          <w:color w:val="auto"/>
          <w:sz w:val="18"/>
          <w:szCs w:val="18"/>
        </w:rPr>
        <w:t>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hAnsi="宋体"/>
          <w:sz w:val="18"/>
          <w:szCs w:val="18"/>
        </w:rPr>
      </w:pPr>
      <w:r>
        <w:rPr>
          <w:rFonts w:hint="eastAsia" w:hAnsi="宋体"/>
          <w:sz w:val="18"/>
          <w:szCs w:val="18"/>
        </w:rPr>
        <w:t>（2）对已发行但未上市流通，且第三方估值机构未提供估值数据的标准化债权类资产，</w:t>
      </w:r>
      <w:r>
        <w:rPr>
          <w:rFonts w:hint="eastAsia" w:asciiTheme="majorEastAsia" w:hAnsiTheme="majorEastAsia" w:eastAsiaTheme="majorEastAsia"/>
          <w:bCs/>
          <w:color w:val="auto"/>
          <w:sz w:val="18"/>
          <w:szCs w:val="18"/>
        </w:rPr>
        <w:t>采用当前情况下适用并且有足够可利用数据和其他信息支持的估值技术确定其公允价值。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对于</w:t>
      </w:r>
      <w:r>
        <w:rPr>
          <w:rFonts w:asciiTheme="majorEastAsia" w:hAnsiTheme="majorEastAsia" w:eastAsiaTheme="majorEastAsia"/>
          <w:bCs/>
          <w:color w:val="auto"/>
          <w:sz w:val="18"/>
          <w:szCs w:val="18"/>
        </w:rPr>
        <w:t>同时在多个不同市场交易的标准化债权类资产，</w:t>
      </w:r>
      <w:r>
        <w:rPr>
          <w:rFonts w:hint="eastAsia" w:asciiTheme="majorEastAsia" w:hAnsiTheme="majorEastAsia" w:eastAsiaTheme="majorEastAsia"/>
          <w:bCs/>
          <w:color w:val="auto"/>
          <w:sz w:val="18"/>
          <w:szCs w:val="18"/>
        </w:rPr>
        <w:t>按照其</w:t>
      </w:r>
      <w:r>
        <w:rPr>
          <w:rFonts w:asciiTheme="majorEastAsia" w:hAnsiTheme="majorEastAsia" w:eastAsiaTheme="majorEastAsia"/>
          <w:bCs/>
          <w:color w:val="auto"/>
          <w:sz w:val="18"/>
          <w:szCs w:val="18"/>
        </w:rPr>
        <w:t>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r>
        <w:rPr>
          <w:rFonts w:hAnsi="宋体"/>
          <w:sz w:val="18"/>
          <w:szCs w:val="18"/>
        </w:rPr>
        <w:t>；或采用第三方估值机构提供的价格数据确认公允价值</w:t>
      </w:r>
      <w:r>
        <w:rPr>
          <w:rFonts w:hint="eastAsia"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r>
        <w:rPr>
          <w:rFonts w:hint="eastAsia" w:asciiTheme="minorEastAsia" w:hAnsiTheme="minorEastAsia" w:eastAsiaTheme="minorEastAsia"/>
          <w:color w:val="auto"/>
          <w:sz w:val="18"/>
          <w:szCs w:val="18"/>
        </w:rPr>
        <w:t>；若前一估值日后至估值日期间（含节假日）基金万份收益未公布的，以基金管理人公布的最近一个估值日基金万份收益计算。</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2)本产品投资的境内上市开放式基金（LOF），按所投资基金估值日的基金份额净值估值；估值日基金净值未公布的，以基金管理人最近公布的基金份额净值计算。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w:t>
      </w:r>
      <w:r>
        <w:rPr>
          <w:rFonts w:hint="eastAsia" w:asciiTheme="minorEastAsia" w:hAnsiTheme="minorEastAsia" w:eastAsiaTheme="minorEastAsia"/>
          <w:color w:val="auto"/>
          <w:sz w:val="18"/>
          <w:szCs w:val="18"/>
        </w:rPr>
        <w:t>若估值日基金份额净值未公布的，以基金管理人最近公布的基金份额净值计算</w:t>
      </w:r>
      <w:r>
        <w:rPr>
          <w:rFonts w:asciiTheme="minorEastAsia" w:hAnsiTheme="minorEastAsia" w:eastAsiaTheme="minorEastAsia"/>
          <w:color w:val="auto"/>
          <w:sz w:val="18"/>
          <w:szCs w:val="18"/>
        </w:rPr>
        <w:t>；如所投资基金披露万份（百份）收益，则按所投资基金前一估值日后至估值日期间（含节假日）的万份（百份）收益计提估值日基金收益</w:t>
      </w:r>
      <w:r>
        <w:rPr>
          <w:rFonts w:hint="eastAsia" w:asciiTheme="minorEastAsia" w:hAnsiTheme="minorEastAsia" w:eastAsiaTheme="minorEastAsia"/>
          <w:color w:val="auto"/>
          <w:sz w:val="18"/>
          <w:szCs w:val="18"/>
        </w:rPr>
        <w:t>，若前一估值日后至估值日期间（含节假日）的万份（百份）收益未公布的，则按最新万份（百份）收益计提估值日基金收益</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资产管理人未提供净值，且从最近净值提供日到估值日整体市场环境及投资标的未发生重大变化的，可参考最近可获取的单位净值确定公允价值；若有充足证据表明最近可获取的净值不能真实反映公允价值的，可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bCs/>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1</w:t>
      </w:r>
      <w:r>
        <w:rPr>
          <w:rFonts w:hint="eastAsia" w:asciiTheme="minorEastAsia" w:hAnsiTheme="minorEastAsia" w:eastAsiaTheme="minorEastAsia"/>
          <w:bCs/>
          <w:sz w:val="18"/>
          <w:szCs w:val="18"/>
        </w:rPr>
        <w:t>）对于交易所交易的衍生金融工具，一般以估值日交易所公布的当日结算价估值；估值日无交易且最近交易日后未发生影响公允价值计量的重大事件的，按最近交易日的结算价估值；如最近交易日后发生影响公允价值计量的重大事件的，应采取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bCs/>
          <w:sz w:val="18"/>
          <w:szCs w:val="18"/>
        </w:rPr>
        <w:t>（</w:t>
      </w:r>
      <w:r>
        <w:rPr>
          <w:rFonts w:asciiTheme="minorEastAsia" w:hAnsiTheme="minorEastAsia" w:eastAsiaTheme="minorEastAsia"/>
          <w:bCs/>
          <w:sz w:val="18"/>
          <w:szCs w:val="18"/>
        </w:rPr>
        <w:t>2</w:t>
      </w:r>
      <w:r>
        <w:rPr>
          <w:rFonts w:hint="eastAsia" w:asciiTheme="minorEastAsia" w:hAnsiTheme="minorEastAsia" w:eastAsiaTheme="minorEastAsia"/>
          <w:bCs/>
          <w:sz w:val="18"/>
          <w:szCs w:val="18"/>
        </w:rPr>
        <w:t>）对于非交易所交易的衍生金融工具，可依据第三方机构提供的价格数据或采取相应衍生金融工具估值模型确定公允价值。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Pr>
        <w:pStyle w:val="2"/>
        <w:spacing w:before="0" w:after="0" w:line="360" w:lineRule="auto"/>
        <w:ind w:left="60" w:firstLine="10"/>
        <w:jc w:val="center"/>
        <w:rPr>
          <w:rFonts w:ascii="Times New Roman"/>
          <w:sz w:val="30"/>
        </w:rPr>
      </w:pPr>
      <w:bookmarkStart w:id="86" w:name="_Hlt70481650"/>
      <w:bookmarkEnd w:id="86"/>
      <w:bookmarkStart w:id="87" w:name="_Toc92377137"/>
      <w:bookmarkStart w:id="88" w:name="_Toc123112235"/>
      <w:bookmarkStart w:id="89" w:name="_Toc3601"/>
      <w:bookmarkStart w:id="90" w:name="_Toc31644"/>
      <w:bookmarkStart w:id="91" w:name="_Toc4020"/>
      <w:bookmarkStart w:id="92" w:name="_Toc29251"/>
      <w:bookmarkStart w:id="93" w:name="_Toc123102454"/>
      <w:bookmarkStart w:id="94" w:name="_Toc123051453"/>
      <w:bookmarkStart w:id="95" w:name="_Toc6405"/>
      <w:bookmarkStart w:id="96" w:name="_Toc98560353"/>
      <w:bookmarkStart w:id="97" w:name="_Toc14835"/>
      <w:bookmarkStart w:id="98" w:name="_Toc8045"/>
      <w:bookmarkStart w:id="99" w:name="_Toc31653"/>
      <w:bookmarkStart w:id="100" w:name="_Toc8695"/>
      <w:bookmarkStart w:id="101" w:name="_Toc15143"/>
      <w:bookmarkStart w:id="102" w:name="_Toc12245"/>
      <w:bookmarkStart w:id="103" w:name="_Toc26207"/>
      <w:bookmarkStart w:id="104" w:name="_Toc141703887"/>
      <w:bookmarkStart w:id="105" w:name="_Toc74065744"/>
      <w:bookmarkStart w:id="106" w:name="_Toc79154671"/>
      <w:bookmarkStart w:id="107" w:name="_Toc31235"/>
      <w:bookmarkStart w:id="108" w:name="_Toc13999173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Start w:id="109" w:name="_Hlt55355235"/>
      <w:bookmarkEnd w:id="109"/>
      <w:bookmarkStart w:id="110" w:name="_Toc57530239"/>
      <w:bookmarkStart w:id="111" w:name="_Toc523711668"/>
      <w:bookmarkStart w:id="112" w:name="_Toc79392580"/>
      <w:bookmarkStart w:id="113" w:name="_Toc15118234"/>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10"/>
    <w:bookmarkEnd w:id="111"/>
    <w:bookmarkEnd w:id="112"/>
    <w:bookmarkEnd w:id="113"/>
    <w:p>
      <w:pPr>
        <w:pStyle w:val="2"/>
        <w:spacing w:before="0" w:after="0" w:line="360" w:lineRule="auto"/>
        <w:jc w:val="center"/>
        <w:rPr>
          <w:rFonts w:ascii="Times New Roman"/>
          <w:sz w:val="30"/>
        </w:rPr>
      </w:pPr>
      <w:bookmarkStart w:id="114" w:name="_Hlt88825574"/>
      <w:bookmarkEnd w:id="114"/>
      <w:bookmarkStart w:id="115" w:name="_Hlt88897298"/>
      <w:bookmarkEnd w:id="115"/>
      <w:bookmarkStart w:id="116" w:name="_Toc3771"/>
      <w:bookmarkStart w:id="117" w:name="_Toc98560354"/>
      <w:bookmarkStart w:id="118" w:name="_Toc11030"/>
      <w:bookmarkStart w:id="119" w:name="_Toc6394"/>
      <w:bookmarkStart w:id="120" w:name="_Toc10650"/>
      <w:bookmarkStart w:id="121" w:name="_Toc18567"/>
      <w:bookmarkStart w:id="122" w:name="_Toc9706"/>
      <w:bookmarkStart w:id="123" w:name="_Toc1043"/>
      <w:bookmarkStart w:id="124" w:name="_Toc3321"/>
      <w:bookmarkStart w:id="125" w:name="_Toc141703888"/>
      <w:bookmarkStart w:id="126" w:name="_Toc123102455"/>
      <w:bookmarkStart w:id="127" w:name="_Toc7058"/>
      <w:bookmarkStart w:id="128" w:name="_Toc79154672"/>
      <w:bookmarkStart w:id="129" w:name="_Toc4559"/>
      <w:bookmarkStart w:id="130" w:name="_Toc123112236"/>
      <w:bookmarkStart w:id="131" w:name="_Toc22998"/>
      <w:bookmarkStart w:id="132" w:name="_Toc25783"/>
      <w:bookmarkStart w:id="133" w:name="_Toc79392583"/>
      <w:bookmarkStart w:id="134" w:name="_Toc139991738"/>
      <w:bookmarkStart w:id="135" w:name="_Toc74065745"/>
      <w:bookmarkStart w:id="136" w:name="_Toc6447"/>
      <w:bookmarkStart w:id="137" w:name="_Toc92377138"/>
      <w:bookmarkStart w:id="138" w:name="_Toc123051454"/>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pPr>
        <w:pStyle w:val="34"/>
        <w:spacing w:line="360" w:lineRule="auto"/>
        <w:ind w:firstLine="361" w:firstLineChars="200"/>
        <w:rPr>
          <w:rFonts w:hint="eastAsia" w:ascii="黑体" w:hAnsi="黑体" w:eastAsia="黑体" w:cs="黑体"/>
          <w:b/>
          <w:color w:val="auto"/>
          <w:sz w:val="18"/>
          <w:szCs w:val="18"/>
        </w:rPr>
      </w:pPr>
      <w:r>
        <w:rPr>
          <w:rFonts w:hint="eastAsia" w:ascii="黑体" w:hAnsi="黑体" w:eastAsia="黑体" w:cs="黑体"/>
          <w:b/>
          <w:color w:val="auto"/>
          <w:sz w:val="18"/>
          <w:szCs w:val="18"/>
        </w:rPr>
        <w:t>（一）理财产品的费用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1.理财产品费用的种类</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（3）理财产品的投资管理费及超额业绩报酬；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（4）理财产品的产品托管费；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（5）理财产品的交易费用（包括但不限于证券交易费用、经纪费用等）；</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（7）按照国家法律法规规定可以列入的其他费用。</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2.理财产品费用计提方法、计提标准和支付方式</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（1）理财产品的认购费、申购费、赎回费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1）认购费：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2）申购费：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Style w:val="30"/>
          <w:rFonts w:hint="eastAsia" w:ascii="黑体" w:hAnsi="黑体" w:eastAsia="黑体" w:cs="黑体"/>
          <w:kern w:val="0"/>
        </w:rPr>
      </w:pPr>
      <w:r>
        <w:rPr>
          <w:rFonts w:hint="eastAsia" w:ascii="黑体" w:hAnsi="黑体" w:eastAsia="黑体" w:cs="黑体"/>
          <w:kern w:val="0"/>
          <w:sz w:val="18"/>
          <w:szCs w:val="18"/>
        </w:rPr>
        <w:t>3）赎回费：</w:t>
      </w:r>
      <w:r>
        <w:rPr>
          <w:rFonts w:hint="eastAsia" w:ascii="黑体" w:hAnsi="黑体" w:eastAsia="黑体" w:cs="黑体"/>
          <w:bCs/>
          <w:sz w:val="18"/>
          <w:szCs w:val="18"/>
        </w:rPr>
        <w:t>费率具体数值以《</w:t>
      </w:r>
      <w:r>
        <w:rPr>
          <w:rFonts w:hint="eastAsia" w:ascii="黑体" w:hAnsi="黑体" w:eastAsia="黑体" w:cs="黑体"/>
          <w:sz w:val="18"/>
          <w:szCs w:val="18"/>
        </w:rPr>
        <w:t>产品说明书》“第二条 理财产品基本情况”</w:t>
      </w:r>
      <w:r>
        <w:rPr>
          <w:rFonts w:hint="eastAsia" w:ascii="黑体" w:hAnsi="黑体" w:eastAsia="黑体" w:cs="黑体"/>
          <w:bCs/>
          <w:sz w:val="18"/>
          <w:szCs w:val="18"/>
        </w:rPr>
        <w:t>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（2）理财产品的销售服务费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H＝E×销售服务费年费率÷365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H为每日应计提的销售服务费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pStyle w:val="34"/>
        <w:spacing w:line="360" w:lineRule="auto"/>
        <w:ind w:firstLine="360" w:firstLineChars="200"/>
        <w:rPr>
          <w:rFonts w:hint="eastAsia" w:ascii="黑体" w:hAnsi="黑体" w:eastAsia="黑体" w:cs="黑体"/>
          <w:color w:val="auto"/>
          <w:kern w:val="2"/>
          <w:sz w:val="18"/>
          <w:szCs w:val="18"/>
        </w:rPr>
      </w:pPr>
      <w:r>
        <w:rPr>
          <w:rFonts w:hint="eastAsia" w:ascii="黑体" w:hAnsi="黑体" w:eastAsia="黑体" w:cs="黑体"/>
          <w:color w:val="auto"/>
          <w:sz w:val="18"/>
          <w:szCs w:val="18"/>
        </w:rPr>
        <w:t>销售服务费依照上述约定，从理财财产中支付。</w:t>
      </w:r>
      <w:r>
        <w:rPr>
          <w:rFonts w:hint="eastAsia" w:ascii="黑体" w:hAnsi="黑体" w:eastAsia="黑体" w:cs="黑体"/>
          <w:color w:val="auto"/>
          <w:kern w:val="2"/>
          <w:sz w:val="18"/>
          <w:szCs w:val="18"/>
        </w:rPr>
        <w:t>费率具体数值以</w:t>
      </w:r>
      <w:r>
        <w:rPr>
          <w:rFonts w:hint="eastAsia" w:ascii="黑体" w:hAnsi="黑体" w:eastAsia="黑体" w:cs="黑体"/>
          <w:color w:val="auto"/>
          <w:sz w:val="18"/>
          <w:szCs w:val="18"/>
        </w:rPr>
        <w:t>《产品说明书》“第二条 理财产品基本情况”</w:t>
      </w:r>
      <w:r>
        <w:rPr>
          <w:rFonts w:hint="eastAsia" w:ascii="黑体" w:hAnsi="黑体" w:eastAsia="黑体" w:cs="黑体"/>
          <w:color w:val="auto"/>
          <w:kern w:val="2"/>
          <w:sz w:val="18"/>
          <w:szCs w:val="18"/>
        </w:rPr>
        <w:t>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（3）理财产品的投资管理费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本产品的投资管理费按前一日理财资产净值与投资管理费每日费率每日计提。</w:t>
      </w:r>
      <w:r>
        <w:rPr>
          <w:rFonts w:hint="eastAsia" w:ascii="黑体" w:hAnsi="黑体" w:eastAsia="黑体" w:cs="黑体"/>
          <w:kern w:val="0"/>
          <w:sz w:val="18"/>
          <w:szCs w:val="18"/>
        </w:rPr>
        <w:t>投资管理费的计算方法如下：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H＝E×投资管理费年费率÷365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H为每日应计提的产品投资管理费</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投资管理费依照上述约定，从理财财产中支付。</w:t>
      </w:r>
      <w:r>
        <w:rPr>
          <w:rFonts w:hint="eastAsia" w:ascii="黑体" w:hAnsi="黑体" w:eastAsia="黑体" w:cs="黑体"/>
          <w:sz w:val="18"/>
          <w:szCs w:val="18"/>
        </w:rPr>
        <w:t>费率具体数值以《产品说明书》“第二条 理财产品基本情况”为准</w:t>
      </w:r>
      <w:r>
        <w:rPr>
          <w:rFonts w:hint="eastAsia" w:ascii="黑体" w:hAnsi="黑体" w:eastAsia="黑体" w:cs="黑体"/>
          <w:kern w:val="0"/>
          <w:sz w:val="18"/>
          <w:szCs w:val="18"/>
        </w:rPr>
        <w:t>。</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（4）超额业绩报酬</w:t>
      </w:r>
    </w:p>
    <w:p>
      <w:pPr>
        <w:widowControl/>
        <w:spacing w:line="360" w:lineRule="auto"/>
        <w:ind w:firstLine="360" w:firstLineChars="200"/>
        <w:jc w:val="left"/>
        <w:rPr>
          <w:rFonts w:hint="eastAsia" w:ascii="黑体" w:hAnsi="黑体" w:eastAsia="黑体" w:cs="黑体"/>
          <w:sz w:val="18"/>
          <w:szCs w:val="18"/>
        </w:rPr>
      </w:pPr>
      <w:permStart w:id="23" w:edGrp="everyone"/>
      <w:r>
        <w:rPr>
          <w:rFonts w:hint="eastAsia" w:ascii="黑体" w:hAnsi="黑体" w:eastAsia="黑体" w:cs="黑体"/>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业绩报酬计提基准的设置、超额业绩报酬的具体比例数值以《</w:t>
      </w:r>
      <w:r>
        <w:rPr>
          <w:rFonts w:hint="eastAsia" w:ascii="黑体" w:hAnsi="黑体" w:eastAsia="黑体" w:cs="黑体"/>
          <w:bCs/>
          <w:sz w:val="18"/>
          <w:szCs w:val="18"/>
        </w:rPr>
        <w:t>产品说明</w:t>
      </w:r>
      <w:r>
        <w:rPr>
          <w:rFonts w:hint="eastAsia" w:ascii="黑体" w:hAnsi="黑体" w:eastAsia="黑体" w:cs="黑体"/>
          <w:sz w:val="18"/>
          <w:szCs w:val="18"/>
        </w:rPr>
        <w:t>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1）收取超额业绩报酬的原则：</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①按投资者每份产品份额分别计算年化收益率并计提超额业绩报酬；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2）超额业绩报酬计提方法</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①超额业绩报酬计提起始日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②超额业绩报酬计提日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每份产品份额超额业绩报酬计提日为投资者提出赎回申请的产品份额所对应的赎回日或产品终止日。</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③超额业绩报酬的计算</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产品管理人对每份份额当前年化收益率（R）超过当前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的部分，按比例（N）以及产品份额持有天数（D）提取超额业绩报酬，计算方法如下：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，超额业绩报酬=0；</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当R＞当前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，超额业绩报酬=赎回的产品份额或产品终止时投资者持有的产品份额×产品成立日或产品份额申购日的产品份额净值×（R-当前</w:t>
      </w:r>
      <w:r>
        <w:rPr>
          <w:rFonts w:hint="eastAsia" w:ascii="黑体" w:hAnsi="黑体" w:eastAsia="黑体" w:cs="黑体"/>
          <w:color w:val="000000"/>
          <w:kern w:val="0"/>
          <w:sz w:val="18"/>
          <w:szCs w:val="18"/>
        </w:rPr>
        <w:t>业绩报酬计提基准</w:t>
      </w:r>
      <w:r>
        <w:rPr>
          <w:rFonts w:hint="eastAsia" w:ascii="黑体" w:hAnsi="黑体" w:eastAsia="黑体" w:cs="黑体"/>
          <w:sz w:val="18"/>
          <w:szCs w:val="18"/>
        </w:rPr>
        <w:t>）×N×D/365。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（5）理财产品的产品托管费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sz w:val="18"/>
          <w:szCs w:val="18"/>
        </w:rPr>
        <w:t>本产品的产品托管费按前一日理财资产净值与产品托管费每日费率每日计提。</w:t>
      </w:r>
      <w:r>
        <w:rPr>
          <w:rFonts w:hint="eastAsia" w:ascii="黑体" w:hAnsi="黑体" w:eastAsia="黑体" w:cs="黑体"/>
          <w:kern w:val="0"/>
          <w:sz w:val="18"/>
          <w:szCs w:val="18"/>
        </w:rPr>
        <w:t>产品托管费的计算方法如下：</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H＝E×产品托管费年费率÷365</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H为每日应计提的产品托管费</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E为前一日的理财资产净值</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产品托管费依照上述约定，从理财财产中支付。</w:t>
      </w:r>
      <w:r>
        <w:rPr>
          <w:rFonts w:hint="eastAsia" w:ascii="黑体" w:hAnsi="黑体" w:eastAsia="黑体" w:cs="黑体"/>
          <w:sz w:val="18"/>
          <w:szCs w:val="18"/>
        </w:rPr>
        <w:t>费率具体数值以《产品说明书》“第二条 理财产品基本情况”为准。</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（6）上述理财产品的证券交易费用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w:t>
      </w:r>
    </w:p>
    <w:p>
      <w:pPr>
        <w:widowControl/>
        <w:spacing w:line="360" w:lineRule="auto"/>
        <w:ind w:firstLine="360" w:firstLineChars="200"/>
        <w:jc w:val="left"/>
        <w:rPr>
          <w:rFonts w:hint="eastAsia" w:ascii="黑体" w:hAnsi="黑体" w:eastAsia="黑体" w:cs="黑体"/>
          <w:sz w:val="18"/>
          <w:szCs w:val="18"/>
        </w:rPr>
      </w:pPr>
      <w:r>
        <w:rPr>
          <w:rFonts w:hint="eastAsia" w:ascii="黑体" w:hAnsi="黑体" w:eastAsia="黑体" w:cs="黑体"/>
          <w:kern w:val="0"/>
          <w:sz w:val="18"/>
          <w:szCs w:val="18"/>
        </w:rPr>
        <w:t>（7）上述理财产品验资费、审计费、律师费、信息披露费、清算费、执行费用等相关费用</w:t>
      </w:r>
    </w:p>
    <w:p>
      <w:pPr>
        <w:widowControl/>
        <w:spacing w:line="360" w:lineRule="auto"/>
        <w:ind w:firstLine="360" w:firstLineChars="200"/>
        <w:jc w:val="left"/>
        <w:rPr>
          <w:rFonts w:hint="eastAsia" w:ascii="黑体" w:hAnsi="黑体" w:eastAsia="黑体" w:cs="黑体"/>
          <w:kern w:val="0"/>
          <w:sz w:val="18"/>
          <w:szCs w:val="18"/>
        </w:rPr>
      </w:pPr>
      <w:r>
        <w:rPr>
          <w:rFonts w:hint="eastAsia" w:ascii="黑体" w:hAnsi="黑体" w:eastAsia="黑体" w:cs="黑体"/>
          <w:kern w:val="0"/>
          <w:sz w:val="18"/>
          <w:szCs w:val="18"/>
        </w:rPr>
        <w:t>按费用实际支出金额列入当期费用，从理财财产中支付。产品管理人因处理上述事务而先行垫付上述费用的，管理人有权从理财产品资产中优先受偿。</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3.</w:t>
      </w:r>
      <w:r>
        <w:rPr>
          <w:rFonts w:hint="eastAsia" w:ascii="黑体" w:hAnsi="黑体" w:eastAsia="黑体" w:cs="黑体"/>
          <w:color w:val="auto"/>
          <w:sz w:val="18"/>
          <w:szCs w:val="18"/>
        </w:rPr>
        <w:t>★理财产品费用</w:t>
      </w:r>
      <w:r>
        <w:rPr>
          <w:rFonts w:hint="eastAsia" w:ascii="黑体" w:hAnsi="黑体" w:eastAsia="黑体" w:cs="黑体"/>
          <w:color w:val="auto"/>
          <w:sz w:val="18"/>
        </w:rPr>
        <w:t>的调整</w:t>
      </w:r>
    </w:p>
    <w:p>
      <w:pPr>
        <w:pStyle w:val="34"/>
        <w:spacing w:line="360" w:lineRule="auto"/>
        <w:ind w:firstLine="360" w:firstLineChars="200"/>
        <w:rPr>
          <w:rFonts w:hint="eastAsia" w:ascii="黑体" w:hAnsi="黑体" w:eastAsia="黑体" w:cs="黑体"/>
          <w:color w:val="auto"/>
          <w:sz w:val="18"/>
        </w:rPr>
      </w:pPr>
      <w:r>
        <w:rPr>
          <w:rFonts w:hint="eastAsia" w:ascii="黑体" w:hAnsi="黑体" w:eastAsia="黑体" w:cs="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hint="eastAsia" w:ascii="黑体" w:hAnsi="黑体" w:eastAsia="黑体" w:cs="黑体"/>
          <w:b/>
          <w:color w:val="auto"/>
          <w:sz w:val="18"/>
        </w:rPr>
      </w:pPr>
      <w:r>
        <w:rPr>
          <w:rFonts w:hint="eastAsia" w:ascii="黑体" w:hAnsi="黑体" w:eastAsia="黑体" w:cs="黑体"/>
          <w:color w:val="auto"/>
          <w:sz w:val="18"/>
        </w:rPr>
        <w:t>（2）产品管理人有权</w:t>
      </w:r>
      <w:r>
        <w:rPr>
          <w:rFonts w:hint="eastAsia" w:ascii="黑体" w:hAnsi="黑体" w:eastAsia="黑体" w:cs="黑体"/>
          <w:color w:val="auto"/>
          <w:sz w:val="18"/>
          <w:szCs w:val="18"/>
        </w:rPr>
        <w:t>根据相关法律和国家政策规定，</w:t>
      </w:r>
      <w:r>
        <w:rPr>
          <w:rFonts w:hint="eastAsia" w:ascii="黑体" w:hAnsi="黑体" w:eastAsia="黑体" w:cs="黑体"/>
          <w:color w:val="auto"/>
          <w:sz w:val="18"/>
        </w:rPr>
        <w:t>对理财产品费用的收费项目、收费条件、收费标准和收费方式等进行调整。产品管理人对费用的调整</w:t>
      </w:r>
      <w:r>
        <w:rPr>
          <w:rFonts w:hint="eastAsia" w:ascii="黑体" w:hAnsi="黑体" w:eastAsia="黑体" w:cs="黑体"/>
          <w:bCs/>
          <w:color w:val="auto"/>
          <w:sz w:val="18"/>
        </w:rPr>
        <w:t>将依本产品说明书的“理财产品的信息披露”条款约定进行公告。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9" w:name="_Toc1745"/>
      <w:bookmarkStart w:id="140" w:name="_Toc3963"/>
      <w:r>
        <w:br w:type="page"/>
      </w:r>
      <w:bookmarkStart w:id="141" w:name="_Toc92377139"/>
      <w:bookmarkStart w:id="142" w:name="_Toc16164"/>
      <w:bookmarkStart w:id="143" w:name="_Toc98560355"/>
      <w:bookmarkStart w:id="144" w:name="_Toc123112237"/>
      <w:bookmarkStart w:id="145" w:name="_Toc123051455"/>
      <w:bookmarkStart w:id="146" w:name="_Toc3572"/>
      <w:bookmarkStart w:id="147" w:name="_Toc79154673"/>
      <w:bookmarkStart w:id="148" w:name="_Toc31821"/>
      <w:bookmarkStart w:id="149" w:name="_Toc123102456"/>
      <w:bookmarkStart w:id="150" w:name="_Toc725"/>
      <w:bookmarkStart w:id="151" w:name="_Toc2757"/>
      <w:bookmarkStart w:id="152" w:name="_Toc10398"/>
      <w:bookmarkStart w:id="153" w:name="_Toc139991739"/>
      <w:bookmarkStart w:id="154" w:name="_Toc3080"/>
      <w:bookmarkStart w:id="155" w:name="_Toc21735"/>
      <w:bookmarkStart w:id="156" w:name="_Toc5388"/>
      <w:bookmarkStart w:id="157" w:name="_Toc18206"/>
      <w:bookmarkStart w:id="158" w:name="_Toc141703889"/>
      <w:bookmarkStart w:id="159" w:name="_Toc25397"/>
      <w:bookmarkStart w:id="160" w:name="_Toc74065746"/>
      <w:r>
        <w:rPr>
          <w:rFonts w:hint="eastAsia"/>
          <w:sz w:val="30"/>
        </w:rPr>
        <w:t>第十条</w:t>
      </w:r>
      <w:r>
        <w:rPr>
          <w:sz w:val="30"/>
        </w:rPr>
        <w:t xml:space="preserve">  </w:t>
      </w:r>
      <w:r>
        <w:rPr>
          <w:rFonts w:hint="eastAsia"/>
          <w:sz w:val="30"/>
        </w:rPr>
        <w:t>理财产品的终止与清算</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spacing w:line="360" w:lineRule="auto"/>
        <w:ind w:firstLine="361" w:firstLineChars="200"/>
        <w:rPr>
          <w:rFonts w:asciiTheme="majorEastAsia" w:hAnsiTheme="majorEastAsia" w:eastAsiaTheme="majorEastAsia"/>
          <w:b/>
          <w:bCs/>
          <w:sz w:val="18"/>
          <w:szCs w:val="18"/>
        </w:rPr>
      </w:pPr>
      <w:bookmarkStart w:id="161" w:name="_Toc57530252"/>
      <w:bookmarkStart w:id="162" w:name="_Toc15118245"/>
      <w:bookmarkStart w:id="16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61"/>
    <w:bookmarkEnd w:id="162"/>
    <w:bookmarkEnd w:id="16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内产生的利息（如有）归投资者所有。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理财产品部分终止日（含当日）至理财利益实际到账日之间产生的利息（如有），归投资者所有。</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spacing w:line="360" w:lineRule="auto"/>
        <w:ind w:firstLine="360" w:firstLineChars="200"/>
        <w:rPr>
          <w:rFonts w:hint="eastAsia" w:asciiTheme="majorEastAsia" w:hAnsiTheme="majorEastAsia" w:eastAsiaTheme="majorEastAsia"/>
          <w:bCs/>
          <w:sz w:val="18"/>
          <w:szCs w:val="18"/>
        </w:rPr>
      </w:pPr>
      <w:r>
        <w:rPr>
          <w:rFonts w:hint="eastAsia" w:asciiTheme="majorEastAsia" w:hAnsiTheme="majorEastAsia" w:eastAsiaTheme="majorEastAsia"/>
          <w:bCs/>
          <w:sz w:val="18"/>
          <w:szCs w:val="18"/>
        </w:rPr>
        <w:t>4.理财产品终止日，如遇理财产品项下资产因包括但不限于市场风险、信用风险等原因不能全部变现，本产品存在二次或多次清算的可能。如产品管理人拟进行二次或多次清算的，将依约定进行公告。对于未变现资产部分，产品管理人以投资者利益最大化的原则，寻求未变现资产变现方式，在资产变现后，产品持有的现金类资产在扣除理财相关费用、缴纳所欠税款并清偿理财产品负债后，在【5】个工作日内按投资者持有的理财产品份额比例向投资者进行再次分配。</w:t>
      </w:r>
    </w:p>
    <w:p>
      <w:pPr>
        <w:pStyle w:val="2"/>
        <w:spacing w:before="0" w:after="0" w:line="360" w:lineRule="auto"/>
        <w:jc w:val="center"/>
        <w:rPr>
          <w:rFonts w:ascii="Times New Roman"/>
          <w:sz w:val="18"/>
          <w:szCs w:val="18"/>
        </w:rPr>
      </w:pPr>
      <w:r>
        <w:rPr>
          <w:rFonts w:ascii="Times New Roman"/>
          <w:b w:val="0"/>
          <w:bCs w:val="0"/>
          <w:kern w:val="2"/>
        </w:rPr>
        <w:br w:type="page"/>
      </w:r>
      <w:bookmarkStart w:id="164" w:name="_Toc92377140"/>
      <w:bookmarkStart w:id="165" w:name="_Toc593"/>
      <w:bookmarkStart w:id="166" w:name="_Toc24268"/>
      <w:bookmarkStart w:id="167" w:name="_Toc7953"/>
      <w:bookmarkStart w:id="168" w:name="_Toc17198"/>
      <w:bookmarkStart w:id="169" w:name="_Toc29408"/>
      <w:bookmarkStart w:id="170" w:name="_Toc5170"/>
      <w:bookmarkStart w:id="171" w:name="_Toc139991740"/>
      <w:bookmarkStart w:id="172" w:name="_Toc3329"/>
      <w:bookmarkStart w:id="173" w:name="_Toc123102457"/>
      <w:bookmarkStart w:id="174" w:name="_Toc739"/>
      <w:bookmarkStart w:id="175" w:name="_Toc79154674"/>
      <w:bookmarkStart w:id="176" w:name="_Toc141703890"/>
      <w:bookmarkStart w:id="177" w:name="_Toc79392622"/>
      <w:bookmarkStart w:id="178" w:name="_Toc123112238"/>
      <w:bookmarkStart w:id="179" w:name="_Toc32092"/>
      <w:bookmarkStart w:id="180" w:name="_Toc98560356"/>
      <w:bookmarkStart w:id="181" w:name="_Toc83391975"/>
      <w:bookmarkStart w:id="182" w:name="_Toc8791"/>
      <w:bookmarkStart w:id="183" w:name="_Toc74065747"/>
      <w:bookmarkStart w:id="184" w:name="_Toc32584"/>
      <w:bookmarkStart w:id="185" w:name="_Toc21237"/>
      <w:bookmarkStart w:id="186" w:name="_Toc17920"/>
      <w:bookmarkStart w:id="187" w:name="_Toc123051456"/>
      <w:bookmarkStart w:id="188" w:name="_Toc48649708"/>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64"/>
      <w:bookmarkEnd w:id="165"/>
      <w:bookmarkEnd w:id="166"/>
      <w:bookmarkEnd w:id="167"/>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期间，每【工作日】向投资者披露一次估值日公告，估值日公告披露的内容包括估值日的产品份额净值、产品份额累计净值等。如遇法定节假日顺延。此外，如遇其他特殊情况，以产品管理人信息披露为准。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89" w:name="_Toc92377141"/>
      <w:bookmarkStart w:id="190" w:name="_Toc30149"/>
      <w:bookmarkStart w:id="191" w:name="_Toc184"/>
      <w:bookmarkStart w:id="192" w:name="_Toc8020"/>
      <w:bookmarkStart w:id="193"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89"/>
      <w:bookmarkEnd w:id="190"/>
      <w:bookmarkEnd w:id="191"/>
      <w:bookmarkEnd w:id="192"/>
      <w:bookmarkEnd w:id="193"/>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lang w:val="en-US" w:eastAsia="zh-CN"/>
        </w:rPr>
        <w:t>1）</w:t>
      </w:r>
      <w:r>
        <w:rPr>
          <w:rFonts w:hint="eastAsia" w:ascii="宋体" w:hAnsi="宋体"/>
          <w:sz w:val="18"/>
          <w:szCs w:val="18"/>
        </w:rPr>
        <w:t>投资标准化债权类资产的风险</w:t>
      </w:r>
    </w:p>
    <w:p>
      <w:pPr>
        <w:spacing w:line="360" w:lineRule="auto"/>
        <w:ind w:firstLine="360" w:firstLineChars="200"/>
        <w:rPr>
          <w:rFonts w:hint="eastAsia" w:ascii="宋体" w:hAnsi="宋体" w:eastAsia="宋体"/>
          <w:sz w:val="18"/>
          <w:szCs w:val="18"/>
          <w:lang w:val="en-US" w:eastAsia="zh-CN"/>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hint="eastAsia" w:ascii="黑体" w:hAnsi="黑体" w:eastAsia="黑体" w:cs="黑体"/>
          <w:sz w:val="18"/>
          <w:szCs w:val="18"/>
        </w:rPr>
      </w:pPr>
      <w:r>
        <w:rPr>
          <w:rFonts w:hint="eastAsia" w:ascii="黑体" w:hAnsi="黑体" w:eastAsia="黑体" w:cs="黑体"/>
          <w:sz w:val="18"/>
          <w:szCs w:val="18"/>
        </w:rPr>
        <w:t>17.★关联交易风险</w:t>
      </w:r>
    </w:p>
    <w:p>
      <w:pPr>
        <w:spacing w:line="360" w:lineRule="auto"/>
        <w:ind w:firstLine="360" w:firstLineChars="200"/>
        <w:rPr>
          <w:rFonts w:ascii="宋体" w:hAnsi="宋体"/>
          <w:sz w:val="18"/>
          <w:szCs w:val="18"/>
        </w:rPr>
      </w:pPr>
      <w:r>
        <w:rPr>
          <w:rFonts w:hint="eastAsia" w:ascii="黑体" w:hAnsi="黑体" w:eastAsia="黑体" w:cs="黑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34</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bordersDoNotSurroundHeader w:val="1"/>
  <w:bordersDoNotSurroundFooter w:val="1"/>
  <w:documentProtection w:edit="readOnly" w:enforcement="1" w:cryptProviderType="rsaFull" w:cryptAlgorithmClass="hash" w:cryptAlgorithmType="typeAny" w:cryptAlgorithmSid="4" w:cryptSpinCount="0" w:hash="vbRdCvAl/JdA0I4A/LGfU4WYnhc=" w:salt="2S1ZVbeRKpX85N9esXA6DQ=="/>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063E0"/>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AA"/>
    <w:rsid w:val="001D03C8"/>
    <w:rsid w:val="001D06D0"/>
    <w:rsid w:val="001D0990"/>
    <w:rsid w:val="001D1354"/>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5C9E"/>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0FA8"/>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2F7CC5"/>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4CA1"/>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128F"/>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17FF1"/>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358"/>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17479"/>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1DF1"/>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721"/>
    <w:rsid w:val="007B3CAC"/>
    <w:rsid w:val="007B435B"/>
    <w:rsid w:val="007B7A50"/>
    <w:rsid w:val="007B7E70"/>
    <w:rsid w:val="007C0495"/>
    <w:rsid w:val="007C67CB"/>
    <w:rsid w:val="007D115D"/>
    <w:rsid w:val="007D1185"/>
    <w:rsid w:val="007D37FB"/>
    <w:rsid w:val="007D3AB0"/>
    <w:rsid w:val="007D3C57"/>
    <w:rsid w:val="007D6324"/>
    <w:rsid w:val="007D68C9"/>
    <w:rsid w:val="007D6F94"/>
    <w:rsid w:val="007D7B84"/>
    <w:rsid w:val="007E1F76"/>
    <w:rsid w:val="007E31AB"/>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0C79"/>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B65"/>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714"/>
    <w:rsid w:val="00AB3C03"/>
    <w:rsid w:val="00AB50AF"/>
    <w:rsid w:val="00AB52EA"/>
    <w:rsid w:val="00AB5EF6"/>
    <w:rsid w:val="00AB7B14"/>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6A10"/>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384D"/>
    <w:rsid w:val="00D25869"/>
    <w:rsid w:val="00D25AC0"/>
    <w:rsid w:val="00D25C0A"/>
    <w:rsid w:val="00D25D86"/>
    <w:rsid w:val="00D263F1"/>
    <w:rsid w:val="00D26487"/>
    <w:rsid w:val="00D265C8"/>
    <w:rsid w:val="00D323C4"/>
    <w:rsid w:val="00D332C3"/>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1725"/>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635A"/>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145A"/>
    <w:rsid w:val="00F555B0"/>
    <w:rsid w:val="00F6162A"/>
    <w:rsid w:val="00F66759"/>
    <w:rsid w:val="00F66D5C"/>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5650"/>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5A63346"/>
    <w:rsid w:val="06DC01DA"/>
    <w:rsid w:val="06F4696E"/>
    <w:rsid w:val="07245E56"/>
    <w:rsid w:val="0A8C1B58"/>
    <w:rsid w:val="0C023D8C"/>
    <w:rsid w:val="0C225D7B"/>
    <w:rsid w:val="0C8E2CE6"/>
    <w:rsid w:val="0CED3570"/>
    <w:rsid w:val="0E9022D3"/>
    <w:rsid w:val="0E94232E"/>
    <w:rsid w:val="0F1306D5"/>
    <w:rsid w:val="11295396"/>
    <w:rsid w:val="12F56293"/>
    <w:rsid w:val="13CB22C2"/>
    <w:rsid w:val="163A1B23"/>
    <w:rsid w:val="163E2FB7"/>
    <w:rsid w:val="17622796"/>
    <w:rsid w:val="17B35CD8"/>
    <w:rsid w:val="181C08FC"/>
    <w:rsid w:val="19B35029"/>
    <w:rsid w:val="19F32D28"/>
    <w:rsid w:val="1A48157B"/>
    <w:rsid w:val="1AAA799F"/>
    <w:rsid w:val="1B9930ED"/>
    <w:rsid w:val="1BD70953"/>
    <w:rsid w:val="1BF87698"/>
    <w:rsid w:val="1E585AB7"/>
    <w:rsid w:val="1E8075A1"/>
    <w:rsid w:val="1EB160C2"/>
    <w:rsid w:val="1FA97B1F"/>
    <w:rsid w:val="1FF145B9"/>
    <w:rsid w:val="208366E3"/>
    <w:rsid w:val="2193546F"/>
    <w:rsid w:val="26F50BA9"/>
    <w:rsid w:val="27005B64"/>
    <w:rsid w:val="27BD5E26"/>
    <w:rsid w:val="285E4249"/>
    <w:rsid w:val="29026D00"/>
    <w:rsid w:val="29AF0175"/>
    <w:rsid w:val="2EA644DF"/>
    <w:rsid w:val="2FB532A0"/>
    <w:rsid w:val="301261B1"/>
    <w:rsid w:val="319C4BEA"/>
    <w:rsid w:val="31E95E32"/>
    <w:rsid w:val="338472B6"/>
    <w:rsid w:val="34C829B2"/>
    <w:rsid w:val="35381804"/>
    <w:rsid w:val="36146FAD"/>
    <w:rsid w:val="372252A6"/>
    <w:rsid w:val="38051411"/>
    <w:rsid w:val="386A3F56"/>
    <w:rsid w:val="38777E2D"/>
    <w:rsid w:val="3A810EF7"/>
    <w:rsid w:val="3A842191"/>
    <w:rsid w:val="3ACF0F3F"/>
    <w:rsid w:val="3B7626CB"/>
    <w:rsid w:val="3C3802E9"/>
    <w:rsid w:val="3DA51C15"/>
    <w:rsid w:val="3DC16BC6"/>
    <w:rsid w:val="3E586AB8"/>
    <w:rsid w:val="3E5C1B1D"/>
    <w:rsid w:val="3EAE14E9"/>
    <w:rsid w:val="3FD261A6"/>
    <w:rsid w:val="4000226E"/>
    <w:rsid w:val="407C0C49"/>
    <w:rsid w:val="42EB2F9C"/>
    <w:rsid w:val="45226963"/>
    <w:rsid w:val="477C2F5C"/>
    <w:rsid w:val="499C5ED6"/>
    <w:rsid w:val="49CF7D54"/>
    <w:rsid w:val="4D39606F"/>
    <w:rsid w:val="4D7250D6"/>
    <w:rsid w:val="4F137BD5"/>
    <w:rsid w:val="4F8E3D4D"/>
    <w:rsid w:val="53063B85"/>
    <w:rsid w:val="533C1961"/>
    <w:rsid w:val="53B3493A"/>
    <w:rsid w:val="54560EDE"/>
    <w:rsid w:val="5537323C"/>
    <w:rsid w:val="55855837"/>
    <w:rsid w:val="55E83741"/>
    <w:rsid w:val="56503211"/>
    <w:rsid w:val="59030ACB"/>
    <w:rsid w:val="598B567E"/>
    <w:rsid w:val="5C624734"/>
    <w:rsid w:val="5C674E35"/>
    <w:rsid w:val="5FE91ABC"/>
    <w:rsid w:val="60EB32EA"/>
    <w:rsid w:val="61CF16A9"/>
    <w:rsid w:val="628E734C"/>
    <w:rsid w:val="62BD3A82"/>
    <w:rsid w:val="63261B7A"/>
    <w:rsid w:val="652F4FDB"/>
    <w:rsid w:val="6580603B"/>
    <w:rsid w:val="664F0E3A"/>
    <w:rsid w:val="66A34D18"/>
    <w:rsid w:val="671D0A46"/>
    <w:rsid w:val="682A44E1"/>
    <w:rsid w:val="68C7223A"/>
    <w:rsid w:val="68EF6886"/>
    <w:rsid w:val="69867C07"/>
    <w:rsid w:val="6AAD6877"/>
    <w:rsid w:val="6B3F3089"/>
    <w:rsid w:val="6C2B2E22"/>
    <w:rsid w:val="6EAA7DFD"/>
    <w:rsid w:val="6EE25628"/>
    <w:rsid w:val="6FDD1093"/>
    <w:rsid w:val="709C0126"/>
    <w:rsid w:val="72900D31"/>
    <w:rsid w:val="757103BD"/>
    <w:rsid w:val="76022652"/>
    <w:rsid w:val="768501BE"/>
    <w:rsid w:val="76C8601E"/>
    <w:rsid w:val="77150144"/>
    <w:rsid w:val="79E61650"/>
    <w:rsid w:val="7B2C3796"/>
    <w:rsid w:val="7B426088"/>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A564346-BCA8-4B81-89B9-B65338D1A2C8}">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A3BDF38-4832-4575-A8AB-7A1679738229}">
  <ds:schemaRefs/>
</ds:datastoreItem>
</file>

<file path=customXml/itemProps13.xml><?xml version="1.0" encoding="utf-8"?>
<ds:datastoreItem xmlns:ds="http://schemas.openxmlformats.org/officeDocument/2006/customXml" ds:itemID="{BEEE0313-55EB-45FA-BBBD-C0232D367255}">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509BA638-9D3A-4AA3-A169-FF78BC0E4BE9}">
  <ds:schemaRefs/>
</ds:datastoreItem>
</file>

<file path=customXml/itemProps16.xml><?xml version="1.0" encoding="utf-8"?>
<ds:datastoreItem xmlns:ds="http://schemas.openxmlformats.org/officeDocument/2006/customXml" ds:itemID="{3A3C3A8D-C5E4-45AF-8B48-C3BF528808AD}">
  <ds:schemaRefs/>
</ds:datastoreItem>
</file>

<file path=customXml/itemProps17.xml><?xml version="1.0" encoding="utf-8"?>
<ds:datastoreItem xmlns:ds="http://schemas.openxmlformats.org/officeDocument/2006/customXml" ds:itemID="{1990A2D8-324F-45D5-B9CD-07245ED2860B}">
  <ds:schemaRefs/>
</ds:datastoreItem>
</file>

<file path=customXml/itemProps18.xml><?xml version="1.0" encoding="utf-8"?>
<ds:datastoreItem xmlns:ds="http://schemas.openxmlformats.org/officeDocument/2006/customXml" ds:itemID="{7E5C9D84-6DB6-48FB-8632-D5279FC233C8}">
  <ds:schemaRefs/>
</ds:datastoreItem>
</file>

<file path=customXml/itemProps2.xml><?xml version="1.0" encoding="utf-8"?>
<ds:datastoreItem xmlns:ds="http://schemas.openxmlformats.org/officeDocument/2006/customXml" ds:itemID="{CF487381-D648-48A1-B1E4-A4540B0D3650}">
  <ds:schemaRefs/>
</ds:datastoreItem>
</file>

<file path=customXml/itemProps3.xml><?xml version="1.0" encoding="utf-8"?>
<ds:datastoreItem xmlns:ds="http://schemas.openxmlformats.org/officeDocument/2006/customXml" ds:itemID="{A06CD169-7F5C-4082-81B2-6ECAA9AF6149}">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0A7AA9EF-3B8C-4BAA-9155-A6E3E5337D3C}">
  <ds:schemaRefs/>
</ds:datastoreItem>
</file>

<file path=customXml/itemProps7.xml><?xml version="1.0" encoding="utf-8"?>
<ds:datastoreItem xmlns:ds="http://schemas.openxmlformats.org/officeDocument/2006/customXml" ds:itemID="{2108FF18-8EC8-4170-A536-1AA8E39CC797}">
  <ds:schemaRefs/>
</ds:datastoreItem>
</file>

<file path=customXml/itemProps8.xml><?xml version="1.0" encoding="utf-8"?>
<ds:datastoreItem xmlns:ds="http://schemas.openxmlformats.org/officeDocument/2006/customXml" ds:itemID="{79B37214-9E52-4241-8DD2-9E9CD9442006}">
  <ds:schemaRefs/>
</ds:datastoreItem>
</file>

<file path=customXml/itemProps9.xml><?xml version="1.0" encoding="utf-8"?>
<ds:datastoreItem xmlns:ds="http://schemas.openxmlformats.org/officeDocument/2006/customXml" ds:itemID="{D902962D-C8CC-43BF-804A-CD60AE6D747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4318</Words>
  <Characters>24617</Characters>
  <Lines>205</Lines>
  <Paragraphs>57</Paragraphs>
  <TotalTime>2</TotalTime>
  <ScaleCrop>false</ScaleCrop>
  <LinksUpToDate>false</LinksUpToDate>
  <CharactersWithSpaces>28878</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姚霖钰-960811</cp:lastModifiedBy>
  <cp:lastPrinted>2022-01-18T08:37:00Z</cp:lastPrinted>
  <dcterms:modified xsi:type="dcterms:W3CDTF">2025-12-16T12:02:46Z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