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permStart w:id="0" w:edGrp="everyone"/>
      <w:r>
        <w:rPr>
          <w:rFonts w:hint="eastAsia" w:ascii="黑体" w:hAnsi="黑体" w:eastAsia="黑体"/>
          <w:b/>
          <w:bCs/>
          <w:sz w:val="28"/>
          <w:szCs w:val="28"/>
        </w:rPr>
        <w:t>兴银理财【稳添利最短持有期日开固收类】理财产品</w:t>
      </w:r>
      <w:permEnd w:id="0"/>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【兴银理财稳添利季盈77号(3个月最短持有期)日开固收类理财产品】</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【稳添利季盈增利77号</w:t>
      </w:r>
      <w:r>
        <w:rPr>
          <w:rFonts w:hint="eastAsia" w:asciiTheme="majorEastAsia" w:hAnsiTheme="majorEastAsia" w:eastAsiaTheme="majorEastAsia"/>
          <w:bCs/>
          <w:kern w:val="0"/>
          <w:sz w:val="18"/>
          <w:szCs w:val="18"/>
          <w:lang w:val="en-US" w:eastAsia="zh-CN"/>
        </w:rPr>
        <w:t>G</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G</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【Z7002025002083】</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黑体" w:hAnsi="黑体" w:eastAsia="黑体" w:cs="黑体"/>
          <w:kern w:val="0"/>
          <w:sz w:val="18"/>
          <w:szCs w:val="18"/>
        </w:rPr>
        <w:t>本理财产品风险评级最终定义为</w:t>
      </w:r>
      <w:permStart w:id="6" w:edGrp="everyone"/>
      <w:r>
        <w:rPr>
          <w:rFonts w:hint="eastAsia" w:ascii="黑体" w:hAnsi="黑体" w:eastAsia="黑体" w:cs="黑体"/>
          <w:kern w:val="0"/>
          <w:sz w:val="18"/>
          <w:szCs w:val="18"/>
        </w:rPr>
        <w:t>【</w:t>
      </w:r>
      <w:r>
        <w:rPr>
          <w:rFonts w:hint="eastAsia" w:ascii="宋体" w:hAnsi="宋体" w:cs="仿宋_GB2312"/>
          <w:kern w:val="0"/>
          <w:sz w:val="18"/>
          <w:szCs w:val="18"/>
          <w:lang w:val="en-US" w:eastAsia="zh-CN"/>
        </w:rPr>
        <w:t>R2</w:t>
      </w:r>
      <w:r>
        <w:rPr>
          <w:rFonts w:hint="eastAsia" w:ascii="黑体" w:hAnsi="黑体" w:eastAsia="黑体" w:cs="黑体"/>
          <w:kern w:val="0"/>
          <w:sz w:val="18"/>
          <w:szCs w:val="18"/>
        </w:rPr>
        <w:t>】</w:t>
      </w:r>
      <w:permEnd w:id="6"/>
      <w:r>
        <w:rPr>
          <w:rFonts w:hint="eastAsia" w:ascii="黑体" w:hAnsi="黑体" w:eastAsia="黑体" w:cs="黑体"/>
          <w:kern w:val="0"/>
          <w:sz w:val="18"/>
          <w:szCs w:val="18"/>
        </w:rPr>
        <w:t>（产品管理人定义的产品风险评级为</w:t>
      </w:r>
      <w:permStart w:id="7" w:edGrp="everyone"/>
      <w:r>
        <w:rPr>
          <w:rFonts w:hint="eastAsia" w:ascii="黑体" w:hAnsi="黑体" w:eastAsia="黑体" w:cs="黑体"/>
          <w:kern w:val="0"/>
          <w:sz w:val="18"/>
          <w:szCs w:val="18"/>
        </w:rPr>
        <w:t>【</w:t>
      </w:r>
      <w:r>
        <w:rPr>
          <w:rFonts w:hint="eastAsia" w:ascii="宋体" w:hAnsi="宋体" w:cs="仿宋_GB2312"/>
          <w:kern w:val="0"/>
          <w:sz w:val="18"/>
          <w:szCs w:val="18"/>
          <w:lang w:val="en-US" w:eastAsia="zh-CN"/>
        </w:rPr>
        <w:t>R2</w:t>
      </w:r>
      <w:r>
        <w:rPr>
          <w:rFonts w:hint="eastAsia" w:ascii="黑体" w:hAnsi="黑体" w:eastAsia="黑体" w:cs="黑体"/>
          <w:kern w:val="0"/>
          <w:sz w:val="18"/>
          <w:szCs w:val="18"/>
        </w:rPr>
        <w:t>】</w:t>
      </w:r>
      <w:permEnd w:id="7"/>
      <w:r>
        <w:rPr>
          <w:rFonts w:hint="eastAsia" w:ascii="黑体" w:hAnsi="黑体" w:eastAsia="黑体" w:cs="黑体"/>
          <w:kern w:val="0"/>
          <w:sz w:val="18"/>
          <w:szCs w:val="18"/>
        </w:rPr>
        <w:t>；代理销售机构定义的产品风险评级为</w:t>
      </w:r>
      <w:permStart w:id="8" w:edGrp="everyone"/>
      <w:r>
        <w:rPr>
          <w:rFonts w:hint="eastAsia" w:ascii="黑体" w:hAnsi="黑体" w:eastAsia="黑体" w:cs="黑体"/>
          <w:kern w:val="0"/>
          <w:sz w:val="18"/>
          <w:szCs w:val="18"/>
        </w:rPr>
        <w:t>【</w:t>
      </w:r>
      <w:r>
        <w:rPr>
          <w:rFonts w:hint="eastAsia" w:ascii="宋体" w:hAnsi="宋体" w:cs="仿宋_GB2312"/>
          <w:kern w:val="0"/>
          <w:sz w:val="18"/>
          <w:szCs w:val="18"/>
          <w:lang w:val="en-US" w:eastAsia="zh-CN"/>
        </w:rPr>
        <w:t>R2</w:t>
      </w:r>
      <w:r>
        <w:rPr>
          <w:rFonts w:hint="eastAsia" w:ascii="黑体" w:hAnsi="黑体" w:eastAsia="黑体" w:cs="黑体"/>
          <w:kern w:val="0"/>
          <w:sz w:val="18"/>
          <w:szCs w:val="18"/>
        </w:rPr>
        <w:t>】</w:t>
      </w:r>
      <w:permEnd w:id="8"/>
      <w:r>
        <w:rPr>
          <w:rFonts w:hint="eastAsia" w:ascii="黑体" w:hAnsi="黑体" w:eastAsia="黑体" w:cs="黑体"/>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448" w:firstLineChars="249"/>
        <w:rPr>
          <w:rFonts w:hint="eastAsia" w:ascii="宋体" w:hAnsi="宋体" w:cs="仿宋_GB2312"/>
          <w:color w:val="auto"/>
          <w:kern w:val="0"/>
          <w:sz w:val="18"/>
          <w:szCs w:val="18"/>
          <w:lang w:val="en-US" w:eastAsia="zh-CN"/>
        </w:rPr>
      </w:pPr>
      <w:permStart w:id="9" w:edGrp="everyone"/>
      <w:r>
        <w:rPr>
          <w:rFonts w:hint="eastAsia" w:ascii="宋体" w:hAnsi="宋体" w:cs="仿宋_GB2312"/>
          <w:color w:val="auto"/>
          <w:kern w:val="0"/>
          <w:sz w:val="18"/>
          <w:szCs w:val="18"/>
          <w:lang w:val="en-US" w:eastAsia="zh-CN"/>
        </w:rPr>
        <w:t>■个人投资者：【□ C1、■ C2、■ C3、■ C4、■ C5】</w:t>
      </w:r>
    </w:p>
    <w:permEnd w:id="9"/>
    <w:p>
      <w:pPr>
        <w:ind w:firstLine="448" w:firstLineChars="249"/>
        <w:rPr>
          <w:rFonts w:hint="default" w:ascii="Times New Roman" w:hAnsi="Times New Roman" w:eastAsia="黑体" w:cs="Times New Roman"/>
          <w:b w:val="0"/>
          <w:bCs w:val="0"/>
          <w:color w:val="auto"/>
          <w:sz w:val="18"/>
          <w:szCs w:val="18"/>
          <w:lang w:val="en-US" w:eastAsia="zh-CN"/>
        </w:rPr>
      </w:pPr>
      <w:r>
        <w:rPr>
          <w:rFonts w:hint="eastAsia" w:ascii="宋体" w:hAnsi="宋体" w:cs="仿宋_GB2312"/>
          <w:color w:val="auto"/>
          <w:kern w:val="0"/>
          <w:sz w:val="18"/>
          <w:szCs w:val="18"/>
          <w:lang w:val="en-US" w:eastAsia="zh-CN"/>
        </w:rPr>
        <w:t>■机构投资者：【□ C1、■ C2、■ C3、■ C4、■ C5】</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ind w:firstLine="360" w:firstLineChars="200"/>
        <w:rPr>
          <w:rFonts w:hint="eastAsia" w:ascii="宋体" w:hAnsi="宋体"/>
          <w:sz w:val="18"/>
          <w:szCs w:val="18"/>
        </w:rPr>
      </w:pPr>
      <w:permStart w:id="10" w:edGrp="everyone"/>
      <w:r>
        <w:rPr>
          <w:rFonts w:hint="eastAsia" w:ascii="宋体" w:hAnsi="宋体"/>
          <w:sz w:val="18"/>
          <w:szCs w:val="18"/>
        </w:rPr>
        <w:t>【1.拟投资市场和资产的风险：</w:t>
      </w:r>
    </w:p>
    <w:p>
      <w:pPr>
        <w:ind w:firstLine="360" w:firstLineChars="200"/>
        <w:rPr>
          <w:rFonts w:hint="eastAsia" w:ascii="宋体" w:hAnsi="宋体"/>
          <w:sz w:val="18"/>
          <w:szCs w:val="18"/>
        </w:rPr>
      </w:pPr>
      <w:r>
        <w:rPr>
          <w:rFonts w:hint="eastAsia" w:ascii="宋体" w:hAnsi="宋体"/>
          <w:sz w:val="18"/>
          <w:szCs w:val="18"/>
        </w:rPr>
        <w:t>（1）投资债权类资产的风险</w:t>
      </w:r>
    </w:p>
    <w:p>
      <w:pPr>
        <w:ind w:firstLine="360" w:firstLineChars="200"/>
        <w:rPr>
          <w:rFonts w:hint="eastAsia" w:ascii="宋体" w:hAnsi="宋体"/>
          <w:sz w:val="18"/>
          <w:szCs w:val="18"/>
        </w:rPr>
      </w:pPr>
      <w:r>
        <w:rPr>
          <w:rFonts w:hint="eastAsia" w:ascii="宋体" w:hAnsi="宋体"/>
          <w:sz w:val="18"/>
          <w:szCs w:val="18"/>
        </w:rPr>
        <w:t>1）投资标准化债权类资产的风险</w:t>
      </w:r>
    </w:p>
    <w:p>
      <w:pPr>
        <w:ind w:firstLine="360" w:firstLineChars="200"/>
        <w:rPr>
          <w:rFonts w:hint="eastAsia"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ind w:firstLine="360" w:firstLineChars="200"/>
        <w:rPr>
          <w:rFonts w:hint="eastAsia" w:ascii="宋体" w:hAnsi="宋体"/>
          <w:sz w:val="18"/>
          <w:szCs w:val="18"/>
        </w:rPr>
      </w:pPr>
      <w:r>
        <w:rPr>
          <w:rFonts w:hint="eastAsia" w:ascii="宋体" w:hAnsi="宋体"/>
          <w:sz w:val="18"/>
          <w:szCs w:val="18"/>
        </w:rPr>
        <w:t xml:space="preserve">（2）投资商品和金融衍生品类资产的风险 </w:t>
      </w:r>
    </w:p>
    <w:p>
      <w:pPr>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10"/>
    <w:p>
      <w:pPr>
        <w:pStyle w:val="13"/>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3"/>
        <w:ind w:firstLine="426" w:firstLineChars="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pStyle w:val="13"/>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3"/>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3"/>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3"/>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3"/>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3"/>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3"/>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3"/>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3"/>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3"/>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3"/>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3"/>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3"/>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3"/>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3"/>
        <w:ind w:firstLineChars="0"/>
        <w:rPr>
          <w:rFonts w:hint="eastAsia" w:ascii="黑体" w:hAnsi="黑体" w:eastAsia="黑体" w:cs="黑体"/>
          <w:b/>
          <w:bCs/>
          <w:sz w:val="18"/>
          <w:szCs w:val="18"/>
        </w:rPr>
      </w:pPr>
      <w:r>
        <w:rPr>
          <w:rFonts w:hint="eastAsia" w:ascii="黑体" w:hAnsi="黑体" w:eastAsia="黑体" w:cs="黑体"/>
          <w:b/>
          <w:bCs/>
          <w:sz w:val="18"/>
          <w:szCs w:val="18"/>
        </w:rPr>
        <w:t>17.</w:t>
      </w:r>
      <w:r>
        <w:rPr>
          <w:rFonts w:hint="eastAsia" w:ascii="黑体" w:hAnsi="黑体" w:eastAsia="黑体" w:cs="仿宋_GB2312"/>
          <w:b/>
          <w:bCs/>
          <w:kern w:val="0"/>
          <w:sz w:val="18"/>
          <w:szCs w:val="18"/>
        </w:rPr>
        <w:t>★</w:t>
      </w:r>
      <w:r>
        <w:rPr>
          <w:rFonts w:hint="eastAsia" w:ascii="黑体" w:hAnsi="黑体" w:eastAsia="黑体" w:cs="黑体"/>
          <w:b/>
          <w:bCs/>
          <w:sz w:val="18"/>
          <w:szCs w:val="18"/>
        </w:rPr>
        <w:t>关联交易风险</w:t>
      </w:r>
    </w:p>
    <w:p>
      <w:pPr>
        <w:pStyle w:val="13"/>
        <w:ind w:firstLineChars="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黑体"/>
          <w:kern w:val="0"/>
          <w:sz w:val="18"/>
          <w:szCs w:val="18"/>
        </w:rPr>
      </w:pPr>
      <w:r>
        <w:rPr>
          <w:rFonts w:hint="eastAsia" w:ascii="黑体" w:hAnsi="黑体" w:eastAsia="黑体" w:cs="黑体"/>
          <w:color w:val="000000"/>
          <w:kern w:val="0"/>
          <w:sz w:val="18"/>
          <w:szCs w:val="18"/>
        </w:rPr>
        <w:t>五、【非机构投资者适用】</w:t>
      </w:r>
      <w:r>
        <w:rPr>
          <w:rFonts w:hint="eastAsia" w:ascii="黑体" w:hAnsi="黑体" w:eastAsia="黑体" w:cs="黑体"/>
          <w:kern w:val="0"/>
          <w:sz w:val="18"/>
          <w:szCs w:val="18"/>
        </w:rPr>
        <w:t>《投资者风险承受能力评估问卷》用于评估非机构投资者对金融工具及投资目标的相关风险的态度。非机构投资者可根据评估结果确定所属投资者类型，购买适合的理财产品。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w:t>
      </w:r>
      <w:r>
        <w:rPr>
          <w:rFonts w:hint="eastAsia" w:ascii="黑体" w:hAnsi="黑体" w:eastAsia="黑体" w:cs="黑体"/>
          <w:color w:val="000000"/>
          <w:kern w:val="0"/>
          <w:sz w:val="18"/>
          <w:szCs w:val="18"/>
        </w:rPr>
        <w:t>【非机构投资者适用】</w:t>
      </w:r>
      <w:r>
        <w:rPr>
          <w:rFonts w:hint="eastAsia" w:ascii="黑体" w:hAnsi="黑体" w:eastAsia="黑体"/>
          <w:bCs/>
          <w:sz w:val="18"/>
          <w:szCs w:val="18"/>
        </w:rPr>
        <w:t>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w:t>
      </w:r>
      <w:r>
        <w:rPr>
          <w:rFonts w:hint="eastAsia" w:ascii="宋体" w:hAnsi="宋体"/>
          <w:color w:val="auto"/>
          <w:sz w:val="18"/>
          <w:szCs w:val="18"/>
        </w:rPr>
        <w:t>【华夏银行股份有限公司</w:t>
      </w:r>
      <w:r>
        <w:rPr>
          <w:rFonts w:hint="eastAsia" w:ascii="宋体" w:hAnsi="宋体"/>
          <w:color w:val="auto"/>
          <w:sz w:val="18"/>
          <w:szCs w:val="18"/>
          <w:lang w:eastAsia="zh-CN"/>
        </w:rPr>
        <w:t>】</w:t>
      </w:r>
      <w:bookmarkStart w:id="0" w:name="_GoBack"/>
      <w:bookmarkEnd w:id="0"/>
      <w:r>
        <w:rPr>
          <w:rFonts w:hint="eastAsia" w:ascii="宋体" w:hAnsi="宋体"/>
          <w:sz w:val="18"/>
          <w:szCs w:val="18"/>
        </w:rPr>
        <w:t>）</w:t>
      </w:r>
    </w:p>
    <w:permEnd w:id="11"/>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投资者签名/线上确认：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b/>
                <w:bCs/>
                <w:kern w:val="0"/>
                <w:sz w:val="18"/>
                <w:szCs w:val="18"/>
              </w:rPr>
            </w:pPr>
            <w:r>
              <w:rPr>
                <w:rFonts w:hint="eastAsia"/>
                <w:b/>
                <w:bCs/>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机构投资者（盖章/线上确认）：</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w:t>
            </w:r>
            <w:r>
              <w:rPr>
                <w:rFonts w:ascii="宋体" w:hAnsi="宋体" w:cs="Arial"/>
                <w:kern w:val="0"/>
                <w:sz w:val="18"/>
                <w:szCs w:val="18"/>
              </w:rPr>
              <w:t>签名</w:t>
            </w:r>
            <w:r>
              <w:rPr>
                <w:rFonts w:hint="eastAsia" w:ascii="宋体" w:hAnsi="宋体" w:cs="Arial"/>
                <w:kern w:val="0"/>
                <w:sz w:val="18"/>
                <w:szCs w:val="18"/>
              </w:rPr>
              <w:t>/盖章/线上确认）：</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hint="eastAsia" w:ascii="宋体" w:hAnsi="宋体"/>
          <w:b/>
          <w:sz w:val="28"/>
          <w:szCs w:val="28"/>
        </w:rPr>
      </w:pPr>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58420" cy="139700"/>
                      </a:xfrm>
                      <a:prstGeom prst="rect">
                        <a:avLst/>
                      </a:prstGeom>
                      <a:noFill/>
                      <a:ln>
                        <a:noFill/>
                      </a:ln>
                    </wps:spPr>
                    <wps:txbx>
                      <w:txbxContent>
                        <w:p>
                          <w:pPr>
                            <w:pStyle w:val="4"/>
                          </w:pPr>
                          <w:r>
                            <w:fldChar w:fldCharType="begin"/>
                          </w:r>
                          <w:r>
                            <w:instrText xml:space="preserve"> PAGE  \* MERGEFORMAT </w:instrText>
                          </w:r>
                          <w:r>
                            <w:fldChar w:fldCharType="separate"/>
                          </w:r>
                          <w:r>
                            <w:t>2</w:t>
                          </w:r>
                          <w: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tbuXfQAAAAAgEAAA8AAAAAAAAAAQAgAAAAIgAAAGRycy9kb3ducmV2LnhtbFBLAQIU&#10;ABQAAAAIAIdO4kBzKKfD+wEAAAMEAAAOAAAAAAAAAAEAIAAAAB8BAABkcnMvZTJvRG9jLnhtbFBL&#10;BQYAAAAABgAGAFkBAACM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dit="readOnly" w:enforcement="1" w:cryptProviderType="rsaFull" w:cryptAlgorithmClass="hash" w:cryptAlgorithmType="typeAny" w:cryptAlgorithmSid="4" w:cryptSpinCount="0" w:hash="RkMtDskKikEKx/25VfosP4lLE/o=" w:salt="/7T9wpZNVhOA80177MaZxg=="/>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124A4"/>
    <w:rsid w:val="00096AC8"/>
    <w:rsid w:val="000A244A"/>
    <w:rsid w:val="000B16F1"/>
    <w:rsid w:val="000B357F"/>
    <w:rsid w:val="000F0566"/>
    <w:rsid w:val="001104E8"/>
    <w:rsid w:val="00152999"/>
    <w:rsid w:val="001C5047"/>
    <w:rsid w:val="002354DB"/>
    <w:rsid w:val="00262560"/>
    <w:rsid w:val="002B4654"/>
    <w:rsid w:val="002B4BDD"/>
    <w:rsid w:val="002B63FC"/>
    <w:rsid w:val="002C604E"/>
    <w:rsid w:val="002F0B15"/>
    <w:rsid w:val="00346ED2"/>
    <w:rsid w:val="003660B4"/>
    <w:rsid w:val="00374070"/>
    <w:rsid w:val="00390D83"/>
    <w:rsid w:val="003B6DAC"/>
    <w:rsid w:val="003E1A68"/>
    <w:rsid w:val="003F1C32"/>
    <w:rsid w:val="00412C30"/>
    <w:rsid w:val="00420D74"/>
    <w:rsid w:val="0045040F"/>
    <w:rsid w:val="00466605"/>
    <w:rsid w:val="004A236B"/>
    <w:rsid w:val="004B4026"/>
    <w:rsid w:val="004C7F5E"/>
    <w:rsid w:val="004E4E14"/>
    <w:rsid w:val="00510BA5"/>
    <w:rsid w:val="00527A03"/>
    <w:rsid w:val="00563E8F"/>
    <w:rsid w:val="005804B9"/>
    <w:rsid w:val="005C6FCB"/>
    <w:rsid w:val="005F48BE"/>
    <w:rsid w:val="00640FDE"/>
    <w:rsid w:val="00647B65"/>
    <w:rsid w:val="006538E1"/>
    <w:rsid w:val="00673739"/>
    <w:rsid w:val="006B4210"/>
    <w:rsid w:val="007143CD"/>
    <w:rsid w:val="0072580D"/>
    <w:rsid w:val="007303F6"/>
    <w:rsid w:val="00732C8C"/>
    <w:rsid w:val="007A4C26"/>
    <w:rsid w:val="007B017F"/>
    <w:rsid w:val="007C7189"/>
    <w:rsid w:val="0080662E"/>
    <w:rsid w:val="00836C1F"/>
    <w:rsid w:val="00894EE6"/>
    <w:rsid w:val="008A707D"/>
    <w:rsid w:val="008C1CE9"/>
    <w:rsid w:val="008D3E86"/>
    <w:rsid w:val="008E072A"/>
    <w:rsid w:val="008F2B54"/>
    <w:rsid w:val="00923A09"/>
    <w:rsid w:val="009525B5"/>
    <w:rsid w:val="00955293"/>
    <w:rsid w:val="009713C7"/>
    <w:rsid w:val="00980894"/>
    <w:rsid w:val="00981E5B"/>
    <w:rsid w:val="009B13AF"/>
    <w:rsid w:val="00A679D8"/>
    <w:rsid w:val="00A95D0C"/>
    <w:rsid w:val="00AD2AD0"/>
    <w:rsid w:val="00AE5AA3"/>
    <w:rsid w:val="00B06267"/>
    <w:rsid w:val="00B07DEF"/>
    <w:rsid w:val="00B35D81"/>
    <w:rsid w:val="00B3723D"/>
    <w:rsid w:val="00B71F84"/>
    <w:rsid w:val="00B73B8B"/>
    <w:rsid w:val="00B94B21"/>
    <w:rsid w:val="00BA3CE3"/>
    <w:rsid w:val="00BA71E5"/>
    <w:rsid w:val="00BB3A90"/>
    <w:rsid w:val="00BB513F"/>
    <w:rsid w:val="00BC1259"/>
    <w:rsid w:val="00BC2076"/>
    <w:rsid w:val="00BC398E"/>
    <w:rsid w:val="00BD36A3"/>
    <w:rsid w:val="00BE1A3A"/>
    <w:rsid w:val="00C0058E"/>
    <w:rsid w:val="00C01696"/>
    <w:rsid w:val="00C361E7"/>
    <w:rsid w:val="00C4233D"/>
    <w:rsid w:val="00CD0E2E"/>
    <w:rsid w:val="00D03CCD"/>
    <w:rsid w:val="00D268C3"/>
    <w:rsid w:val="00D33509"/>
    <w:rsid w:val="00D36659"/>
    <w:rsid w:val="00D46533"/>
    <w:rsid w:val="00D672A2"/>
    <w:rsid w:val="00D91389"/>
    <w:rsid w:val="00DA2C69"/>
    <w:rsid w:val="00DD246D"/>
    <w:rsid w:val="00DD5ABC"/>
    <w:rsid w:val="00DE3630"/>
    <w:rsid w:val="00E04894"/>
    <w:rsid w:val="00E27A39"/>
    <w:rsid w:val="00E504DE"/>
    <w:rsid w:val="00E66F5C"/>
    <w:rsid w:val="00E767F1"/>
    <w:rsid w:val="00E80603"/>
    <w:rsid w:val="00EB34F9"/>
    <w:rsid w:val="00F1541A"/>
    <w:rsid w:val="00F1747E"/>
    <w:rsid w:val="00F34E57"/>
    <w:rsid w:val="00F54E02"/>
    <w:rsid w:val="00F57B20"/>
    <w:rsid w:val="00F8077D"/>
    <w:rsid w:val="00FD7473"/>
    <w:rsid w:val="02844625"/>
    <w:rsid w:val="02F62D9D"/>
    <w:rsid w:val="09B56D79"/>
    <w:rsid w:val="0E20418F"/>
    <w:rsid w:val="0F3144F8"/>
    <w:rsid w:val="158B6403"/>
    <w:rsid w:val="171B4C2E"/>
    <w:rsid w:val="1D9858FD"/>
    <w:rsid w:val="23024B39"/>
    <w:rsid w:val="38895284"/>
    <w:rsid w:val="390838BE"/>
    <w:rsid w:val="4C713ADA"/>
    <w:rsid w:val="4CFA15FA"/>
    <w:rsid w:val="53622067"/>
    <w:rsid w:val="563E373E"/>
    <w:rsid w:val="56E2588A"/>
    <w:rsid w:val="5C901ECA"/>
    <w:rsid w:val="5D3F4EA4"/>
    <w:rsid w:val="601969DF"/>
    <w:rsid w:val="614D6115"/>
    <w:rsid w:val="6600662F"/>
    <w:rsid w:val="66965880"/>
    <w:rsid w:val="682D2EAF"/>
    <w:rsid w:val="6E3A25F0"/>
    <w:rsid w:val="70330189"/>
    <w:rsid w:val="7A7571B4"/>
    <w:rsid w:val="7C166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 w:type="paragraph" w:customStyle="1" w:styleId="17">
    <w:name w:val="修订1"/>
    <w:hidden/>
    <w:semiHidden/>
    <w:qFormat/>
    <w:uiPriority w:val="99"/>
    <w:rPr>
      <w:rFonts w:ascii="Calibri" w:hAnsi="Calibri" w:eastAsia="宋体" w:cs="宋体"/>
      <w:kern w:val="2"/>
      <w:sz w:val="21"/>
      <w:szCs w:val="22"/>
      <w:lang w:val="en-US" w:eastAsia="zh-CN" w:bidi="ar-SA"/>
    </w:rPr>
  </w:style>
  <w:style w:type="paragraph" w:customStyle="1" w:styleId="18">
    <w:name w:val="修订2"/>
    <w:hidden/>
    <w:semiHidden/>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6</Pages>
  <Words>685</Words>
  <Characters>3906</Characters>
  <Lines>32</Lines>
  <Paragraphs>9</Paragraphs>
  <TotalTime>0</TotalTime>
  <ScaleCrop>false</ScaleCrop>
  <LinksUpToDate>false</LinksUpToDate>
  <CharactersWithSpaces>4582</CharactersWithSpaces>
  <Application>WPS Office_11.8.2.12309_F1E327BC-269C-435d-A152-05C5408002CA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2024-08-28T12:38:00Z</dcterms:created>
  <dc:creator>胡骁潇</dc:creator>
  <cp:lastModifiedBy>兰兰</cp:lastModifiedBy>
  <dcterms:modified xsi:type="dcterms:W3CDTF">2025-12-19T09:30:16Z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8C3451F4A9D547188BD69B541900499D</vt:lpwstr>
  </property>
</Properties>
</file>