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permStart w:id="0" w:edGrp="everyone"/>
      <w:r>
        <w:rPr>
          <w:rStyle w:val="27"/>
          <w:rFonts w:hint="eastAsia" w:ascii="黑体" w:hAnsi="黑体" w:eastAsia="黑体"/>
          <w:sz w:val="44"/>
          <w:szCs w:val="44"/>
          <w:lang w:eastAsia="zh-CN"/>
        </w:rPr>
        <w:t>兴银理财【稳添利最短持有期日开固收类】理财产品</w:t>
      </w:r>
      <w:permEnd w:id="0"/>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【2025】年【12】月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"_Toc32762"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_Toc32762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"_Toc1693" </w:instrText>
          </w:r>
          <w:r>
            <w:fldChar w:fldCharType="separate"/>
          </w:r>
          <w:r>
            <w:rPr>
              <w:rFonts w:hint="eastAsia" w:hAnsi="宋体"/>
              <w:szCs w:val="28"/>
            </w:rPr>
            <w:t xml:space="preserve">第二条  理财产品基本情况 </w:t>
          </w:r>
          <w:r>
            <w:tab/>
          </w:r>
          <w:r>
            <w:fldChar w:fldCharType="begin"/>
          </w:r>
          <w:r>
            <w:instrText xml:space="preserve"> PAGEREF _Toc1693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"_Toc10659"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_Toc10659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"_Toc32177"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_Toc32177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"_Toc25685"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_Toc25685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"_Toc31087"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_Toc31087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"_Toc19132"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_Toc19132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"_Toc8695"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_Toc8695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"_Toc1043"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_Toc1043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"_Toc2757"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_Toc2757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"_Toc593"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_Toc593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"_Toc184"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_Toc184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32762"/>
      <w:bookmarkStart w:id="2" w:name="_Toc92377130"/>
      <w:bookmarkStart w:id="3" w:name="_Toc26572"/>
      <w:bookmarkStart w:id="4" w:name="_Toc29814"/>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兴业银行”）。兴业银行成立于1988年，于2005年开展资产托管业务，具备理财产品托管资格。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国家金融监督管理总局</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w:t>
      </w:r>
      <w:permStart w:id="4" w:edGrp="everyone"/>
      <w:r>
        <w:rPr>
          <w:rFonts w:hint="eastAsia" w:asciiTheme="majorEastAsia" w:hAnsiTheme="majorEastAsia" w:eastAsiaTheme="majorEastAsia"/>
          <w:bCs/>
          <w:sz w:val="18"/>
          <w:szCs w:val="18"/>
          <w:lang w:eastAsia="zh-CN"/>
        </w:rPr>
        <w:t>兴银理财【稳添利最短持有期日开固收类】理财产品</w:t>
      </w:r>
      <w:permEnd w:id="4"/>
      <w:r>
        <w:rPr>
          <w:rFonts w:hint="eastAsia" w:asciiTheme="majorEastAsia" w:hAnsiTheme="majorEastAsia" w:eastAsiaTheme="majorEastAsia"/>
          <w:bCs/>
          <w:sz w:val="18"/>
          <w:szCs w:val="18"/>
        </w:rPr>
        <w:t>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w:t>
      </w:r>
      <w:permStart w:id="5" w:edGrp="everyone"/>
      <w:r>
        <w:rPr>
          <w:rFonts w:hint="eastAsia" w:asciiTheme="majorEastAsia" w:hAnsiTheme="majorEastAsia" w:eastAsiaTheme="majorEastAsia"/>
          <w:bCs/>
          <w:sz w:val="18"/>
          <w:szCs w:val="18"/>
          <w:lang w:eastAsia="zh-CN"/>
        </w:rPr>
        <w:t>兴银理财【稳添利最短持有期日开固收类】理财产品</w:t>
      </w:r>
      <w:permEnd w:id="5"/>
      <w:r>
        <w:rPr>
          <w:rFonts w:hint="eastAsia" w:asciiTheme="majorEastAsia" w:hAnsiTheme="majorEastAsia" w:eastAsiaTheme="majorEastAsia"/>
          <w:bCs/>
          <w:sz w:val="18"/>
          <w:szCs w:val="18"/>
        </w:rPr>
        <w:t>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w:t>
      </w:r>
      <w:permStart w:id="6" w:edGrp="everyone"/>
      <w:r>
        <w:rPr>
          <w:rFonts w:hint="eastAsia" w:asciiTheme="majorEastAsia" w:hAnsiTheme="majorEastAsia" w:eastAsiaTheme="majorEastAsia"/>
          <w:bCs/>
          <w:sz w:val="18"/>
          <w:szCs w:val="18"/>
          <w:lang w:eastAsia="zh-CN"/>
        </w:rPr>
        <w:t>兴银理财【稳添利最短持有期日开固收类】理财产品</w:t>
      </w:r>
      <w:permEnd w:id="6"/>
      <w:r>
        <w:rPr>
          <w:rFonts w:hint="eastAsia" w:asciiTheme="majorEastAsia" w:hAnsiTheme="majorEastAsia" w:eastAsiaTheme="majorEastAsia"/>
          <w:bCs/>
          <w:sz w:val="18"/>
          <w:szCs w:val="18"/>
        </w:rPr>
        <w:t>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w:t>
      </w:r>
      <w:permStart w:id="7" w:edGrp="everyone"/>
      <w:r>
        <w:rPr>
          <w:rFonts w:hint="eastAsia" w:asciiTheme="majorEastAsia" w:hAnsiTheme="majorEastAsia" w:eastAsiaTheme="majorEastAsia"/>
          <w:bCs/>
          <w:sz w:val="18"/>
          <w:szCs w:val="18"/>
          <w:lang w:eastAsia="zh-CN"/>
        </w:rPr>
        <w:t>兴银理财【稳添利最短持有期日开固收类】理财产品</w:t>
      </w:r>
      <w:permEnd w:id="7"/>
      <w:r>
        <w:rPr>
          <w:rFonts w:hint="eastAsia" w:asciiTheme="majorEastAsia" w:hAnsiTheme="majorEastAsia" w:eastAsiaTheme="majorEastAsia"/>
          <w:bCs/>
          <w:sz w:val="18"/>
          <w:szCs w:val="18"/>
        </w:rPr>
        <w:t>（代理）销售协议书》或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8" w:edGrp="everyone"/>
      <w:r>
        <w:rPr>
          <w:rFonts w:hint="eastAsia" w:asciiTheme="majorEastAsia" w:hAnsiTheme="majorEastAsia" w:eastAsiaTheme="majorEastAsia"/>
          <w:bCs/>
          <w:sz w:val="18"/>
          <w:szCs w:val="18"/>
          <w:lang w:eastAsia="zh-CN"/>
        </w:rPr>
        <w:t>兴银理财【稳添利最短持有期日开固收类】理财产品</w:t>
      </w:r>
      <w:permEnd w:id="8"/>
      <w:r>
        <w:rPr>
          <w:rFonts w:hint="eastAsia" w:asciiTheme="majorEastAsia" w:hAnsiTheme="majorEastAsia" w:eastAsiaTheme="majorEastAsia"/>
          <w:bCs/>
          <w:sz w:val="18"/>
          <w:szCs w:val="18"/>
        </w:rPr>
        <w:t>（代理）销售协议书》（文件名称以代理销售机构实际编制为准），以及对该文件的有效修改或补充。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w:t>
      </w:r>
      <w:permStart w:id="9" w:edGrp="everyone"/>
      <w:r>
        <w:rPr>
          <w:rFonts w:hint="eastAsia" w:asciiTheme="majorEastAsia" w:hAnsiTheme="majorEastAsia" w:eastAsiaTheme="majorEastAsia"/>
          <w:bCs/>
          <w:sz w:val="18"/>
          <w:szCs w:val="18"/>
          <w:lang w:eastAsia="zh-CN"/>
        </w:rPr>
        <w:t>兴银理财【稳添利最短持有期日开固收类】理财产品</w:t>
      </w:r>
      <w:permEnd w:id="9"/>
      <w:r>
        <w:rPr>
          <w:rFonts w:hint="eastAsia" w:asciiTheme="majorEastAsia" w:hAnsiTheme="majorEastAsia" w:eastAsiaTheme="majorEastAsia"/>
          <w:bCs/>
          <w:sz w:val="18"/>
          <w:szCs w:val="18"/>
        </w:rPr>
        <w:t>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10" w:edGrp="everyone"/>
      <w:r>
        <w:rPr>
          <w:rFonts w:hint="eastAsia" w:asciiTheme="majorEastAsia" w:hAnsiTheme="majorEastAsia" w:eastAsiaTheme="majorEastAsia"/>
          <w:bCs/>
          <w:sz w:val="18"/>
          <w:szCs w:val="18"/>
          <w:lang w:eastAsia="zh-CN"/>
        </w:rPr>
        <w:t>兴银理财【稳添利最短持有期日开固收类】理财产品</w:t>
      </w:r>
      <w:permEnd w:id="10"/>
      <w:r>
        <w:rPr>
          <w:rFonts w:hint="eastAsia" w:asciiTheme="majorEastAsia" w:hAnsiTheme="majorEastAsia" w:eastAsiaTheme="majorEastAsia"/>
          <w:bCs/>
          <w:sz w:val="18"/>
          <w:szCs w:val="18"/>
        </w:rPr>
        <w:t>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w:t>
      </w:r>
      <w:permStart w:id="11" w:edGrp="everyone"/>
      <w:r>
        <w:rPr>
          <w:rFonts w:hint="eastAsia" w:asciiTheme="majorEastAsia" w:hAnsiTheme="majorEastAsia" w:eastAsiaTheme="majorEastAsia"/>
          <w:bCs/>
          <w:sz w:val="18"/>
          <w:szCs w:val="18"/>
          <w:lang w:eastAsia="zh-CN"/>
        </w:rPr>
        <w:t>兴银理财【稳添利最短持有期日开固收类】理财产品</w:t>
      </w:r>
      <w:permEnd w:id="11"/>
      <w:r>
        <w:rPr>
          <w:rFonts w:hint="eastAsia" w:asciiTheme="majorEastAsia" w:hAnsiTheme="majorEastAsia" w:eastAsiaTheme="majorEastAsia"/>
          <w:bCs/>
          <w:sz w:val="18"/>
          <w:szCs w:val="18"/>
        </w:rPr>
        <w:t>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w:t>
      </w:r>
      <w:permStart w:id="12" w:edGrp="everyone"/>
      <w:r>
        <w:rPr>
          <w:rFonts w:hint="eastAsia" w:asciiTheme="majorEastAsia" w:hAnsiTheme="majorEastAsia" w:eastAsiaTheme="majorEastAsia"/>
          <w:bCs/>
          <w:sz w:val="18"/>
          <w:szCs w:val="18"/>
          <w:lang w:eastAsia="zh-CN"/>
        </w:rPr>
        <w:t>兴银理财【稳添利最短持有期日开固收类】理财产品</w:t>
      </w:r>
      <w:permEnd w:id="12"/>
      <w:r>
        <w:rPr>
          <w:rFonts w:hint="eastAsia" w:asciiTheme="majorEastAsia" w:hAnsiTheme="majorEastAsia" w:eastAsiaTheme="majorEastAsia"/>
          <w:bCs/>
          <w:sz w:val="18"/>
          <w:szCs w:val="18"/>
        </w:rPr>
        <w:t>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工作日：指除中国法定节假日和公休日外的其他日。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5" w:name="_Toc79154665"/>
      <w:bookmarkStart w:id="6" w:name="_Toc92377131"/>
      <w:bookmarkStart w:id="7" w:name="_Toc1693"/>
      <w:bookmarkStart w:id="8" w:name="_Toc14559"/>
      <w:bookmarkStart w:id="9" w:name="_Toc30087"/>
      <w:r>
        <w:rPr>
          <w:rFonts w:hint="eastAsia" w:hAnsi="宋体"/>
          <w:sz w:val="28"/>
          <w:szCs w:val="28"/>
        </w:rPr>
        <w:t>第二条  理财产品基本情况</w:t>
      </w:r>
      <w:bookmarkEnd w:id="5"/>
      <w:bookmarkEnd w:id="6"/>
      <w:r>
        <w:rPr>
          <w:rFonts w:hint="eastAsia" w:hAnsi="宋体"/>
          <w:sz w:val="28"/>
          <w:szCs w:val="28"/>
        </w:rPr>
        <w:t xml:space="preserve"> </w:t>
      </w:r>
      <w:bookmarkEnd w:id="7"/>
      <w:bookmarkEnd w:id="8"/>
      <w:bookmarkEnd w:id="9"/>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【兴银理财稳添利周盈83号(7天最短持有期)日开固收类理财产品】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top"/>
          </w:tcPr>
          <w:p>
            <w:pPr>
              <w:keepNext w:val="0"/>
              <w:keepLines w:val="0"/>
              <w:widowControl/>
              <w:suppressLineNumbers w:val="0"/>
              <w:spacing w:before="0" w:beforeAutospacing="0" w:after="0" w:afterAutospacing="0" w:line="360" w:lineRule="auto"/>
              <w:ind w:left="0" w:leftChars="0" w:right="0" w:rightChars="0"/>
              <w:jc w:val="left"/>
              <w:rPr>
                <w:rFonts w:ascii="宋体" w:hAnsi="宋体"/>
                <w:kern w:val="0"/>
                <w:sz w:val="22"/>
              </w:rPr>
            </w:pPr>
            <w:r>
              <w:rPr>
                <w:rFonts w:hint="eastAsia" w:ascii="宋体" w:hAnsi="宋体" w:eastAsia="宋体" w:cs="宋体"/>
                <w:bCs/>
                <w:kern w:val="2"/>
                <w:sz w:val="18"/>
                <w:szCs w:val="18"/>
                <w:lang w:val="en-US" w:eastAsia="zh-CN" w:bidi="ar"/>
              </w:rPr>
              <w:t>【稳添利周盈83号</w:t>
            </w:r>
            <w:r>
              <w:rPr>
                <w:rFonts w:hint="eastAsia" w:ascii="宋体" w:hAnsi="宋体" w:cs="宋体"/>
                <w:bCs/>
                <w:kern w:val="2"/>
                <w:sz w:val="18"/>
                <w:szCs w:val="18"/>
                <w:lang w:val="en-US" w:eastAsia="zh-CN" w:bidi="ar"/>
              </w:rPr>
              <w:t>C</w:t>
            </w:r>
            <w:r>
              <w:rPr>
                <w:rFonts w:hint="eastAsia" w:ascii="宋体" w:hAnsi="宋体" w:eastAsia="宋体" w:cs="宋体"/>
                <w:bCs/>
                <w:kern w:val="2"/>
                <w:sz w:val="18"/>
                <w:szCs w:val="18"/>
                <w:lang w:val="en-US" w:eastAsia="zh-CN" w:bidi="ar"/>
              </w:rPr>
              <w:t>】 (</w:t>
            </w:r>
            <w:bookmarkStart w:id="194" w:name="_GoBack"/>
            <w:r>
              <w:rPr>
                <w:rFonts w:hint="eastAsia" w:ascii="宋体" w:hAnsi="宋体" w:eastAsia="宋体" w:cs="宋体"/>
                <w:bCs/>
                <w:kern w:val="2"/>
                <w:sz w:val="18"/>
                <w:szCs w:val="18"/>
                <w:lang w:val="en-US" w:eastAsia="zh-CN" w:bidi="ar"/>
              </w:rPr>
              <w:t>适用【</w:t>
            </w:r>
            <w:r>
              <w:rPr>
                <w:rFonts w:hint="eastAsia" w:ascii="宋体" w:hAnsi="宋体" w:cs="宋体"/>
                <w:bCs/>
                <w:kern w:val="2"/>
                <w:sz w:val="18"/>
                <w:szCs w:val="18"/>
                <w:lang w:val="en-US" w:eastAsia="zh-CN" w:bidi="ar"/>
              </w:rPr>
              <w:t>C</w:t>
            </w:r>
            <w:r>
              <w:rPr>
                <w:rFonts w:hint="eastAsia" w:ascii="宋体" w:hAnsi="宋体" w:eastAsia="宋体" w:cs="宋体"/>
                <w:bCs/>
                <w:kern w:val="2"/>
                <w:sz w:val="18"/>
                <w:szCs w:val="18"/>
                <w:lang w:val="en-US" w:eastAsia="zh-CN" w:bidi="ar"/>
              </w:rPr>
              <w:t>】类份额</w:t>
            </w:r>
            <w:bookmarkEnd w:id="194"/>
            <w:r>
              <w:rPr>
                <w:rFonts w:hint="eastAsia" w:ascii="宋体" w:hAnsi="宋体" w:eastAsia="宋体" w:cs="宋体"/>
                <w:bCs/>
                <w:kern w:val="2"/>
                <w:sz w:val="18"/>
                <w:szCs w:val="18"/>
                <w:lang w:val="en-US" w:eastAsia="zh-CN" w:bidi="ar"/>
              </w:rPr>
              <w:t>)
</w:t>
            </w:r>
            <w:r>
              <w:rPr>
                <w:rFonts w:hint="eastAsia" w:asciiTheme="majorEastAsia" w:hAnsiTheme="majorEastAsia" w:eastAsiaTheme="majorEastAsia"/>
                <w:bCs/>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ascii="宋体" w:hAnsi="宋体"/>
                <w:b/>
                <w:sz w:val="18"/>
                <w:szCs w:val="18"/>
              </w:rPr>
            </w:pPr>
            <w:r>
              <w:rPr>
                <w:rFonts w:hint="eastAsia" w:asciiTheme="minorEastAsia" w:hAnsiTheme="minorEastAsia"/>
                <w:sz w:val="18"/>
                <w:szCs w:val="18"/>
              </w:rPr>
              <w:t>【Z7002025001843】</w:t>
            </w:r>
            <w:r>
              <w:rPr>
                <w:rFonts w:hint="eastAsia" w:asciiTheme="majorEastAsia" w:hAnsiTheme="majorEastAsia" w:eastAsiaTheme="majorEastAsia"/>
                <w:sz w:val="18"/>
                <w:szCs w:val="18"/>
              </w:rPr>
              <w:t>投资者可依据理财产品登记编码在中国理财网</w:t>
            </w:r>
            <w:r>
              <w:rPr>
                <w:rFonts w:hint="default" w:asciiTheme="majorEastAsia" w:hAnsiTheme="majorEastAsia" w:eastAsiaTheme="majorEastAsia"/>
                <w:sz w:val="18"/>
                <w:szCs w:val="18"/>
              </w:rPr>
              <w:t>(</w:t>
            </w:r>
            <w:r>
              <w:rPr>
                <w:rFonts w:hint="default"/>
              </w:rPr>
              <w:fldChar w:fldCharType="begin"/>
            </w:r>
            <w:r>
              <w:rPr>
                <w:rFonts w:hint="default"/>
              </w:rPr>
              <w:instrText xml:space="preserve"> HYPERLINK "http://www.chinawealth.com.cn" </w:instrText>
            </w:r>
            <w:r>
              <w:rPr>
                <w:rFonts w:hint="default"/>
              </w:rPr>
              <w:fldChar w:fldCharType="separate"/>
            </w:r>
            <w:r>
              <w:rPr>
                <w:rFonts w:hint="default" w:asciiTheme="majorEastAsia" w:hAnsiTheme="majorEastAsia" w:eastAsiaTheme="majorEastAsia"/>
                <w:sz w:val="18"/>
                <w:szCs w:val="18"/>
              </w:rPr>
              <w:t>www.chinawealth.com.cn</w:t>
            </w:r>
            <w:r>
              <w:rPr>
                <w:rFonts w:hint="default" w:asciiTheme="majorEastAsia" w:hAnsiTheme="majorEastAsia" w:eastAsiaTheme="majorEastAsia"/>
                <w:sz w:val="18"/>
                <w:szCs w:val="18"/>
              </w:rPr>
              <w:fldChar w:fldCharType="end"/>
            </w:r>
            <w:r>
              <w:rPr>
                <w:rFonts w:hint="default"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keepNext w:val="0"/>
              <w:keepLines w:val="0"/>
              <w:suppressLineNumbers w:val="0"/>
              <w:spacing w:before="0" w:beforeAutospacing="0" w:after="0" w:afterAutospacing="0" w:line="360" w:lineRule="auto"/>
              <w:ind w:left="0" w:leftChars="0" w:right="0" w:rightChars="0"/>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keepNext w:val="0"/>
              <w:keepLines w:val="0"/>
              <w:suppressLineNumbers w:val="0"/>
              <w:spacing w:before="0" w:beforeAutospacing="0" w:after="0" w:afterAutospacing="0" w:line="360" w:lineRule="auto"/>
              <w:ind w:left="0" w:leftChars="0" w:right="0" w:rightChars="0"/>
              <w:jc w:val="left"/>
              <w:rPr>
                <w:rFonts w:ascii="宋体" w:hAnsi="宋体"/>
                <w:bCs/>
                <w:sz w:val="18"/>
                <w:szCs w:val="18"/>
              </w:rPr>
            </w:pPr>
            <w:r>
              <w:rPr>
                <w:rFonts w:hint="default" w:ascii="宋体" w:hAnsi="宋体"/>
                <w:bCs/>
                <w:sz w:val="18"/>
                <w:szCs w:val="18"/>
              </w:rPr>
              <w:t>【</w:t>
            </w:r>
            <w:r>
              <w:rPr>
                <w:rFonts w:hint="eastAsia" w:ascii="宋体" w:hAnsi="宋体"/>
                <w:bCs/>
                <w:sz w:val="18"/>
                <w:szCs w:val="18"/>
              </w:rPr>
              <w:t>9K410830】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hAnsi="宋体"/>
                <w:b/>
                <w:sz w:val="18"/>
                <w:szCs w:val="18"/>
              </w:rPr>
            </w:pPr>
            <w:r>
              <w:rPr>
                <w:rFonts w:hint="eastAsia" w:hAnsi="宋体"/>
                <w:b/>
                <w:sz w:val="18"/>
                <w:szCs w:val="18"/>
              </w:rPr>
              <w:t>★销售代码</w:t>
            </w:r>
          </w:p>
        </w:tc>
        <w:tc>
          <w:tcPr>
            <w:tcW w:w="7704"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hAnsi="宋体"/>
                <w:sz w:val="18"/>
                <w:szCs w:val="18"/>
              </w:rPr>
            </w:pPr>
            <w:r>
              <w:rPr>
                <w:rFonts w:hint="eastAsia" w:hAnsi="宋体"/>
                <w:sz w:val="18"/>
                <w:szCs w:val="18"/>
              </w:rPr>
              <w:t>【9K41083</w:t>
            </w:r>
            <w:r>
              <w:rPr>
                <w:rFonts w:hint="eastAsia" w:hAnsi="宋体"/>
                <w:sz w:val="18"/>
                <w:szCs w:val="18"/>
                <w:lang w:val="en-US" w:eastAsia="zh-CN"/>
              </w:rPr>
              <w:t>C</w:t>
            </w:r>
            <w:r>
              <w:rPr>
                <w:rFonts w:hint="eastAsia" w:hAnsi="宋体"/>
                <w:sz w:val="18"/>
                <w:szCs w:val="18"/>
              </w:rPr>
              <w:t>】 (</w:t>
            </w:r>
            <w:r>
              <w:rPr>
                <w:rFonts w:hint="eastAsia" w:hAnsi="宋体"/>
                <w:sz w:val="18"/>
                <w:szCs w:val="18"/>
                <w:lang w:eastAsia="zh-CN"/>
              </w:rPr>
              <w:t>适用【C】类份额</w:t>
            </w:r>
            <w:r>
              <w:rPr>
                <w:rFonts w:hint="eastAsia" w:hAnsi="宋体"/>
                <w:sz w:val="18"/>
                <w:szCs w:val="18"/>
              </w:rPr>
              <w:t>)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黑体" w:hAnsi="黑体" w:eastAsia="黑体" w:cs="黑体"/>
                <w:bCs/>
                <w:sz w:val="18"/>
                <w:szCs w:val="18"/>
              </w:rPr>
              <w:t>本产品属于□ R1、■ R2、□ R3、□ R4、□ R5理财产品。</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hint="eastAsia" w:asciiTheme="majorEastAsia" w:hAnsiTheme="majorEastAsia" w:eastAsiaTheme="majorEastAsia"/>
                <w:bCs/>
                <w:color w:val="000000" w:themeColor="text1"/>
                <w:sz w:val="18"/>
                <w:szCs w:val="18"/>
                <w:lang w:eastAsia="zh-CN"/>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适用【C】类份额</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p>
          <w:p>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黑体" w:hAnsi="黑体" w:eastAsia="黑体" w:cs="黑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pPr>
              <w:keepNext w:val="0"/>
              <w:keepLines w:val="0"/>
              <w:suppressLineNumbers w:val="0"/>
              <w:spacing w:before="0" w:beforeAutospacing="0" w:after="0" w:afterAutospacing="0" w:line="360" w:lineRule="auto"/>
              <w:ind w:left="0" w:right="0"/>
              <w:rPr>
                <w:rFonts w:hint="default"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ascii="宋体" w:hAnsi="宋体" w:eastAsia="宋体" w:cs="宋体"/>
                <w:kern w:val="2"/>
                <w:sz w:val="18"/>
                <w:szCs w:val="18"/>
                <w:lang w:val="en-US" w:eastAsia="zh-CN" w:bidi="ar"/>
              </w:rPr>
              <w:t>【2025年12月29日】【09:00】至【2025年12月30日】【17:00】</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认购期/募集期内资金产生的利息（如有）不计入本金份额</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ascii="宋体" w:hAnsi="宋体" w:eastAsia="宋体" w:cs="宋体"/>
                <w:kern w:val="2"/>
                <w:sz w:val="18"/>
                <w:szCs w:val="18"/>
                <w:lang w:val="en-US" w:eastAsia="zh-CN" w:bidi="ar"/>
              </w:rPr>
              <w:t>2025年12月31日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hint="eastAsia" w:asciiTheme="minorEastAsia" w:hAnsiTheme="minorEastAsia"/>
                <w:sz w:val="18"/>
                <w:szCs w:val="18"/>
                <w:lang w:val="en-US" w:eastAsia="zh-CN"/>
              </w:rPr>
              <w:t>自成立日</w:t>
            </w:r>
            <w:r>
              <w:rPr>
                <w:rFonts w:hint="eastAsia" w:asciiTheme="minorEastAsia" w:hAnsiTheme="minorEastAsia"/>
                <w:sz w:val="18"/>
                <w:szCs w:val="18"/>
              </w:rPr>
              <w:t>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本产品最短持有期为【7】个自然日。</w:t>
            </w:r>
            <w:r>
              <w:rPr>
                <w:rFonts w:hint="eastAsia" w:asciiTheme="majorEastAsia" w:hAnsiTheme="majorEastAsia" w:eastAsiaTheme="majorEastAsia"/>
                <w:bCs/>
                <w:sz w:val="18"/>
                <w:szCs w:val="18"/>
              </w:rPr>
              <w:t>自产品成立日/申购确认日起第【</w:t>
            </w:r>
            <w:r>
              <w:rPr>
                <w:rFonts w:hint="eastAsia" w:asciiTheme="majorEastAsia" w:hAnsiTheme="majorEastAsia" w:eastAsiaTheme="majorEastAsia"/>
                <w:bCs/>
                <w:sz w:val="18"/>
                <w:szCs w:val="18"/>
                <w:lang w:val="en-US" w:eastAsia="zh-CN"/>
              </w:rPr>
              <w:t>7</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ajorEastAsia" w:hAnsiTheme="majorEastAsia" w:eastAsiaTheme="majorEastAsia"/>
                <w:bCs/>
                <w:sz w:val="18"/>
                <w:szCs w:val="18"/>
                <w:lang w:val="en-US" w:eastAsia="zh-CN"/>
              </w:rPr>
              <w:t>7</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inorEastAsia" w:hAnsiTheme="minorEastAsia"/>
                <w:sz w:val="18"/>
                <w:szCs w:val="18"/>
                <w:lang w:val="en-US" w:eastAsia="zh-CN"/>
              </w:rPr>
              <w:t>申请</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后提交申购申请的，下一个</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提交申购申请的，下一个</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eastAsiaTheme="minorEastAsia"/>
                <w:bCs/>
                <w:sz w:val="18"/>
                <w:szCs w:val="18"/>
              </w:rPr>
              <w:t>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后提交赎回申请的，下一个</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提交赎回申请的，下一个</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eastAsiaTheme="minorEastAsia"/>
                <w:bCs/>
                <w:sz w:val="18"/>
                <w:szCs w:val="18"/>
              </w:rPr>
              <w:t>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w:t>
            </w:r>
            <w:r>
              <w:rPr>
                <w:rFonts w:hint="eastAsia" w:asciiTheme="minorEastAsia" w:hAnsiTheme="minorEastAsia" w:eastAsiaTheme="minorEastAsia"/>
                <w:sz w:val="18"/>
                <w:szCs w:val="18"/>
                <w:lang w:eastAsia="zh-CN"/>
              </w:rPr>
              <w:t>【工作日】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keepNext w:val="0"/>
              <w:keepLines w:val="0"/>
              <w:suppressLineNumbers w:val="0"/>
              <w:spacing w:before="0" w:beforeAutospacing="0" w:after="0" w:afterAutospacing="0" w:line="360" w:lineRule="auto"/>
              <w:ind w:left="0" w:right="0"/>
              <w:rPr>
                <w:rFonts w:asciiTheme="majorEastAsia" w:hAnsiTheme="majorEastAsia" w:eastAsiaTheme="majorEastAsia"/>
                <w:bCs/>
                <w:sz w:val="18"/>
                <w:szCs w:val="18"/>
              </w:rPr>
            </w:pPr>
            <w:r>
              <w:rPr>
                <w:rFonts w:hint="eastAsia" w:asciiTheme="majorEastAsia" w:hAnsiTheme="majorEastAsia" w:eastAsiaTheme="majorEastAsia"/>
                <w:sz w:val="18"/>
                <w:szCs w:val="18"/>
              </w:rPr>
              <w:t>每笔购买起点金额为【1】元; 超出起点金额的部分以【0.01】元的整数倍递增。（</w:t>
            </w:r>
            <w:r>
              <w:rPr>
                <w:rFonts w:hint="eastAsia" w:asciiTheme="majorEastAsia" w:hAnsiTheme="majorEastAsia" w:eastAsiaTheme="majorEastAsia"/>
                <w:sz w:val="18"/>
                <w:szCs w:val="18"/>
                <w:lang w:eastAsia="zh-CN"/>
              </w:rPr>
              <w:t>适用【C】类份额</w:t>
            </w:r>
            <w:r>
              <w:rPr>
                <w:rFonts w:hint="eastAsia" w:asciiTheme="majorEastAsia" w:hAnsiTheme="majorEastAsia" w:eastAsiaTheme="majorEastAsia"/>
                <w:sz w:val="18"/>
                <w:szCs w:val="18"/>
              </w:rPr>
              <w:t>)
</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4.理财产品份额净值四舍五入保留5位小数。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keepNext w:val="0"/>
              <w:keepLines w:val="0"/>
              <w:suppressLineNumbers w:val="0"/>
              <w:autoSpaceDE w:val="0"/>
              <w:autoSpaceDN w:val="0"/>
              <w:adjustRightInd w:val="0"/>
              <w:spacing w:before="0" w:beforeAutospacing="0" w:after="0" w:afterAutospacing="0" w:line="360" w:lineRule="auto"/>
              <w:ind w:left="0" w:right="0"/>
              <w:jc w:val="left"/>
              <w:rPr>
                <w:rFonts w:hint="eastAsia" w:asciiTheme="majorEastAsia" w:hAnsiTheme="majorEastAsia" w:eastAsiaTheme="majorEastAsia"/>
                <w:bCs/>
                <w:kern w:val="0"/>
                <w:sz w:val="18"/>
                <w:szCs w:val="18"/>
              </w:rPr>
            </w:pPr>
            <w:r>
              <w:rPr>
                <w:rFonts w:ascii="宋体" w:hAnsi="宋体" w:eastAsia="宋体" w:cs="宋体"/>
                <w:sz w:val="18"/>
              </w:rPr>
              <w:t>1.业绩比较基准的设置</w:t>
            </w:r>
            <w:r>
              <w:rPr>
                <w:rFonts w:ascii="宋体" w:hAnsi="宋体" w:eastAsia="宋体" w:cs="宋体"/>
                <w:sz w:val="18"/>
              </w:rPr>
              <w:br w:type="textWrapping"/>
            </w:r>
            <w:r>
              <w:rPr>
                <w:rFonts w:ascii="宋体" w:hAnsi="宋体" w:eastAsia="宋体" w:cs="宋体"/>
                <w:sz w:val="18"/>
              </w:rPr>
              <w:t>■ 产品管理人设置业绩比较基准。</w:t>
            </w:r>
            <w:r>
              <w:rPr>
                <w:rFonts w:ascii="宋体" w:hAnsi="宋体" w:eastAsia="宋体" w:cs="宋体"/>
                <w:sz w:val="18"/>
              </w:rPr>
              <w:br w:type="textWrapping"/>
            </w:r>
            <w:r>
              <w:rPr>
                <w:rFonts w:ascii="宋体" w:hAnsi="宋体" w:eastAsia="宋体" w:cs="宋体"/>
                <w:sz w:val="18"/>
              </w:rPr>
              <w:t>（1）业绩比较基准的说明：【基于当前对未来市场的判断，根据拟投资债权类资产的信用利差、久期敞口以及流动性溢价，预判组合的波动幅度。】。</w:t>
            </w:r>
            <w:r>
              <w:rPr>
                <w:rFonts w:ascii="宋体" w:hAnsi="宋体" w:eastAsia="宋体" w:cs="宋体"/>
                <w:sz w:val="18"/>
              </w:rPr>
              <w:br w:type="textWrapping"/>
            </w:r>
            <w:r>
              <w:rPr>
                <w:rFonts w:ascii="宋体" w:hAnsi="宋体" w:eastAsia="宋体" w:cs="宋体"/>
                <w:sz w:val="18"/>
              </w:rPr>
              <w:t>（2）业绩比较基准的设定：管理人对本产品设定业绩比较基准：【人民银行7天通知存款利率*60%+中债-新综合全价(1年以下)指数*40%】。（</w:t>
            </w:r>
            <w:r>
              <w:rPr>
                <w:rFonts w:hint="eastAsia" w:ascii="宋体" w:hAnsi="宋体" w:cs="宋体"/>
                <w:sz w:val="18"/>
                <w:lang w:eastAsia="zh-CN"/>
              </w:rPr>
              <w:t>适用【C】类份额</w:t>
            </w:r>
            <w:r>
              <w:rPr>
                <w:rFonts w:ascii="宋体" w:hAnsi="宋体" w:eastAsia="宋体" w:cs="宋体"/>
                <w:sz w:val="18"/>
              </w:rPr>
              <w:t>)</w:t>
            </w:r>
            <w:r>
              <w:rPr>
                <w:rFonts w:ascii="宋体" w:hAnsi="宋体" w:eastAsia="宋体" w:cs="宋体"/>
                <w:sz w:val="18"/>
              </w:rPr>
              <w:br w:type="textWrapping"/>
            </w:r>
            <w:r>
              <w:rPr>
                <w:rFonts w:ascii="宋体" w:hAnsi="宋体" w:eastAsia="宋体" w:cs="宋体"/>
                <w:sz w:val="18"/>
              </w:rPr>
              <w:t>□ 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按照本产品说明书“理财产品的信息披露”条款约定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keepNext w:val="0"/>
              <w:keepLines w:val="0"/>
              <w:widowControl w:val="0"/>
              <w:suppressLineNumbers w:val="0"/>
              <w:spacing w:before="0" w:beforeAutospacing="0" w:after="0" w:afterAutospacing="0" w:line="360" w:lineRule="auto"/>
              <w:ind w:left="0" w:right="0"/>
              <w:jc w:val="left"/>
              <w:rPr>
                <w:rFonts w:hint="eastAsia" w:ascii="Calibri" w:hAnsi="宋体" w:eastAsia="宋体" w:cs="宋体"/>
                <w:bCs/>
                <w:kern w:val="2"/>
                <w:sz w:val="18"/>
                <w:szCs w:val="18"/>
              </w:rPr>
            </w:pPr>
            <w:r>
              <w:rPr>
                <w:rFonts w:ascii="宋体" w:hAnsi="宋体" w:eastAsia="宋体" w:cs="宋体"/>
                <w:sz w:val="18"/>
              </w:rPr>
              <w:t>1.业绩报酬计提基准的设置</w:t>
            </w:r>
            <w:r>
              <w:rPr>
                <w:rFonts w:ascii="宋体" w:hAnsi="宋体" w:eastAsia="宋体" w:cs="宋体"/>
                <w:sz w:val="18"/>
              </w:rPr>
              <w:br w:type="textWrapping"/>
            </w:r>
            <w:r>
              <w:rPr>
                <w:rFonts w:ascii="宋体" w:hAnsi="宋体" w:eastAsia="宋体" w:cs="宋体"/>
                <w:sz w:val="18"/>
              </w:rPr>
              <w:t>□ 产品管理人设置业绩报酬计提基准。</w:t>
            </w:r>
            <w:r>
              <w:rPr>
                <w:rFonts w:ascii="宋体" w:hAnsi="宋体" w:eastAsia="宋体" w:cs="宋体"/>
                <w:sz w:val="18"/>
              </w:rPr>
              <w:br w:type="textWrapping"/>
            </w:r>
            <w:r>
              <w:rPr>
                <w:rFonts w:ascii="宋体" w:hAnsi="宋体" w:eastAsia="宋体" w:cs="宋体"/>
                <w:sz w:val="18"/>
              </w:rPr>
              <w:t>业绩报酬计提基准的设定：管理人对本产品设定业绩报酬计提基准：【</w:t>
            </w:r>
            <w:r>
              <w:rPr>
                <w:rFonts w:hint="eastAsia" w:ascii="宋体" w:hAnsi="宋体" w:cs="宋体"/>
                <w:sz w:val="18"/>
                <w:lang w:val="en-US" w:eastAsia="zh-CN"/>
              </w:rPr>
              <w:t>/</w:t>
            </w:r>
            <w:r>
              <w:rPr>
                <w:rFonts w:ascii="宋体" w:hAnsi="宋体" w:eastAsia="宋体" w:cs="宋体"/>
                <w:sz w:val="18"/>
              </w:rPr>
              <w:t>】。（</w:t>
            </w:r>
            <w:r>
              <w:rPr>
                <w:rFonts w:hint="eastAsia" w:ascii="宋体" w:hAnsi="宋体" w:cs="宋体"/>
                <w:sz w:val="18"/>
                <w:lang w:eastAsia="zh-CN"/>
              </w:rPr>
              <w:t>适用【C】类份额</w:t>
            </w:r>
            <w:r>
              <w:rPr>
                <w:rFonts w:ascii="宋体" w:hAnsi="宋体" w:eastAsia="宋体" w:cs="宋体"/>
                <w:sz w:val="18"/>
              </w:rPr>
              <w:t>)</w:t>
            </w:r>
            <w:r>
              <w:rPr>
                <w:rFonts w:ascii="宋体" w:hAnsi="宋体" w:eastAsia="宋体" w:cs="宋体"/>
                <w:sz w:val="18"/>
              </w:rPr>
              <w:br w:type="textWrapping"/>
            </w:r>
            <w:r>
              <w:rPr>
                <w:rFonts w:ascii="宋体" w:hAnsi="宋体" w:eastAsia="宋体" w:cs="宋体"/>
                <w:sz w:val="18"/>
              </w:rPr>
              <w:t>■ 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按照本产品说明书“理财产品的信息披露”条款约定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keepNext w:val="0"/>
              <w:keepLines w:val="0"/>
              <w:suppressLineNumbers w:val="0"/>
              <w:spacing w:before="0" w:beforeAutospacing="0" w:after="0" w:afterAutospacing="0" w:line="360" w:lineRule="auto"/>
              <w:ind w:left="0" w:right="0"/>
              <w:rPr>
                <w:rFonts w:hint="eastAsia" w:ascii="黑体" w:hAnsi="黑体" w:eastAsia="黑体" w:cs="黑体"/>
                <w:bCs/>
                <w:sz w:val="18"/>
                <w:szCs w:val="18"/>
              </w:rPr>
            </w:pPr>
            <w:r>
              <w:rPr>
                <w:rFonts w:ascii="黑体" w:hAnsi="黑体" w:eastAsia="黑体" w:cs="黑体"/>
                <w:sz w:val="18"/>
              </w:rPr>
              <w:t>1.理财产品的费率标准</w:t>
            </w:r>
            <w:r>
              <w:rPr>
                <w:rFonts w:ascii="黑体" w:hAnsi="黑体" w:eastAsia="黑体" w:cs="黑体"/>
                <w:sz w:val="18"/>
              </w:rPr>
              <w:br w:type="textWrapping"/>
            </w:r>
            <w:r>
              <w:rPr>
                <w:rFonts w:ascii="黑体" w:hAnsi="黑体" w:eastAsia="黑体" w:cs="黑体"/>
                <w:sz w:val="18"/>
              </w:rPr>
              <w:t>（1）认购费：【/】。（</w:t>
            </w:r>
            <w:r>
              <w:rPr>
                <w:rFonts w:hint="eastAsia" w:ascii="黑体" w:hAnsi="黑体" w:eastAsia="黑体" w:cs="黑体"/>
                <w:sz w:val="18"/>
                <w:lang w:eastAsia="zh-CN"/>
              </w:rPr>
              <w:t>适用【C】类份额</w:t>
            </w:r>
            <w:r>
              <w:rPr>
                <w:rFonts w:ascii="黑体" w:hAnsi="黑体" w:eastAsia="黑体" w:cs="黑体"/>
                <w:sz w:val="18"/>
              </w:rPr>
              <w:t>）</w:t>
            </w:r>
            <w:r>
              <w:rPr>
                <w:rFonts w:ascii="黑体" w:hAnsi="黑体" w:eastAsia="黑体" w:cs="黑体"/>
                <w:sz w:val="18"/>
              </w:rPr>
              <w:br w:type="textWrapping"/>
            </w:r>
            <w:r>
              <w:rPr>
                <w:rFonts w:ascii="黑体" w:hAnsi="黑体" w:eastAsia="黑体" w:cs="黑体"/>
                <w:sz w:val="18"/>
              </w:rPr>
              <w:t>（2）申购费：【/】。（</w:t>
            </w:r>
            <w:r>
              <w:rPr>
                <w:rFonts w:hint="eastAsia" w:ascii="黑体" w:hAnsi="黑体" w:eastAsia="黑体" w:cs="黑体"/>
                <w:sz w:val="18"/>
                <w:lang w:eastAsia="zh-CN"/>
              </w:rPr>
              <w:t>适用【C】类份额</w:t>
            </w:r>
            <w:r>
              <w:rPr>
                <w:rFonts w:ascii="黑体" w:hAnsi="黑体" w:eastAsia="黑体" w:cs="黑体"/>
                <w:sz w:val="18"/>
              </w:rPr>
              <w:t>）</w:t>
            </w:r>
            <w:r>
              <w:rPr>
                <w:rFonts w:ascii="黑体" w:hAnsi="黑体" w:eastAsia="黑体" w:cs="黑体"/>
                <w:sz w:val="18"/>
              </w:rPr>
              <w:br w:type="textWrapping"/>
            </w:r>
            <w:r>
              <w:rPr>
                <w:rFonts w:ascii="黑体" w:hAnsi="黑体" w:eastAsia="黑体" w:cs="黑体"/>
                <w:sz w:val="18"/>
              </w:rPr>
              <w:t>（3）赎回费：【/】。（</w:t>
            </w:r>
            <w:r>
              <w:rPr>
                <w:rFonts w:hint="eastAsia" w:ascii="黑体" w:hAnsi="黑体" w:eastAsia="黑体" w:cs="黑体"/>
                <w:sz w:val="18"/>
                <w:lang w:eastAsia="zh-CN"/>
              </w:rPr>
              <w:t>适用【C】类份额</w:t>
            </w:r>
            <w:r>
              <w:rPr>
                <w:rFonts w:ascii="黑体" w:hAnsi="黑体" w:eastAsia="黑体" w:cs="黑体"/>
                <w:sz w:val="18"/>
              </w:rPr>
              <w:t>）</w:t>
            </w:r>
            <w:r>
              <w:rPr>
                <w:rFonts w:ascii="黑体" w:hAnsi="黑体" w:eastAsia="黑体" w:cs="黑体"/>
                <w:sz w:val="18"/>
              </w:rPr>
              <w:br w:type="textWrapping"/>
            </w:r>
            <w:r>
              <w:rPr>
                <w:rFonts w:ascii="黑体" w:hAnsi="黑体" w:eastAsia="黑体" w:cs="黑体"/>
                <w:sz w:val="18"/>
              </w:rPr>
              <w:t>（4）销售服务费：年化费率【0.4%】。（</w:t>
            </w:r>
            <w:r>
              <w:rPr>
                <w:rFonts w:hint="eastAsia" w:ascii="黑体" w:hAnsi="黑体" w:eastAsia="黑体" w:cs="黑体"/>
                <w:sz w:val="18"/>
                <w:lang w:eastAsia="zh-CN"/>
              </w:rPr>
              <w:t>适用【C】类份额</w:t>
            </w:r>
            <w:r>
              <w:rPr>
                <w:rFonts w:ascii="黑体" w:hAnsi="黑体" w:eastAsia="黑体" w:cs="黑体"/>
                <w:sz w:val="18"/>
              </w:rPr>
              <w:t>）</w:t>
            </w:r>
            <w:r>
              <w:rPr>
                <w:rFonts w:ascii="黑体" w:hAnsi="黑体" w:eastAsia="黑体" w:cs="黑体"/>
                <w:sz w:val="18"/>
              </w:rPr>
              <w:br w:type="textWrapping"/>
            </w:r>
            <w:r>
              <w:rPr>
                <w:rFonts w:ascii="黑体" w:hAnsi="黑体" w:eastAsia="黑体" w:cs="黑体"/>
                <w:sz w:val="18"/>
              </w:rPr>
              <w:t>（5）投资管理费：年化费率【0.3%】</w:t>
            </w:r>
            <w:r>
              <w:rPr>
                <w:rFonts w:ascii="黑体" w:hAnsi="黑体" w:eastAsia="黑体" w:cs="黑体"/>
                <w:sz w:val="18"/>
              </w:rPr>
              <w:br w:type="textWrapping"/>
            </w:r>
            <w:r>
              <w:rPr>
                <w:rFonts w:ascii="黑体" w:hAnsi="黑体" w:eastAsia="黑体" w:cs="黑体"/>
                <w:sz w:val="18"/>
              </w:rPr>
              <w:t>（6）产品托管费：年化费率【0.03%】</w:t>
            </w:r>
            <w:r>
              <w:rPr>
                <w:rFonts w:ascii="黑体" w:hAnsi="黑体" w:eastAsia="黑体" w:cs="黑体"/>
                <w:sz w:val="18"/>
              </w:rPr>
              <w:br w:type="textWrapping"/>
            </w:r>
            <w:r>
              <w:rPr>
                <w:rFonts w:ascii="黑体" w:hAnsi="黑体" w:eastAsia="黑体" w:cs="黑体"/>
                <w:sz w:val="18"/>
              </w:rPr>
              <w:t>（7）超额业绩报酬：</w:t>
            </w:r>
            <w:r>
              <w:rPr>
                <w:rFonts w:ascii="黑体" w:hAnsi="黑体" w:eastAsia="黑体" w:cs="黑体"/>
                <w:sz w:val="18"/>
              </w:rPr>
              <w:br w:type="textWrapping"/>
            </w:r>
            <w:r>
              <w:rPr>
                <w:rFonts w:ascii="黑体" w:hAnsi="黑体" w:eastAsia="黑体" w:cs="黑体"/>
                <w:sz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作为超额业绩报酬。</w:t>
            </w:r>
          </w:p>
          <w:p>
            <w:pPr>
              <w:spacing w:line="360" w:lineRule="auto"/>
              <w:rPr>
                <w:rFonts w:hint="eastAsia" w:ascii="黑体" w:hAnsi="黑体" w:eastAsia="黑体" w:cs="黑体"/>
                <w:bCs/>
                <w:sz w:val="18"/>
                <w:szCs w:val="18"/>
              </w:rPr>
            </w:pPr>
            <w:r>
              <w:rPr>
                <w:rFonts w:hint="eastAsia" w:ascii="黑体" w:hAnsi="黑体" w:eastAsia="黑体" w:cs="黑体"/>
                <w:bCs/>
                <w:sz w:val="18"/>
                <w:szCs w:val="18"/>
              </w:rPr>
              <w:t>2.以上费用金额均按照四舍五入方法，保留到小数点后2位。</w:t>
            </w:r>
          </w:p>
          <w:p>
            <w:pPr>
              <w:spacing w:line="360" w:lineRule="auto"/>
              <w:rPr>
                <w:rFonts w:ascii="黑体" w:hAnsi="黑体" w:eastAsia="黑体"/>
                <w:bCs/>
                <w:sz w:val="18"/>
                <w:szCs w:val="18"/>
              </w:rPr>
            </w:pPr>
            <w:r>
              <w:rPr>
                <w:rFonts w:hint="eastAsia" w:ascii="黑体" w:hAnsi="黑体" w:eastAsia="黑体" w:cs="黑体"/>
                <w:bCs/>
                <w:sz w:val="18"/>
                <w:szCs w:val="18"/>
              </w:rPr>
              <w:t>3.产品管理人有权根据相关法律和国家政策规定，对理财产品费用的收费项目、收费条件、收费标准和收费方式等进行调整。产品管理人对费用的调整将依本产品说明书的“理财产品的信息披露”条款约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10" w:name="_Toc79154666"/>
      <w:bookmarkStart w:id="11" w:name="_Toc4403"/>
      <w:bookmarkStart w:id="12" w:name="_Toc21959"/>
      <w:bookmarkStart w:id="13" w:name="_Toc10659"/>
      <w:bookmarkStart w:id="14" w:name="_Toc92377132"/>
      <w:r>
        <w:rPr>
          <w:rFonts w:ascii="Times New Roman"/>
          <w:sz w:val="30"/>
        </w:rPr>
        <w:t>第</w:t>
      </w:r>
      <w:r>
        <w:rPr>
          <w:rFonts w:hint="eastAsia" w:ascii="Times New Roman"/>
          <w:sz w:val="30"/>
        </w:rPr>
        <w:t>三条</w:t>
      </w:r>
      <w:r>
        <w:rPr>
          <w:rFonts w:ascii="Times New Roman"/>
          <w:sz w:val="30"/>
        </w:rPr>
        <w:t xml:space="preserve">  </w:t>
      </w:r>
      <w:bookmarkStart w:id="15" w:name="_Toc79392573"/>
      <w:r>
        <w:rPr>
          <w:rFonts w:hint="eastAsia" w:ascii="Times New Roman"/>
          <w:sz w:val="30"/>
        </w:rPr>
        <w:t>理财产品的认购</w:t>
      </w:r>
      <w:bookmarkEnd w:id="10"/>
      <w:bookmarkEnd w:id="11"/>
      <w:bookmarkEnd w:id="12"/>
      <w:bookmarkEnd w:id="13"/>
      <w:bookmarkEnd w:id="14"/>
    </w:p>
    <w:p>
      <w:pPr>
        <w:spacing w:line="360" w:lineRule="auto"/>
        <w:ind w:firstLine="361" w:firstLineChars="200"/>
        <w:rPr>
          <w:rFonts w:asciiTheme="minorEastAsia" w:hAnsiTheme="minorEastAsia"/>
          <w:b/>
          <w:bCs/>
          <w:sz w:val="18"/>
          <w:szCs w:val="18"/>
        </w:rPr>
      </w:pPr>
      <w:bookmarkStart w:id="16" w:name="_Hlt88031774"/>
      <w:bookmarkEnd w:id="16"/>
      <w:bookmarkStart w:id="1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认购期/募集期内资金产生的利息（如有），不计入本金份额。</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8" w:name="_Toc79154667"/>
      <w:bookmarkStart w:id="19" w:name="_Toc6529"/>
      <w:bookmarkStart w:id="20" w:name="_Toc92377133"/>
      <w:bookmarkStart w:id="21" w:name="_Toc32177"/>
      <w:bookmarkStart w:id="22" w:name="_Toc29856"/>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8"/>
      <w:bookmarkEnd w:id="19"/>
      <w:bookmarkEnd w:id="20"/>
      <w:bookmarkEnd w:id="21"/>
      <w:bookmarkEnd w:id="22"/>
    </w:p>
    <w:bookmarkEnd w:id="17"/>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5"/>
    <w:p>
      <w:pPr>
        <w:pStyle w:val="2"/>
        <w:spacing w:before="0" w:after="0" w:line="360" w:lineRule="auto"/>
        <w:jc w:val="center"/>
        <w:rPr>
          <w:rFonts w:ascii="Times New Roman"/>
          <w:sz w:val="30"/>
        </w:rPr>
      </w:pPr>
      <w:bookmarkStart w:id="23" w:name="_Toc90742321"/>
      <w:bookmarkStart w:id="24" w:name="_Toc3266"/>
      <w:bookmarkStart w:id="25" w:name="_Toc27189"/>
      <w:bookmarkStart w:id="26" w:name="_Toc92377134"/>
      <w:bookmarkStart w:id="27" w:name="_Toc79154668"/>
      <w:bookmarkStart w:id="28" w:name="_Toc74065741"/>
      <w:bookmarkStart w:id="29" w:name="_Toc29784"/>
      <w:bookmarkStart w:id="30" w:name="_Toc7151"/>
      <w:bookmarkStart w:id="31" w:name="_Toc25685"/>
      <w:bookmarkStart w:id="32" w:name="_Toc90742688"/>
      <w:bookmarkStart w:id="33" w:name="_Toc6714"/>
      <w:bookmarkStart w:id="34" w:name="_Toc15203"/>
      <w:bookmarkStart w:id="35" w:name="_Toc27226"/>
      <w:bookmarkStart w:id="36" w:name="_Toc22074"/>
      <w:bookmarkStart w:id="37" w:name="_Toc23413"/>
      <w:bookmarkStart w:id="38" w:name="_Toc90742390"/>
      <w:bookmarkStart w:id="39" w:name="_Toc16265"/>
      <w:bookmarkStart w:id="40" w:name="_Toc29948"/>
      <w:bookmarkStart w:id="41" w:name="_Toc12517"/>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宋体" w:hAnsi="宋体" w:eastAsia="宋体" w:cs="宋体"/>
          <w:sz w:val="18"/>
        </w:rPr>
      </w:pPr>
      <w:permStart w:id="15" w:edGrp="everyone"/>
      <w:r>
        <w:rPr>
          <w:rFonts w:ascii="宋体" w:hAnsi="宋体" w:eastAsia="宋体" w:cs="宋体"/>
          <w:sz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ascii="宋体" w:hAnsi="宋体" w:eastAsia="宋体" w:cs="宋体"/>
          <w:sz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r>
        <w:rPr>
          <w:rFonts w:ascii="宋体" w:hAnsi="宋体" w:eastAsia="宋体" w:cs="宋体"/>
          <w:sz w:val="18"/>
        </w:rPr>
        <w:br w:type="textWrapping"/>
      </w:r>
      <w:r>
        <w:rPr>
          <w:rFonts w:hint="eastAsia" w:ascii="宋体" w:hAnsi="宋体" w:cs="宋体"/>
          <w:sz w:val="18"/>
          <w:lang w:val="en-US" w:eastAsia="zh-CN"/>
        </w:rPr>
        <w:t xml:space="preserve">    </w:t>
      </w:r>
      <w:r>
        <w:rPr>
          <w:rFonts w:ascii="宋体" w:hAnsi="宋体" w:eastAsia="宋体" w:cs="宋体"/>
          <w:sz w:val="18"/>
        </w:rPr>
        <w:t>（3）国债期货、利率互换、债券借贷、信用风险缓释工具、收益互换、标准债券远期。</w:t>
      </w:r>
      <w:r>
        <w:rPr>
          <w:rFonts w:ascii="宋体" w:hAnsi="宋体" w:eastAsia="宋体" w:cs="宋体"/>
          <w:sz w:val="18"/>
        </w:rPr>
        <w:br w:type="textWrapping"/>
      </w:r>
      <w:r>
        <w:rPr>
          <w:rFonts w:hint="eastAsia" w:ascii="宋体" w:hAnsi="宋体" w:cs="宋体"/>
          <w:sz w:val="18"/>
          <w:lang w:val="en-US" w:eastAsia="zh-CN"/>
        </w:rPr>
        <w:t xml:space="preserve">    </w:t>
      </w:r>
      <w:r>
        <w:rPr>
          <w:rFonts w:ascii="宋体" w:hAnsi="宋体" w:eastAsia="宋体" w:cs="宋体"/>
          <w:sz w:val="18"/>
        </w:rPr>
        <w:t>（4）债券型公募证券投资基金。</w:t>
      </w:r>
      <w:r>
        <w:rPr>
          <w:rFonts w:ascii="宋体" w:hAnsi="宋体" w:eastAsia="宋体" w:cs="宋体"/>
          <w:sz w:val="18"/>
        </w:rPr>
        <w:br w:type="textWrapping"/>
      </w:r>
      <w:r>
        <w:rPr>
          <w:rFonts w:hint="eastAsia" w:ascii="宋体" w:hAnsi="宋体" w:cs="宋体"/>
          <w:sz w:val="18"/>
          <w:lang w:val="en-US" w:eastAsia="zh-CN"/>
        </w:rPr>
        <w:t xml:space="preserve">    </w:t>
      </w:r>
      <w:r>
        <w:rPr>
          <w:rFonts w:ascii="宋体" w:hAnsi="宋体" w:eastAsia="宋体" w:cs="宋体"/>
          <w:sz w:val="18"/>
        </w:rPr>
        <w:t>（5）投资于上述资产的符合监管要求的公募基金、基金公司或子公司资产管理计划、证券公司资</w:t>
      </w:r>
      <w:r>
        <w:rPr>
          <w:rFonts w:ascii="宋体" w:hAnsi="宋体" w:eastAsia="宋体" w:cs="宋体"/>
          <w:sz w:val="18"/>
        </w:rPr>
        <w:br w:type="textWrapping"/>
      </w:r>
      <w:r>
        <w:rPr>
          <w:rFonts w:ascii="宋体" w:hAnsi="宋体" w:eastAsia="宋体" w:cs="宋体"/>
          <w:sz w:val="18"/>
        </w:rPr>
        <w:t>产管理计划、保险资产管理计划及信托计划等。</w:t>
      </w:r>
      <w:r>
        <w:rPr>
          <w:rFonts w:ascii="宋体" w:hAnsi="宋体" w:eastAsia="宋体" w:cs="宋体"/>
          <w:sz w:val="18"/>
        </w:rPr>
        <w:br w:type="textWrapping"/>
      </w:r>
      <w:r>
        <w:rPr>
          <w:rFonts w:hint="eastAsia" w:ascii="宋体" w:hAnsi="宋体" w:cs="宋体"/>
          <w:sz w:val="18"/>
          <w:lang w:val="en-US" w:eastAsia="zh-CN"/>
        </w:rPr>
        <w:t xml:space="preserve">    </w:t>
      </w:r>
      <w:r>
        <w:rPr>
          <w:rFonts w:ascii="宋体" w:hAnsi="宋体" w:eastAsia="宋体" w:cs="宋体"/>
          <w:sz w:val="18"/>
        </w:rPr>
        <w:t>（6）其他风险不高于前述资产的资产。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keepNext w:val="0"/>
        <w:keepLines w:val="0"/>
        <w:widowControl w:val="0"/>
        <w:suppressLineNumbers w:val="0"/>
        <w:autoSpaceDE w:val="0"/>
        <w:autoSpaceDN w:val="0"/>
        <w:adjustRightInd w:val="0"/>
        <w:spacing w:before="0" w:beforeAutospacing="0" w:after="0" w:afterAutospacing="0" w:line="360" w:lineRule="auto"/>
        <w:ind w:left="0" w:right="0" w:firstLine="360" w:firstLineChars="200"/>
        <w:jc w:val="left"/>
        <w:rPr>
          <w:rFonts w:hint="eastAsia" w:asciiTheme="majorEastAsia" w:hAnsiTheme="majorEastAsia" w:eastAsiaTheme="majorEastAsia"/>
          <w:bCs/>
          <w:kern w:val="0"/>
          <w:sz w:val="18"/>
          <w:szCs w:val="18"/>
        </w:rPr>
      </w:pPr>
      <w:permStart w:id="16" w:edGrp="everyone"/>
      <w:r>
        <w:rPr>
          <w:rFonts w:hint="eastAsia" w:ascii="宋体" w:hAnsi="宋体" w:eastAsia="宋体" w:cs="宋体"/>
          <w:bCs/>
          <w:kern w:val="0"/>
          <w:sz w:val="18"/>
          <w:szCs w:val="18"/>
          <w:lang w:val="en-US" w:eastAsia="zh-CN" w:bidi="ar"/>
        </w:rPr>
        <w:t>【（1）本产品投资于债权类资产的比例不低于产品总资产的80%，投资于可转债、可交换债、权益类、商品及金融衍生品类资产比例合计不超过产品总资产的10%。】</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非因管理人主观因素导致突破前款规定比例限制的，产品管理人在流动性受限资产可出售、可转让或者恢复交易的15个交易日内调整至符合要求，监管机构规定的特殊情形除外。</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（4）全部开放式公募理财产品投资单一上市公司发行的股票不得超过该上市公司可流通股票的15%。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监管部门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（8）本产品因为流动性需要可开展存单质押、债券正回购等融资业务，本产品总资产不超过净资产的140%。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ascii="宋体" w:hAnsi="宋体" w:eastAsia="宋体" w:cs="宋体"/>
          <w:sz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42" w:name="_Toc31087"/>
      <w:bookmarkStart w:id="43" w:name="_Toc27967"/>
      <w:bookmarkStart w:id="44" w:name="_Toc18526"/>
      <w:bookmarkStart w:id="45" w:name="_Toc1823"/>
      <w:bookmarkStart w:id="46" w:name="_Toc74065742"/>
      <w:bookmarkStart w:id="47" w:name="_Toc5702"/>
      <w:bookmarkStart w:id="48" w:name="_Toc18329"/>
      <w:bookmarkStart w:id="49" w:name="_Toc26986"/>
      <w:bookmarkStart w:id="50" w:name="_Toc139991735"/>
      <w:bookmarkStart w:id="51" w:name="_Toc79154669"/>
      <w:bookmarkStart w:id="52" w:name="_Toc21988"/>
      <w:bookmarkStart w:id="53" w:name="_Toc141703885"/>
      <w:bookmarkStart w:id="54" w:name="_Toc4741"/>
      <w:bookmarkStart w:id="55" w:name="_Toc17912"/>
      <w:bookmarkStart w:id="56" w:name="_Toc7848"/>
      <w:bookmarkStart w:id="57" w:name="_Toc18797"/>
      <w:bookmarkStart w:id="58" w:name="_Toc14893"/>
      <w:bookmarkStart w:id="59" w:name="_Toc92377135"/>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pStyle w:val="34"/>
        <w:spacing w:line="360" w:lineRule="auto"/>
        <w:ind w:firstLine="361" w:firstLineChars="200"/>
        <w:rPr>
          <w:rFonts w:asciiTheme="majorEastAsia" w:hAnsiTheme="majorEastAsia" w:eastAsiaTheme="majorEastAsia"/>
          <w:b/>
          <w:color w:val="auto"/>
          <w:sz w:val="18"/>
          <w:szCs w:val="18"/>
        </w:rPr>
      </w:pPr>
      <w:bookmarkStart w:id="60"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0"/>
    <w:p>
      <w:pPr>
        <w:pStyle w:val="2"/>
        <w:spacing w:before="0" w:after="0" w:line="360" w:lineRule="auto"/>
        <w:jc w:val="center"/>
        <w:rPr>
          <w:rFonts w:ascii="Times New Roman"/>
          <w:sz w:val="28"/>
          <w:szCs w:val="28"/>
        </w:rPr>
      </w:pPr>
      <w:bookmarkStart w:id="61" w:name="_Toc11152"/>
      <w:bookmarkStart w:id="62" w:name="_Toc19132"/>
      <w:bookmarkStart w:id="63" w:name="_Toc13903"/>
      <w:bookmarkStart w:id="64" w:name="_Toc92377136"/>
      <w:bookmarkStart w:id="65" w:name="_Toc83391971"/>
      <w:bookmarkStart w:id="66" w:name="_Toc139991736"/>
      <w:bookmarkStart w:id="67" w:name="_Toc1270"/>
      <w:bookmarkStart w:id="68" w:name="_Toc610"/>
      <w:bookmarkStart w:id="69" w:name="_Toc123112234"/>
      <w:bookmarkStart w:id="70" w:name="_Toc4003"/>
      <w:bookmarkStart w:id="71" w:name="_Toc10463"/>
      <w:bookmarkStart w:id="72" w:name="_Toc48649707"/>
      <w:bookmarkStart w:id="73" w:name="_Toc17244"/>
      <w:bookmarkStart w:id="74" w:name="_Toc1427"/>
      <w:bookmarkStart w:id="75" w:name="_Toc7920"/>
      <w:bookmarkStart w:id="76" w:name="_Toc98560352"/>
      <w:bookmarkStart w:id="77" w:name="_Toc79154670"/>
      <w:bookmarkStart w:id="78" w:name="_Toc123102453"/>
      <w:bookmarkStart w:id="79" w:name="_Toc20733"/>
      <w:bookmarkStart w:id="80" w:name="_Toc79392606"/>
      <w:bookmarkStart w:id="81" w:name="_Toc123051452"/>
      <w:bookmarkStart w:id="82" w:name="_Toc74065743"/>
      <w:bookmarkStart w:id="83" w:name="_Toc23261"/>
      <w:bookmarkStart w:id="84" w:name="_Toc23822"/>
      <w:bookmarkStart w:id="85" w:name="_Toc141703886"/>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1"/>
      <w:bookmarkEnd w:id="62"/>
      <w:bookmarkEnd w:id="63"/>
      <w:bookmarkEnd w:id="64"/>
      <w:bookmarkEnd w:id="65"/>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，每个开放日进行一次估值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（2）对已发行但未上市流通，且第三方估值机构未提供估值数据的标准化债权类资产，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Pr>
        <w:pStyle w:val="2"/>
        <w:spacing w:before="0" w:after="0" w:line="360" w:lineRule="auto"/>
        <w:ind w:left="60" w:firstLine="10"/>
        <w:jc w:val="center"/>
        <w:rPr>
          <w:rFonts w:ascii="Times New Roman"/>
          <w:sz w:val="30"/>
        </w:rPr>
      </w:pPr>
      <w:bookmarkStart w:id="86" w:name="_Hlt70481650"/>
      <w:bookmarkEnd w:id="86"/>
      <w:bookmarkStart w:id="87" w:name="_Toc31235"/>
      <w:bookmarkStart w:id="88" w:name="_Toc31653"/>
      <w:bookmarkStart w:id="89" w:name="_Toc141703887"/>
      <w:bookmarkStart w:id="90" w:name="_Toc74065744"/>
      <w:bookmarkStart w:id="91" w:name="_Toc139991737"/>
      <w:bookmarkStart w:id="92" w:name="_Toc3601"/>
      <w:bookmarkStart w:id="93" w:name="_Toc8045"/>
      <w:bookmarkStart w:id="94" w:name="_Toc123112235"/>
      <w:bookmarkStart w:id="95" w:name="_Toc4020"/>
      <w:bookmarkStart w:id="96" w:name="_Toc8695"/>
      <w:bookmarkStart w:id="97" w:name="_Toc31644"/>
      <w:bookmarkStart w:id="98" w:name="_Toc123102454"/>
      <w:bookmarkStart w:id="99" w:name="_Toc14835"/>
      <w:bookmarkStart w:id="100" w:name="_Toc26207"/>
      <w:bookmarkStart w:id="101" w:name="_Toc29251"/>
      <w:bookmarkStart w:id="102" w:name="_Toc92377137"/>
      <w:bookmarkStart w:id="103" w:name="_Toc12245"/>
      <w:bookmarkStart w:id="104" w:name="_Toc15143"/>
      <w:bookmarkStart w:id="105" w:name="_Toc6405"/>
      <w:bookmarkStart w:id="106" w:name="_Toc79154671"/>
      <w:bookmarkStart w:id="107" w:name="_Toc98560353"/>
      <w:bookmarkStart w:id="108" w:name="_Toc123051453"/>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Start w:id="109" w:name="_Hlt55355235"/>
      <w:bookmarkEnd w:id="109"/>
      <w:bookmarkStart w:id="110" w:name="_Toc57530239"/>
      <w:bookmarkStart w:id="111" w:name="_Toc79392580"/>
      <w:bookmarkStart w:id="112" w:name="_Toc523711668"/>
      <w:bookmarkStart w:id="113" w:name="_Toc15118234"/>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10"/>
    <w:bookmarkEnd w:id="111"/>
    <w:bookmarkEnd w:id="112"/>
    <w:bookmarkEnd w:id="113"/>
    <w:p>
      <w:pPr>
        <w:pStyle w:val="2"/>
        <w:spacing w:before="0" w:after="0" w:line="360" w:lineRule="auto"/>
        <w:jc w:val="center"/>
        <w:rPr>
          <w:rFonts w:ascii="Times New Roman"/>
          <w:sz w:val="30"/>
        </w:rPr>
      </w:pPr>
      <w:bookmarkStart w:id="114" w:name="_Hlt88825574"/>
      <w:bookmarkEnd w:id="114"/>
      <w:bookmarkStart w:id="115" w:name="_Hlt88897298"/>
      <w:bookmarkEnd w:id="115"/>
      <w:bookmarkStart w:id="116" w:name="_Toc6447"/>
      <w:bookmarkStart w:id="117" w:name="_Toc11030"/>
      <w:bookmarkStart w:id="118" w:name="_Toc123051454"/>
      <w:bookmarkStart w:id="119" w:name="_Toc79392583"/>
      <w:bookmarkStart w:id="120" w:name="_Toc10650"/>
      <w:bookmarkStart w:id="121" w:name="_Toc1043"/>
      <w:bookmarkStart w:id="122" w:name="_Toc141703888"/>
      <w:bookmarkStart w:id="123" w:name="_Toc74065745"/>
      <w:bookmarkStart w:id="124" w:name="_Toc4559"/>
      <w:bookmarkStart w:id="125" w:name="_Toc7058"/>
      <w:bookmarkStart w:id="126" w:name="_Toc9706"/>
      <w:bookmarkStart w:id="127" w:name="_Toc92377138"/>
      <w:bookmarkStart w:id="128" w:name="_Toc3771"/>
      <w:bookmarkStart w:id="129" w:name="_Toc79154672"/>
      <w:bookmarkStart w:id="130" w:name="_Toc98560354"/>
      <w:bookmarkStart w:id="131" w:name="_Toc123102455"/>
      <w:bookmarkStart w:id="132" w:name="_Toc6394"/>
      <w:bookmarkStart w:id="133" w:name="_Toc123112236"/>
      <w:bookmarkStart w:id="134" w:name="_Toc22998"/>
      <w:bookmarkStart w:id="135" w:name="_Toc3321"/>
      <w:bookmarkStart w:id="136" w:name="_Toc139991738"/>
      <w:bookmarkStart w:id="137" w:name="_Toc18567"/>
      <w:bookmarkStart w:id="138" w:name="_Toc25783"/>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pPr>
        <w:pStyle w:val="34"/>
        <w:spacing w:line="360" w:lineRule="auto"/>
        <w:ind w:firstLine="361" w:firstLineChars="200"/>
        <w:rPr>
          <w:rFonts w:hint="eastAsia" w:ascii="黑体" w:hAnsi="黑体" w:eastAsia="黑体" w:cs="黑体"/>
          <w:b/>
          <w:color w:val="auto"/>
          <w:sz w:val="18"/>
          <w:szCs w:val="18"/>
        </w:rPr>
      </w:pPr>
      <w:r>
        <w:rPr>
          <w:rFonts w:hint="eastAsia" w:ascii="黑体" w:hAnsi="黑体" w:eastAsia="黑体" w:cs="黑体"/>
          <w:b/>
          <w:color w:val="auto"/>
          <w:sz w:val="18"/>
          <w:szCs w:val="18"/>
        </w:rPr>
        <w:t>（一）理财产品的费用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1.理财产品费用的种类</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（1）理财产品的认购费、申购费、赎回费；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（3）理财产品的投资管理费及超额业绩报酬；</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（4）理财产品的产品托管费；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（5）理财产品的交易费用（包括但不限于证券交易费用、经纪费用等）；</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（6）理财产品验资费、审计费、律师费、信息披露费、清算费、执行费用等相关费用；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（7）按照国家法律法规规定可以列入的其他费用。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2.理财产品费用计提方法、计提标准和支付方式</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（1）理财产品的认购费、申购费、赎回费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1）认购费：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2）申购费：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Style w:val="30"/>
          <w:rFonts w:hint="eastAsia" w:ascii="黑体" w:hAnsi="黑体" w:eastAsia="黑体" w:cs="黑体"/>
          <w:kern w:val="0"/>
        </w:rPr>
      </w:pPr>
      <w:r>
        <w:rPr>
          <w:rFonts w:hint="eastAsia" w:ascii="黑体" w:hAnsi="黑体" w:eastAsia="黑体" w:cs="黑体"/>
          <w:kern w:val="0"/>
          <w:sz w:val="18"/>
          <w:szCs w:val="18"/>
        </w:rPr>
        <w:t>3）赎回费：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H＝E×销售服务费年费率÷365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pPr>
        <w:pStyle w:val="34"/>
        <w:spacing w:line="360" w:lineRule="auto"/>
        <w:ind w:firstLine="360" w:firstLineChars="200"/>
        <w:rPr>
          <w:rFonts w:hint="eastAsia" w:ascii="黑体" w:hAnsi="黑体" w:eastAsia="黑体" w:cs="黑体"/>
          <w:color w:val="auto"/>
          <w:kern w:val="2"/>
          <w:sz w:val="18"/>
          <w:szCs w:val="18"/>
        </w:rPr>
      </w:pPr>
      <w:r>
        <w:rPr>
          <w:rFonts w:hint="eastAsia" w:ascii="黑体" w:hAnsi="黑体" w:eastAsia="黑体" w:cs="黑体"/>
          <w:color w:val="auto"/>
          <w:sz w:val="18"/>
          <w:szCs w:val="18"/>
        </w:rPr>
        <w:t>销售服务费依照上述约定，从理财财产中支付。</w:t>
      </w:r>
      <w:r>
        <w:rPr>
          <w:rFonts w:hint="eastAsia" w:ascii="黑体" w:hAnsi="黑体" w:eastAsia="黑体" w:cs="黑体"/>
          <w:color w:val="auto"/>
          <w:kern w:val="2"/>
          <w:sz w:val="18"/>
          <w:szCs w:val="18"/>
        </w:rPr>
        <w:t>费率具体数值以</w:t>
      </w:r>
      <w:r>
        <w:rPr>
          <w:rFonts w:hint="eastAsia" w:ascii="黑体" w:hAnsi="黑体" w:eastAsia="黑体" w:cs="黑体"/>
          <w:color w:val="auto"/>
          <w:sz w:val="18"/>
          <w:szCs w:val="18"/>
        </w:rPr>
        <w:t>《产品说明书》“第二条 理财产品基本情况”</w:t>
      </w:r>
      <w:r>
        <w:rPr>
          <w:rFonts w:hint="eastAsia" w:ascii="黑体" w:hAnsi="黑体" w:eastAsia="黑体" w:cs="黑体"/>
          <w:color w:val="auto"/>
          <w:kern w:val="2"/>
          <w:sz w:val="18"/>
          <w:szCs w:val="18"/>
        </w:rPr>
        <w:t>为准。</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本产品的投资管理费按前一日理财资产净值与投资管理费每日费率每日计提。</w:t>
      </w:r>
      <w:r>
        <w:rPr>
          <w:rFonts w:hint="eastAsia" w:ascii="黑体" w:hAnsi="黑体" w:eastAsia="黑体" w:cs="黑体"/>
          <w:kern w:val="0"/>
          <w:sz w:val="18"/>
          <w:szCs w:val="18"/>
        </w:rPr>
        <w:t>投资管理费的计算方法如下：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H＝E×投资管理费年费率÷365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H为每日应计提的产品投资管理费</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E为前一日的理财资产净值</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投资管理费依照上述约定，从理财财产中支付。</w:t>
      </w:r>
      <w:r>
        <w:rPr>
          <w:rFonts w:hint="eastAsia" w:ascii="黑体" w:hAnsi="黑体" w:eastAsia="黑体" w:cs="黑体"/>
          <w:sz w:val="18"/>
          <w:szCs w:val="18"/>
        </w:rPr>
        <w:t>费率具体数值以《产品说明书》“第二条 理财产品基本情况”为准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（4）超额业绩报酬</w:t>
      </w:r>
    </w:p>
    <w:p>
      <w:pPr>
        <w:widowControl/>
        <w:spacing w:line="360" w:lineRule="auto"/>
        <w:ind w:firstLine="360" w:firstLineChars="200"/>
        <w:jc w:val="left"/>
        <w:rPr>
          <w:rFonts w:hint="default" w:asciiTheme="majorEastAsia" w:hAnsiTheme="majorEastAsia" w:eastAsiaTheme="majorEastAsia"/>
          <w:sz w:val="18"/>
          <w:szCs w:val="18"/>
          <w:lang w:val="en-US" w:eastAsia="zh-CN"/>
        </w:rPr>
      </w:pPr>
      <w:permStart w:id="23" w:edGrp="everyone"/>
      <w:r>
        <w:rPr>
          <w:rFonts w:hint="default" w:asciiTheme="majorEastAsia" w:hAnsiTheme="majorEastAsia" w:eastAsiaTheme="majorEastAsia"/>
          <w:sz w:val="18"/>
          <w:szCs w:val="18"/>
          <w:lang w:val="en-US" w:eastAsia="zh-CN"/>
        </w:rPr>
        <w:t>本产品不收取超额业绩报酬</w:t>
      </w:r>
    </w:p>
    <w:permEnd w:id="23"/>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（5）理财产品的产品托管费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本产品的产品托管费按前一日理财资产净值与产品托管费每日费率每日计提。</w:t>
      </w:r>
      <w:r>
        <w:rPr>
          <w:rFonts w:hint="eastAsia" w:ascii="黑体" w:hAnsi="黑体" w:eastAsia="黑体" w:cs="黑体"/>
          <w:kern w:val="0"/>
          <w:sz w:val="18"/>
          <w:szCs w:val="18"/>
        </w:rPr>
        <w:t>产品托管费的计算方法如下：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H＝E×产品托管费年费率÷365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产品托管费依照上述约定，从理财财产中支付。</w:t>
      </w:r>
      <w:r>
        <w:rPr>
          <w:rFonts w:hint="eastAsia" w:ascii="黑体" w:hAnsi="黑体" w:eastAsia="黑体" w:cs="黑体"/>
          <w:sz w:val="18"/>
          <w:szCs w:val="18"/>
        </w:rPr>
        <w:t>费率具体数值以《产品说明书》“第二条 理财产品基本情况”为准。</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（6）上述理财产品的证券交易费用</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（7）上述理财产品验资费、审计费、律师费、信息披露费、清算费、执行费用等相关费用</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按费用实际支出金额列入当期费用，从理财财产中支付。产品管理人因处理上述事务而先行垫付上述费用的，管理人有权从理财产品资产中优先受偿。</w:t>
      </w:r>
    </w:p>
    <w:p>
      <w:pPr>
        <w:pStyle w:val="34"/>
        <w:spacing w:line="360" w:lineRule="auto"/>
        <w:ind w:firstLine="360" w:firstLineChars="200"/>
        <w:rPr>
          <w:rFonts w:hint="eastAsia" w:ascii="黑体" w:hAnsi="黑体" w:eastAsia="黑体" w:cs="黑体"/>
          <w:color w:val="auto"/>
          <w:sz w:val="18"/>
        </w:rPr>
      </w:pPr>
      <w:r>
        <w:rPr>
          <w:rFonts w:hint="eastAsia" w:ascii="黑体" w:hAnsi="黑体" w:eastAsia="黑体" w:cs="黑体"/>
          <w:color w:val="auto"/>
          <w:sz w:val="18"/>
        </w:rPr>
        <w:t>3.</w:t>
      </w:r>
      <w:r>
        <w:rPr>
          <w:rFonts w:hint="eastAsia" w:ascii="黑体" w:hAnsi="黑体" w:eastAsia="黑体" w:cs="黑体"/>
          <w:color w:val="auto"/>
          <w:sz w:val="18"/>
          <w:szCs w:val="18"/>
        </w:rPr>
        <w:t>★理财产品费用</w:t>
      </w:r>
      <w:r>
        <w:rPr>
          <w:rFonts w:hint="eastAsia" w:ascii="黑体" w:hAnsi="黑体" w:eastAsia="黑体" w:cs="黑体"/>
          <w:color w:val="auto"/>
          <w:sz w:val="18"/>
        </w:rPr>
        <w:t>的调整</w:t>
      </w:r>
    </w:p>
    <w:p>
      <w:pPr>
        <w:pStyle w:val="34"/>
        <w:spacing w:line="360" w:lineRule="auto"/>
        <w:ind w:firstLine="360" w:firstLineChars="200"/>
        <w:rPr>
          <w:rFonts w:hint="eastAsia" w:ascii="黑体" w:hAnsi="黑体" w:eastAsia="黑体" w:cs="黑体"/>
          <w:color w:val="auto"/>
          <w:sz w:val="18"/>
        </w:rPr>
      </w:pPr>
      <w:r>
        <w:rPr>
          <w:rFonts w:hint="eastAsia" w:ascii="黑体" w:hAnsi="黑体" w:eastAsia="黑体" w:cs="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hint="eastAsia" w:ascii="黑体" w:hAnsi="黑体" w:eastAsia="黑体" w:cs="黑体"/>
          <w:b/>
          <w:color w:val="auto"/>
          <w:sz w:val="18"/>
        </w:rPr>
      </w:pPr>
      <w:r>
        <w:rPr>
          <w:rFonts w:hint="eastAsia" w:ascii="黑体" w:hAnsi="黑体" w:eastAsia="黑体" w:cs="黑体"/>
          <w:color w:val="auto"/>
          <w:sz w:val="18"/>
        </w:rPr>
        <w:t>（2）产品管理人有权</w:t>
      </w:r>
      <w:r>
        <w:rPr>
          <w:rFonts w:hint="eastAsia" w:ascii="黑体" w:hAnsi="黑体" w:eastAsia="黑体" w:cs="黑体"/>
          <w:color w:val="auto"/>
          <w:sz w:val="18"/>
          <w:szCs w:val="18"/>
        </w:rPr>
        <w:t>根据相关法律和国家政策规定，</w:t>
      </w:r>
      <w:r>
        <w:rPr>
          <w:rFonts w:hint="eastAsia" w:ascii="黑体" w:hAnsi="黑体" w:eastAsia="黑体" w:cs="黑体"/>
          <w:color w:val="auto"/>
          <w:sz w:val="18"/>
        </w:rPr>
        <w:t>对理财产品费用的收费项目、收费条件、收费标准和收费方式等进行调整。产品管理人对费用的调整</w:t>
      </w:r>
      <w:r>
        <w:rPr>
          <w:rFonts w:hint="eastAsia" w:ascii="黑体" w:hAnsi="黑体" w:eastAsia="黑体" w:cs="黑体"/>
          <w:bCs/>
          <w:color w:val="auto"/>
          <w:sz w:val="18"/>
        </w:rPr>
        <w:t>将依本产品说明书的“理财产品的信息披露”条款约定进行公告。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9" w:name="_Toc3963"/>
      <w:bookmarkStart w:id="140" w:name="_Toc1745"/>
      <w:r>
        <w:br w:type="page"/>
      </w:r>
      <w:bookmarkStart w:id="141" w:name="_Toc3080"/>
      <w:bookmarkStart w:id="142" w:name="_Toc141703889"/>
      <w:bookmarkStart w:id="143" w:name="_Toc92377139"/>
      <w:bookmarkStart w:id="144" w:name="_Toc2757"/>
      <w:bookmarkStart w:id="145" w:name="_Toc123051455"/>
      <w:bookmarkStart w:id="146" w:name="_Toc123112237"/>
      <w:bookmarkStart w:id="147" w:name="_Toc139991739"/>
      <w:bookmarkStart w:id="148" w:name="_Toc79154673"/>
      <w:bookmarkStart w:id="149" w:name="_Toc98560355"/>
      <w:bookmarkStart w:id="150" w:name="_Toc10398"/>
      <w:bookmarkStart w:id="151" w:name="_Toc31821"/>
      <w:bookmarkStart w:id="152" w:name="_Toc16164"/>
      <w:bookmarkStart w:id="153" w:name="_Toc25397"/>
      <w:bookmarkStart w:id="154" w:name="_Toc725"/>
      <w:bookmarkStart w:id="155" w:name="_Toc74065746"/>
      <w:bookmarkStart w:id="156" w:name="_Toc5388"/>
      <w:bookmarkStart w:id="157" w:name="_Toc123102456"/>
      <w:bookmarkStart w:id="158" w:name="_Toc3572"/>
      <w:bookmarkStart w:id="159" w:name="_Toc18206"/>
      <w:bookmarkStart w:id="160" w:name="_Toc21735"/>
      <w:r>
        <w:rPr>
          <w:rFonts w:hint="eastAsia"/>
          <w:sz w:val="30"/>
        </w:rPr>
        <w:t>第十条</w:t>
      </w:r>
      <w:r>
        <w:rPr>
          <w:sz w:val="30"/>
        </w:rPr>
        <w:t xml:space="preserve">  </w:t>
      </w:r>
      <w:r>
        <w:rPr>
          <w:rFonts w:hint="eastAsia"/>
          <w:sz w:val="30"/>
        </w:rPr>
        <w:t>理财产品的终止与清算</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pPr>
        <w:spacing w:line="360" w:lineRule="auto"/>
        <w:ind w:firstLine="361" w:firstLineChars="200"/>
        <w:rPr>
          <w:rFonts w:asciiTheme="majorEastAsia" w:hAnsiTheme="majorEastAsia" w:eastAsiaTheme="majorEastAsia"/>
          <w:b/>
          <w:bCs/>
          <w:sz w:val="18"/>
          <w:szCs w:val="18"/>
        </w:rPr>
      </w:pPr>
      <w:bookmarkStart w:id="161" w:name="_Toc57530252"/>
      <w:bookmarkStart w:id="162" w:name="_Toc15118245"/>
      <w:bookmarkStart w:id="16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61"/>
    <w:bookmarkEnd w:id="162"/>
    <w:bookmarkEnd w:id="16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内产生的利息（如有）归投资者所有。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理财产品部分终止日（含当日）至理财利益实际到账日之间产生的利息（如有），归投资者所有。</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4.理财产品终止日，如遇理财产品项下资产因包括但不限于市场风险、信用风险等原因不能全部变现，本产品存在二次或多次清算的可能。如产品管理人拟进行二次或多次清算的，将依约定进行公告。对于未变现资产部分，产品管理人以投资者利益最大化的原则，寻求未变现资产变现方式，在资产变现后，产品持有的现金类资产在扣除理财相关费用、缴纳所欠税款并清偿理财产品负债后，在【5】个工作日内按投资者持有的理财产品份额比例向投资者进行再次分配。</w:t>
      </w:r>
    </w:p>
    <w:p>
      <w:pPr>
        <w:pStyle w:val="2"/>
        <w:spacing w:before="0" w:after="0" w:line="360" w:lineRule="auto"/>
        <w:jc w:val="center"/>
        <w:rPr>
          <w:rFonts w:ascii="Times New Roman"/>
          <w:sz w:val="18"/>
          <w:szCs w:val="18"/>
        </w:rPr>
      </w:pPr>
      <w:r>
        <w:rPr>
          <w:rFonts w:ascii="Times New Roman"/>
          <w:b w:val="0"/>
          <w:bCs w:val="0"/>
          <w:kern w:val="2"/>
        </w:rPr>
        <w:br w:type="page"/>
      </w:r>
      <w:bookmarkStart w:id="164" w:name="_Toc92377140"/>
      <w:bookmarkStart w:id="165" w:name="_Toc7953"/>
      <w:bookmarkStart w:id="166" w:name="_Toc24268"/>
      <w:bookmarkStart w:id="167" w:name="_Toc593"/>
      <w:bookmarkStart w:id="168" w:name="_Toc29408"/>
      <w:bookmarkStart w:id="169" w:name="_Toc123112238"/>
      <w:bookmarkStart w:id="170" w:name="_Toc8791"/>
      <w:bookmarkStart w:id="171" w:name="_Toc74065747"/>
      <w:bookmarkStart w:id="172" w:name="_Toc83391975"/>
      <w:bookmarkStart w:id="173" w:name="_Toc17198"/>
      <w:bookmarkStart w:id="174" w:name="_Toc139991740"/>
      <w:bookmarkStart w:id="175" w:name="_Toc3329"/>
      <w:bookmarkStart w:id="176" w:name="_Toc141703890"/>
      <w:bookmarkStart w:id="177" w:name="_Toc739"/>
      <w:bookmarkStart w:id="178" w:name="_Toc123051456"/>
      <w:bookmarkStart w:id="179" w:name="_Toc32584"/>
      <w:bookmarkStart w:id="180" w:name="_Toc32092"/>
      <w:bookmarkStart w:id="181" w:name="_Toc21237"/>
      <w:bookmarkStart w:id="182" w:name="_Toc79154674"/>
      <w:bookmarkStart w:id="183" w:name="_Toc48649708"/>
      <w:bookmarkStart w:id="184" w:name="_Toc17920"/>
      <w:bookmarkStart w:id="185" w:name="_Toc98560356"/>
      <w:bookmarkStart w:id="186" w:name="_Toc123102457"/>
      <w:bookmarkStart w:id="187" w:name="_Toc79392622"/>
      <w:bookmarkStart w:id="188" w:name="_Toc5170"/>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64"/>
      <w:bookmarkEnd w:id="165"/>
      <w:bookmarkEnd w:id="166"/>
      <w:bookmarkEnd w:id="167"/>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开放日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89" w:name="_Toc30149"/>
      <w:bookmarkStart w:id="190" w:name="_Toc184"/>
      <w:bookmarkStart w:id="191" w:name="_Toc92377141"/>
      <w:bookmarkStart w:id="192" w:name="_Toc8020"/>
      <w:bookmarkStart w:id="193"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89"/>
      <w:bookmarkEnd w:id="190"/>
      <w:bookmarkEnd w:id="191"/>
      <w:bookmarkEnd w:id="192"/>
      <w:bookmarkEnd w:id="193"/>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hint="eastAsia"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hint="eastAsia"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hint="eastAsia"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hint="eastAsia" w:ascii="宋体" w:hAnsi="宋体"/>
          <w:sz w:val="18"/>
          <w:szCs w:val="18"/>
        </w:rPr>
      </w:pPr>
      <w:r>
        <w:rPr>
          <w:rFonts w:hint="eastAsia" w:ascii="宋体" w:hAnsi="宋体"/>
          <w:sz w:val="18"/>
          <w:szCs w:val="18"/>
        </w:rPr>
        <w:t xml:space="preserve">（2）投资权益类资产的风险 </w:t>
      </w:r>
    </w:p>
    <w:p>
      <w:pPr>
        <w:spacing w:line="360" w:lineRule="auto"/>
        <w:ind w:firstLine="360" w:firstLineChars="200"/>
        <w:rPr>
          <w:rFonts w:hint="eastAsia" w:ascii="宋体" w:hAnsi="宋体"/>
          <w:sz w:val="18"/>
          <w:szCs w:val="18"/>
        </w:rPr>
      </w:pPr>
      <w:r>
        <w:rPr>
          <w:rFonts w:hint="eastAsia" w:ascii="宋体" w:hAnsi="宋体"/>
          <w:sz w:val="18"/>
          <w:szCs w:val="18"/>
        </w:rPr>
        <w:t>1）投资股票类资产的风险</w:t>
      </w:r>
    </w:p>
    <w:p>
      <w:pPr>
        <w:spacing w:line="360" w:lineRule="auto"/>
        <w:ind w:firstLine="360" w:firstLineChars="200"/>
        <w:rPr>
          <w:rFonts w:hint="eastAsia" w:ascii="宋体" w:hAnsi="宋体"/>
          <w:sz w:val="18"/>
          <w:szCs w:val="18"/>
        </w:rPr>
      </w:pPr>
      <w:r>
        <w:rPr>
          <w:rFonts w:hint="eastAsia" w:ascii="宋体" w:hAnsi="宋体"/>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spacing w:line="360" w:lineRule="auto"/>
        <w:ind w:firstLine="360" w:firstLineChars="200"/>
        <w:rPr>
          <w:rFonts w:hint="eastAsia" w:ascii="宋体" w:hAnsi="宋体"/>
          <w:sz w:val="18"/>
          <w:szCs w:val="18"/>
        </w:rPr>
      </w:pPr>
      <w:r>
        <w:rPr>
          <w:rFonts w:hint="eastAsia" w:ascii="宋体" w:hAnsi="宋体"/>
          <w:sz w:val="18"/>
          <w:szCs w:val="18"/>
        </w:rPr>
        <w:t xml:space="preserve">（3）投资商品和金融衍生品类资产的风险 </w:t>
      </w:r>
    </w:p>
    <w:p>
      <w:pPr>
        <w:spacing w:line="360" w:lineRule="auto"/>
        <w:ind w:firstLine="360" w:firstLineChars="200"/>
        <w:rPr>
          <w:rFonts w:hint="eastAsia"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hint="eastAsia" w:ascii="宋体" w:hAnsi="宋体"/>
          <w:sz w:val="18"/>
          <w:szCs w:val="18"/>
        </w:rPr>
      </w:pPr>
      <w:r>
        <w:rPr>
          <w:rFonts w:hint="eastAsia" w:ascii="宋体" w:hAnsi="宋体"/>
          <w:sz w:val="18"/>
          <w:szCs w:val="18"/>
        </w:rPr>
        <w:t>（4）投资可转债、可交债资产的风险</w:t>
      </w:r>
    </w:p>
    <w:p>
      <w:pPr>
        <w:spacing w:line="360" w:lineRule="auto"/>
        <w:ind w:firstLine="360" w:firstLineChars="200"/>
        <w:rPr>
          <w:rFonts w:ascii="宋体" w:hAnsi="宋体"/>
          <w:sz w:val="18"/>
          <w:szCs w:val="18"/>
        </w:rPr>
      </w:pPr>
      <w:r>
        <w:rPr>
          <w:rFonts w:hint="eastAsia" w:ascii="宋体" w:hAnsi="宋体"/>
          <w:sz w:val="18"/>
          <w:szCs w:val="18"/>
        </w:rPr>
        <w:t>本产品部分资金投资于可转债、可交债，需要承担可转债市场的流动性风险、由可转债对应正股股票价格波动带来的可转债价格波动风险，以及在转股期内由于可转债正股股票价格低于转股价而导致不能获得转股收益的风险等。可转债在发行时设置赎回条款，在触发赎回条件时发行人有权对转债进行赎回，一旦发行人赎回转债可能面临赎回价格低于转债市场价格的风险，并且转债被赎回后面临再投资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hint="eastAsia" w:ascii="黑体" w:hAnsi="黑体" w:eastAsia="黑体" w:cs="黑体"/>
          <w:sz w:val="18"/>
          <w:szCs w:val="18"/>
        </w:rPr>
      </w:pPr>
      <w:r>
        <w:rPr>
          <w:rFonts w:hint="eastAsia" w:ascii="黑体" w:hAnsi="黑体" w:eastAsia="黑体" w:cs="黑体"/>
          <w:sz w:val="18"/>
          <w:szCs w:val="18"/>
        </w:rPr>
        <w:t>17.★关联交易风险</w:t>
      </w:r>
    </w:p>
    <w:p>
      <w:pPr>
        <w:spacing w:line="360" w:lineRule="auto"/>
        <w:ind w:firstLine="360" w:firstLineChars="200"/>
        <w:rPr>
          <w:rFonts w:ascii="宋体" w:hAnsi="宋体"/>
          <w:sz w:val="18"/>
          <w:szCs w:val="18"/>
        </w:rPr>
      </w:pPr>
      <w:r>
        <w:rPr>
          <w:rFonts w:hint="eastAsia" w:ascii="黑体" w:hAnsi="黑体" w:eastAsia="黑体" w:cs="黑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dit="readOnly" w:enforcement="1" w:cryptProviderType="rsaFull" w:cryptAlgorithmClass="hash" w:cryptAlgorithmType="typeAny" w:cryptAlgorithmSid="4" w:cryptSpinCount="0" w:hash="vbRdCvAl/JdA0I4A/LGfU4WYnhc=" w:salt="2S1ZVbeRKpX85N9esXA6DQ=="/>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063E0"/>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AA"/>
    <w:rsid w:val="001D03C8"/>
    <w:rsid w:val="001D06D0"/>
    <w:rsid w:val="001D0990"/>
    <w:rsid w:val="001D1354"/>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5C9E"/>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0FA8"/>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2F7CC5"/>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4CA1"/>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128F"/>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17FF1"/>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358"/>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17479"/>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1DF1"/>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721"/>
    <w:rsid w:val="007B3CAC"/>
    <w:rsid w:val="007B435B"/>
    <w:rsid w:val="007B7A50"/>
    <w:rsid w:val="007B7E70"/>
    <w:rsid w:val="007C0495"/>
    <w:rsid w:val="007C67CB"/>
    <w:rsid w:val="007D115D"/>
    <w:rsid w:val="007D1185"/>
    <w:rsid w:val="007D37FB"/>
    <w:rsid w:val="007D3AB0"/>
    <w:rsid w:val="007D3C57"/>
    <w:rsid w:val="007D6324"/>
    <w:rsid w:val="007D68C9"/>
    <w:rsid w:val="007D6F94"/>
    <w:rsid w:val="007D7B84"/>
    <w:rsid w:val="007E1F76"/>
    <w:rsid w:val="007E31AB"/>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0C79"/>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B65"/>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714"/>
    <w:rsid w:val="00AB3C03"/>
    <w:rsid w:val="00AB50AF"/>
    <w:rsid w:val="00AB52EA"/>
    <w:rsid w:val="00AB5EF6"/>
    <w:rsid w:val="00AB7B14"/>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6A10"/>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2C3"/>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1725"/>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635A"/>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145A"/>
    <w:rsid w:val="00F555B0"/>
    <w:rsid w:val="00F6162A"/>
    <w:rsid w:val="00F66759"/>
    <w:rsid w:val="00F66D5C"/>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5650"/>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2CB5A36"/>
    <w:rsid w:val="0356786B"/>
    <w:rsid w:val="0363781C"/>
    <w:rsid w:val="046E31C1"/>
    <w:rsid w:val="056C4F65"/>
    <w:rsid w:val="05A63346"/>
    <w:rsid w:val="06DC01DA"/>
    <w:rsid w:val="06F4696E"/>
    <w:rsid w:val="07245E56"/>
    <w:rsid w:val="08134F4F"/>
    <w:rsid w:val="0A8C1B58"/>
    <w:rsid w:val="0BDE3BE3"/>
    <w:rsid w:val="0C023D8C"/>
    <w:rsid w:val="0C225D7B"/>
    <w:rsid w:val="0C8E2CE6"/>
    <w:rsid w:val="0CED3570"/>
    <w:rsid w:val="0E9022D3"/>
    <w:rsid w:val="0E94232E"/>
    <w:rsid w:val="0F1306D5"/>
    <w:rsid w:val="11295396"/>
    <w:rsid w:val="12242104"/>
    <w:rsid w:val="12F56293"/>
    <w:rsid w:val="15031585"/>
    <w:rsid w:val="163A1B23"/>
    <w:rsid w:val="163E2FB7"/>
    <w:rsid w:val="170213AA"/>
    <w:rsid w:val="17432A5C"/>
    <w:rsid w:val="1756767B"/>
    <w:rsid w:val="17622796"/>
    <w:rsid w:val="17B73277"/>
    <w:rsid w:val="181C08FC"/>
    <w:rsid w:val="19B35029"/>
    <w:rsid w:val="19F32D28"/>
    <w:rsid w:val="1A48157B"/>
    <w:rsid w:val="1AAA799F"/>
    <w:rsid w:val="1B9930ED"/>
    <w:rsid w:val="1BD70953"/>
    <w:rsid w:val="1BF87698"/>
    <w:rsid w:val="1E585AB7"/>
    <w:rsid w:val="1E8075A1"/>
    <w:rsid w:val="1EB160C2"/>
    <w:rsid w:val="1FA97B1F"/>
    <w:rsid w:val="1FF145B9"/>
    <w:rsid w:val="208366E3"/>
    <w:rsid w:val="2193546F"/>
    <w:rsid w:val="26F50BA9"/>
    <w:rsid w:val="27005B64"/>
    <w:rsid w:val="27BD5E26"/>
    <w:rsid w:val="285E4249"/>
    <w:rsid w:val="29026D00"/>
    <w:rsid w:val="29AF0175"/>
    <w:rsid w:val="2B1C48C7"/>
    <w:rsid w:val="2C250729"/>
    <w:rsid w:val="2EA644DF"/>
    <w:rsid w:val="2FB532A0"/>
    <w:rsid w:val="301261B1"/>
    <w:rsid w:val="319C4BEA"/>
    <w:rsid w:val="31E95E32"/>
    <w:rsid w:val="335D07EB"/>
    <w:rsid w:val="338472B6"/>
    <w:rsid w:val="34C829B2"/>
    <w:rsid w:val="35381804"/>
    <w:rsid w:val="36146FAD"/>
    <w:rsid w:val="372252A6"/>
    <w:rsid w:val="38051411"/>
    <w:rsid w:val="386A3F56"/>
    <w:rsid w:val="38777E2D"/>
    <w:rsid w:val="3A810EF7"/>
    <w:rsid w:val="3A842191"/>
    <w:rsid w:val="3ACF0F3F"/>
    <w:rsid w:val="3B7626CB"/>
    <w:rsid w:val="3BBD6798"/>
    <w:rsid w:val="3C3802E9"/>
    <w:rsid w:val="3DA51C15"/>
    <w:rsid w:val="3DC16BC6"/>
    <w:rsid w:val="3E586AB8"/>
    <w:rsid w:val="3E5C1B1D"/>
    <w:rsid w:val="3EAE14E9"/>
    <w:rsid w:val="3FD261A6"/>
    <w:rsid w:val="4000226E"/>
    <w:rsid w:val="407C0C49"/>
    <w:rsid w:val="427B4D59"/>
    <w:rsid w:val="42EB2F9C"/>
    <w:rsid w:val="45226963"/>
    <w:rsid w:val="45C16688"/>
    <w:rsid w:val="46C2124A"/>
    <w:rsid w:val="477C2F5C"/>
    <w:rsid w:val="499C5ED6"/>
    <w:rsid w:val="49CF7D54"/>
    <w:rsid w:val="4A192D1E"/>
    <w:rsid w:val="4BE01220"/>
    <w:rsid w:val="4D39606F"/>
    <w:rsid w:val="4D7250D6"/>
    <w:rsid w:val="4F137BD5"/>
    <w:rsid w:val="4F8E3D4D"/>
    <w:rsid w:val="53063B85"/>
    <w:rsid w:val="533C1961"/>
    <w:rsid w:val="53A73648"/>
    <w:rsid w:val="53B3493A"/>
    <w:rsid w:val="54560EDE"/>
    <w:rsid w:val="5537323C"/>
    <w:rsid w:val="55855837"/>
    <w:rsid w:val="55E83741"/>
    <w:rsid w:val="56503211"/>
    <w:rsid w:val="59030ACB"/>
    <w:rsid w:val="598B567E"/>
    <w:rsid w:val="5B552306"/>
    <w:rsid w:val="5C624734"/>
    <w:rsid w:val="5C674E35"/>
    <w:rsid w:val="5E5879D5"/>
    <w:rsid w:val="5FE91ABC"/>
    <w:rsid w:val="6087016B"/>
    <w:rsid w:val="60EB32EA"/>
    <w:rsid w:val="61CF16A9"/>
    <w:rsid w:val="628E734C"/>
    <w:rsid w:val="62BD3A82"/>
    <w:rsid w:val="63261B7A"/>
    <w:rsid w:val="6580603B"/>
    <w:rsid w:val="664F0E3A"/>
    <w:rsid w:val="66A34D18"/>
    <w:rsid w:val="671D0A46"/>
    <w:rsid w:val="682A44E1"/>
    <w:rsid w:val="68C7223A"/>
    <w:rsid w:val="68EF6886"/>
    <w:rsid w:val="69867C07"/>
    <w:rsid w:val="699A6E6A"/>
    <w:rsid w:val="6AAD6877"/>
    <w:rsid w:val="6B3F3089"/>
    <w:rsid w:val="6B471612"/>
    <w:rsid w:val="6C2B2E22"/>
    <w:rsid w:val="6EAA7DFD"/>
    <w:rsid w:val="6EE25628"/>
    <w:rsid w:val="6FDD1093"/>
    <w:rsid w:val="709C0126"/>
    <w:rsid w:val="72900D31"/>
    <w:rsid w:val="757103BD"/>
    <w:rsid w:val="76022652"/>
    <w:rsid w:val="768501BE"/>
    <w:rsid w:val="76C8601E"/>
    <w:rsid w:val="77150144"/>
    <w:rsid w:val="79E61650"/>
    <w:rsid w:val="7A8C6D1C"/>
    <w:rsid w:val="7B426088"/>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1A3BDF38-4832-4575-A8AB-7A1679738229}">
  <ds:schemaRefs/>
</ds:datastoreItem>
</file>

<file path=customXml/itemProps11.xml><?xml version="1.0" encoding="utf-8"?>
<ds:datastoreItem xmlns:ds="http://schemas.openxmlformats.org/officeDocument/2006/customXml" ds:itemID="{E6D3D55C-3DD8-4C31-8069-E5508DD844FB}">
  <ds:schemaRefs/>
</ds:datastoreItem>
</file>

<file path=customXml/itemProps12.xml><?xml version="1.0" encoding="utf-8"?>
<ds:datastoreItem xmlns:ds="http://schemas.openxmlformats.org/officeDocument/2006/customXml" ds:itemID="{2A564346-BCA8-4B81-89B9-B65338D1A2C8}">
  <ds:schemaRefs/>
</ds:datastoreItem>
</file>

<file path=customXml/itemProps13.xml><?xml version="1.0" encoding="utf-8"?>
<ds:datastoreItem xmlns:ds="http://schemas.openxmlformats.org/officeDocument/2006/customXml" ds:itemID="{D902962D-C8CC-43BF-804A-CD60AE6D7475}">
  <ds:schemaRefs/>
</ds:datastoreItem>
</file>

<file path=customXml/itemProps14.xml><?xml version="1.0" encoding="utf-8"?>
<ds:datastoreItem xmlns:ds="http://schemas.openxmlformats.org/officeDocument/2006/customXml" ds:itemID="{79B37214-9E52-4241-8DD2-9E9CD9442006}">
  <ds:schemaRefs/>
</ds:datastoreItem>
</file>

<file path=customXml/itemProps15.xml><?xml version="1.0" encoding="utf-8"?>
<ds:datastoreItem xmlns:ds="http://schemas.openxmlformats.org/officeDocument/2006/customXml" ds:itemID="{2108FF18-8EC8-4170-A536-1AA8E39CC797}">
  <ds:schemaRefs/>
</ds:datastoreItem>
</file>

<file path=customXml/itemProps16.xml><?xml version="1.0" encoding="utf-8"?>
<ds:datastoreItem xmlns:ds="http://schemas.openxmlformats.org/officeDocument/2006/customXml" ds:itemID="{0A7AA9EF-3B8C-4BAA-9155-A6E3E5337D3C}">
  <ds:schemaRefs/>
</ds:datastoreItem>
</file>

<file path=customXml/itemProps17.xml><?xml version="1.0" encoding="utf-8"?>
<ds:datastoreItem xmlns:ds="http://schemas.openxmlformats.org/officeDocument/2006/customXml" ds:itemID="{AC86F3EB-DB57-4B60-8A7E-BBB67A22EE0B}">
  <ds:schemaRefs/>
</ds:datastoreItem>
</file>

<file path=customXml/itemProps18.xml><?xml version="1.0" encoding="utf-8"?>
<ds:datastoreItem xmlns:ds="http://schemas.openxmlformats.org/officeDocument/2006/customXml" ds:itemID="{9114D43D-ED98-4C7B-A3AE-26D78B80CA82}">
  <ds:schemaRefs/>
</ds:datastoreItem>
</file>

<file path=customXml/itemProps2.xml><?xml version="1.0" encoding="utf-8"?>
<ds:datastoreItem xmlns:ds="http://schemas.openxmlformats.org/officeDocument/2006/customXml" ds:itemID="{A06CD169-7F5C-4082-81B2-6ECAA9AF6149}">
  <ds:schemaRefs/>
</ds:datastoreItem>
</file>

<file path=customXml/itemProps3.xml><?xml version="1.0" encoding="utf-8"?>
<ds:datastoreItem xmlns:ds="http://schemas.openxmlformats.org/officeDocument/2006/customXml" ds:itemID="{CF487381-D648-48A1-B1E4-A4540B0D3650}">
  <ds:schemaRefs/>
</ds:datastoreItem>
</file>

<file path=customXml/itemProps4.xml><?xml version="1.0" encoding="utf-8"?>
<ds:datastoreItem xmlns:ds="http://schemas.openxmlformats.org/officeDocument/2006/customXml" ds:itemID="{7E5C9D84-6DB6-48FB-8632-D5279FC233C8}">
  <ds:schemaRefs/>
</ds:datastoreItem>
</file>

<file path=customXml/itemProps5.xml><?xml version="1.0" encoding="utf-8"?>
<ds:datastoreItem xmlns:ds="http://schemas.openxmlformats.org/officeDocument/2006/customXml" ds:itemID="{1990A2D8-324F-45D5-B9CD-07245ED2860B}">
  <ds:schemaRefs/>
</ds:datastoreItem>
</file>

<file path=customXml/itemProps6.xml><?xml version="1.0" encoding="utf-8"?>
<ds:datastoreItem xmlns:ds="http://schemas.openxmlformats.org/officeDocument/2006/customXml" ds:itemID="{3A3C3A8D-C5E4-45AF-8B48-C3BF528808AD}">
  <ds:schemaRefs/>
</ds:datastoreItem>
</file>

<file path=customXml/itemProps7.xml><?xml version="1.0" encoding="utf-8"?>
<ds:datastoreItem xmlns:ds="http://schemas.openxmlformats.org/officeDocument/2006/customXml" ds:itemID="{509BA638-9D3A-4AA3-A169-FF78BC0E4BE9}">
  <ds:schemaRefs/>
</ds:datastoreItem>
</file>

<file path=customXml/itemProps8.xml><?xml version="1.0" encoding="utf-8"?>
<ds:datastoreItem xmlns:ds="http://schemas.openxmlformats.org/officeDocument/2006/customXml" ds:itemID="{EC45DDBE-A426-47CA-BC62-D025DE29F1BC}">
  <ds:schemaRefs/>
</ds:datastoreItem>
</file>

<file path=customXml/itemProps9.xml><?xml version="1.0" encoding="utf-8"?>
<ds:datastoreItem xmlns:ds="http://schemas.openxmlformats.org/officeDocument/2006/customXml" ds:itemID="{BEEE0313-55EB-45FA-BBBD-C0232D36725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4318</Words>
  <Characters>24617</Characters>
  <Lines>205</Lines>
  <Paragraphs>57</Paragraphs>
  <TotalTime>0</TotalTime>
  <ScaleCrop>false</ScaleCrop>
  <LinksUpToDate>false</LinksUpToDate>
  <CharactersWithSpaces>28878</CharactersWithSpaces>
  <Application>WPS Office_11.8.2.10154_F1E327BC-269C-435d-A152-05C5408002CA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cib</cp:lastModifiedBy>
  <cp:lastPrinted>2022-01-18T08:37:00Z</cp:lastPrinted>
  <dcterms:modified xsi:type="dcterms:W3CDTF">2025-12-23T06:08:37Z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5466F5ED04264CD88390FDC4DDCA6BAE</vt:lpwstr>
  </property>
</Properties>
</file>