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华夏理财固定收益增强型封闭式理财产品</w:t>
      </w:r>
      <w:r>
        <w:rPr>
          <w:rFonts w:hint="eastAsia" w:eastAsia="黑体"/>
          <w:bCs/>
          <w:sz w:val="36"/>
          <w:szCs w:val="36"/>
          <w:lang w:val="en-US" w:eastAsia="zh-CN"/>
        </w:rPr>
        <w:t>78</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华夏理财固定收益增强型封闭式理财产品</w:t>
            </w:r>
            <w:r>
              <w:rPr>
                <w:rFonts w:hint="eastAsia" w:ascii="仿宋" w:hAnsi="仿宋" w:eastAsia="仿宋"/>
                <w:b/>
                <w:bCs/>
                <w:szCs w:val="21"/>
                <w:lang w:val="en-US" w:eastAsia="zh-CN"/>
              </w:rPr>
              <w:t>78</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简称：“华夏理财固收增强封闭式</w:t>
            </w:r>
            <w:r>
              <w:rPr>
                <w:rFonts w:hint="eastAsia" w:ascii="仿宋" w:hAnsi="仿宋" w:eastAsia="仿宋"/>
                <w:b/>
                <w:bCs/>
                <w:szCs w:val="21"/>
                <w:lang w:val="en-US" w:eastAsia="zh-CN"/>
              </w:rPr>
              <w:t>78</w:t>
            </w:r>
            <w:r>
              <w:rPr>
                <w:rFonts w:hint="eastAsia" w:ascii="仿宋" w:hAnsi="仿宋" w:eastAsia="仿宋"/>
                <w:b/>
                <w:bCs/>
                <w:szCs w:val="21"/>
              </w:rPr>
              <w:t>号</w:t>
            </w:r>
            <w:r>
              <w:rPr>
                <w:rFonts w:hint="eastAsia" w:ascii="仿宋" w:hAnsi="仿宋" w:eastAsia="仿宋"/>
                <w:b/>
                <w:bCs/>
                <w:szCs w:val="21"/>
                <w:lang w:val="en-US" w:eastAsia="zh-CN"/>
              </w:rPr>
              <w:t>760</w:t>
            </w:r>
            <w:r>
              <w:rPr>
                <w:rFonts w:hint="eastAsia" w:ascii="仿宋" w:hAnsi="仿宋" w:eastAsia="仿宋"/>
                <w:b/>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22131078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Z7003922000103</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4.50</w:t>
            </w:r>
            <w:r>
              <w:rPr>
                <w:rFonts w:ascii="仿宋" w:hAnsi="仿宋" w:eastAsia="仿宋" w:cs="Cambria"/>
                <w:bCs/>
                <w:szCs w:val="21"/>
              </w:rPr>
              <w:t>%</w:t>
            </w:r>
            <w:r>
              <w:rPr>
                <w:rFonts w:hint="eastAsia" w:ascii="仿宋" w:hAnsi="仿宋" w:eastAsia="仿宋" w:cs="Cambria"/>
                <w:bCs/>
                <w:szCs w:val="21"/>
              </w:rPr>
              <w:t>（年化）。以产品投资利率债仓位0-20%，信用债仓位70%-80%，非标债权类资产仓位0%-40%，权益类资产仓位0-10%，组合杠杆率110%-125%为例，参考中债-国债总财富（1-3年）指数、中债-信用债总财富（1-3年）指数、Wind混合型基金总指数以及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
                <w:bCs/>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w:t>
            </w:r>
            <w:bookmarkStart w:id="7" w:name="_GoBack"/>
            <w:bookmarkEnd w:id="7"/>
            <w:r>
              <w:rPr>
                <w:rFonts w:hint="eastAsia" w:ascii="仿宋" w:hAnsi="仿宋" w:eastAsia="仿宋"/>
                <w:bCs/>
                <w:color w:val="000000"/>
                <w:szCs w:val="21"/>
              </w:rPr>
              <w:t>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8</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9</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760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1</w:t>
            </w:r>
            <w:r>
              <w:rPr>
                <w:rFonts w:hint="eastAsia" w:ascii="仿宋" w:hAnsi="仿宋" w:eastAsia="仿宋"/>
                <w:bCs/>
                <w:szCs w:val="21"/>
              </w:rPr>
              <w:t>月</w:t>
            </w:r>
            <w:r>
              <w:rPr>
                <w:rFonts w:hint="eastAsia" w:ascii="仿宋" w:hAnsi="仿宋" w:eastAsia="仿宋"/>
                <w:bCs/>
                <w:szCs w:val="21"/>
                <w:lang w:val="en-US" w:eastAsia="zh-CN"/>
              </w:rPr>
              <w:t>7</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keepNext/>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认购起点金额1元，以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olor w:val="auto"/>
                <w:lang w:val="en-US" w:eastAsia="zh-CN"/>
              </w:rPr>
              <w:t>最高持有限额要求：单一投资者持有本产品份额数不得超过本产品份额总数的50%。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left="105" w:leftChars="50" w:firstLine="315" w:firstLineChars="15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t xml:space="preserve"> </w:t>
            </w:r>
            <w:r>
              <w:rPr>
                <w:rFonts w:ascii="仿宋" w:hAnsi="仿宋" w:eastAsia="仿宋"/>
                <w:bCs/>
                <w:szCs w:val="21"/>
              </w:rPr>
              <w:t>30</w:t>
            </w:r>
            <w:r>
              <w:rPr>
                <w:rFonts w:hint="eastAsia" w:ascii="仿宋" w:hAnsi="仿宋" w:eastAsia="仿宋"/>
                <w:bCs/>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w:t>
            </w:r>
            <w:r>
              <w:rPr>
                <w:rFonts w:ascii="仿宋" w:hAnsi="仿宋" w:eastAsia="仿宋"/>
                <w:bCs/>
                <w:szCs w:val="21"/>
              </w:rPr>
              <w:t>0</w:t>
            </w:r>
            <w:r>
              <w:rPr>
                <w:rFonts w:hint="eastAsia" w:ascii="仿宋" w:hAnsi="仿宋" w:eastAsia="仿宋"/>
                <w:bCs/>
                <w:szCs w:val="21"/>
                <w:lang w:val="en-US" w:eastAsia="zh-CN"/>
              </w:rPr>
              <w:t>.</w:t>
            </w:r>
            <w:r>
              <w:rPr>
                <w:rFonts w:ascii="仿宋" w:hAnsi="仿宋" w:eastAsia="仿宋"/>
                <w:bCs/>
                <w:szCs w:val="21"/>
              </w:rPr>
              <w:t>30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t xml:space="preserve"> </w:t>
            </w:r>
            <w:r>
              <w:rPr>
                <w:rFonts w:hint="eastAsia"/>
                <w:lang w:val="en-US" w:eastAsia="zh-CN"/>
              </w:rPr>
              <w:t>2</w:t>
            </w:r>
            <w:r>
              <w:rPr>
                <w:rFonts w:ascii="仿宋" w:hAnsi="仿宋" w:eastAsia="仿宋"/>
                <w:bCs/>
                <w:szCs w:val="21"/>
              </w:rPr>
              <w:t>0</w:t>
            </w:r>
            <w:r>
              <w:rPr>
                <w:rFonts w:hint="eastAsia" w:ascii="仿宋" w:hAnsi="仿宋" w:eastAsia="仿宋"/>
                <w:bCs/>
                <w:szCs w:val="21"/>
              </w:rPr>
              <w:t>%/年，以前一日资产净值为基数，每日计提。公式如下：</w:t>
            </w:r>
          </w:p>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F=E×【</w:t>
            </w:r>
            <w:r>
              <w:rPr>
                <w:rFonts w:ascii="仿宋" w:hAnsi="仿宋" w:eastAsia="仿宋"/>
                <w:bCs/>
                <w:szCs w:val="21"/>
              </w:rPr>
              <w:t>0</w:t>
            </w:r>
            <w:r>
              <w:rPr>
                <w:rFonts w:hint="eastAsia" w:ascii="仿宋" w:hAnsi="仿宋" w:eastAsia="仿宋"/>
                <w:bCs/>
                <w:szCs w:val="21"/>
                <w:lang w:val="en-US" w:eastAsia="zh-CN"/>
              </w:rPr>
              <w:t>.2</w:t>
            </w:r>
            <w:r>
              <w:rPr>
                <w:rFonts w:ascii="仿宋" w:hAnsi="仿宋" w:eastAsia="仿宋"/>
                <w:bCs/>
                <w:szCs w:val="21"/>
              </w:rPr>
              <w:t>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Cs/>
                <w:szCs w:val="21"/>
                <w:u w:val="single"/>
              </w:rPr>
            </w:pP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cs="Cambria"/>
                <w:bCs/>
                <w:szCs w:val="21"/>
                <w:lang w:val="en-US" w:eastAsia="zh-CN"/>
              </w:rPr>
              <w:t>4.50</w:t>
            </w:r>
            <w:r>
              <w:rPr>
                <w:rFonts w:ascii="仿宋" w:hAnsi="仿宋" w:eastAsia="仿宋" w:cs="Cambria"/>
                <w:bCs/>
                <w:szCs w:val="21"/>
              </w:rPr>
              <w:t>%</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4.50</w:t>
            </w:r>
            <w:r>
              <w:rPr>
                <w:rFonts w:ascii="仿宋" w:hAnsi="仿宋" w:eastAsia="仿宋" w:cs="Cambria"/>
                <w:bCs/>
                <w:szCs w:val="21"/>
              </w:rPr>
              <w:t>%</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76"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产品成立每满一年后，管理人可根据投资情况决定是否分红，具体分红安排见公告。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w:t>
      </w:r>
      <w:r>
        <w:rPr>
          <w:rFonts w:hint="eastAsia" w:ascii="仿宋" w:hAnsi="仿宋" w:eastAsia="仿宋" w:cs="宋体"/>
          <w:kern w:val="0"/>
          <w:sz w:val="24"/>
        </w:rPr>
        <w:t>理财</w:t>
      </w:r>
      <w:r>
        <w:rPr>
          <w:rFonts w:hint="eastAsia" w:ascii="仿宋" w:hAnsi="仿宋" w:eastAsia="仿宋" w:cs="宋体"/>
          <w:color w:val="000000"/>
          <w:kern w:val="0"/>
          <w:sz w:val="24"/>
        </w:rPr>
        <w:t>产品</w:t>
      </w:r>
      <w:r>
        <w:rPr>
          <w:rFonts w:hint="eastAsia" w:ascii="仿宋" w:hAnsi="仿宋" w:eastAsia="仿宋" w:cs="宋体"/>
          <w:kern w:val="0"/>
          <w:sz w:val="24"/>
        </w:rPr>
        <w:t>将</w:t>
      </w:r>
      <w:r>
        <w:rPr>
          <w:rFonts w:hint="eastAsia" w:ascii="仿宋" w:hAnsi="仿宋" w:eastAsia="仿宋" w:cs="宋体"/>
          <w:color w:val="000000"/>
          <w:kern w:val="0"/>
          <w:sz w:val="24"/>
        </w:rPr>
        <w:t>主要投资于货币市场工具、标准化债权类资产、非标准化债权类资产等固定收益类资产，权益类资产。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10"/>
        <w:tblW w:w="8874"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3833"/>
        <w:gridCol w:w="5041"/>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3833"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5041"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eastAsia="仿宋"/>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3833"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hint="eastAsia" w:ascii="仿宋" w:hAnsi="仿宋" w:eastAsia="仿宋" w:cs="宋体"/>
                <w:color w:val="000000"/>
                <w:kern w:val="0"/>
                <w:sz w:val="24"/>
              </w:rPr>
            </w:pPr>
            <w:r>
              <w:rPr>
                <w:rFonts w:hint="eastAsia" w:ascii="仿宋" w:hAnsi="仿宋" w:eastAsia="仿宋" w:cs="宋体"/>
                <w:color w:val="000000"/>
                <w:kern w:val="0"/>
                <w:sz w:val="24"/>
              </w:rPr>
              <w:t>固定收益类</w:t>
            </w:r>
          </w:p>
          <w:p>
            <w:pPr>
              <w:adjustRightInd w:val="0"/>
              <w:snapToGrid w:val="0"/>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lang w:eastAsia="zh-CN"/>
              </w:rPr>
              <w:t>（</w:t>
            </w:r>
            <w:r>
              <w:rPr>
                <w:rFonts w:hint="eastAsia" w:ascii="仿宋" w:hAnsi="仿宋" w:eastAsia="仿宋" w:cs="宋体"/>
                <w:color w:val="000000"/>
                <w:kern w:val="0"/>
                <w:sz w:val="24"/>
                <w:lang w:val="en-US" w:eastAsia="zh-CN"/>
              </w:rPr>
              <w:t>其中：</w:t>
            </w:r>
            <w:r>
              <w:rPr>
                <w:rFonts w:hint="eastAsia" w:ascii="仿宋" w:hAnsi="仿宋" w:eastAsia="仿宋" w:cs="宋体"/>
                <w:color w:val="000000"/>
                <w:kern w:val="0"/>
                <w:sz w:val="24"/>
                <w:lang w:eastAsia="zh-CN"/>
              </w:rPr>
              <w:t>非标资产投资比例不超40%）</w:t>
            </w:r>
          </w:p>
        </w:tc>
        <w:tc>
          <w:tcPr>
            <w:tcW w:w="5041"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400" w:lineRule="exact"/>
              <w:jc w:val="center"/>
              <w:rPr>
                <w:rFonts w:eastAsia="仿宋"/>
                <w:kern w:val="0"/>
                <w:sz w:val="24"/>
              </w:rPr>
            </w:pPr>
            <w:r>
              <w:rPr>
                <w:rFonts w:ascii="仿宋" w:hAnsi="仿宋" w:eastAsia="仿宋" w:cs="宋体"/>
                <w:color w:val="000000"/>
                <w:kern w:val="0"/>
                <w:sz w:val="24"/>
              </w:rPr>
              <w:t>80</w:t>
            </w:r>
            <w:r>
              <w:rPr>
                <w:rFonts w:hint="eastAsia" w:ascii="仿宋" w:hAnsi="仿宋" w:eastAsia="仿宋" w:cs="宋体"/>
                <w:color w:val="000000"/>
                <w:kern w:val="0"/>
                <w:sz w:val="24"/>
              </w:rPr>
              <w:t>%-100%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3833"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hint="eastAsia" w:ascii="仿宋" w:hAnsi="仿宋" w:eastAsia="仿宋" w:cs="宋体"/>
                <w:color w:val="000000"/>
                <w:kern w:val="0"/>
                <w:sz w:val="24"/>
              </w:rPr>
            </w:pPr>
            <w:r>
              <w:rPr>
                <w:rFonts w:hint="eastAsia" w:ascii="仿宋" w:hAnsi="仿宋" w:eastAsia="仿宋" w:cs="宋体"/>
                <w:color w:val="000000"/>
                <w:kern w:val="0"/>
                <w:sz w:val="24"/>
              </w:rPr>
              <w:t>权益类</w:t>
            </w:r>
          </w:p>
        </w:tc>
        <w:tc>
          <w:tcPr>
            <w:tcW w:w="5041"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20</w:t>
            </w:r>
            <w:r>
              <w:rPr>
                <w:rFonts w:hint="eastAsia" w:ascii="仿宋" w:hAnsi="仿宋" w:eastAsia="仿宋" w:cs="宋体"/>
                <w:color w:val="000000"/>
                <w:kern w:val="0"/>
                <w:sz w:val="24"/>
              </w:rPr>
              <w:t>%</w:t>
            </w:r>
          </w:p>
        </w:tc>
      </w:tr>
    </w:tbl>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widowControl/>
        <w:adjustRightInd w:val="0"/>
        <w:snapToGrid w:val="0"/>
        <w:spacing w:line="276" w:lineRule="auto"/>
        <w:ind w:firstLine="480" w:firstLineChars="200"/>
        <w:contextualSpacing/>
        <w:rPr>
          <w:rFonts w:ascii="仿宋" w:hAnsi="仿宋" w:eastAsia="仿宋" w:cs="宋体"/>
          <w:kern w:val="0"/>
          <w:sz w:val="24"/>
        </w:rPr>
      </w:pP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 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1.1800</w:t>
      </w:r>
      <w:r>
        <w:rPr>
          <w:rFonts w:hint="eastAsia" w:ascii="仿宋" w:hAnsi="仿宋" w:eastAsia="仿宋" w:cs="仿宋"/>
          <w:sz w:val="24"/>
        </w:rPr>
        <w:t>，客户到期获得的金额为：</w:t>
      </w:r>
      <w:r>
        <w:rPr>
          <w:rFonts w:ascii="仿宋" w:hAnsi="仿宋" w:eastAsia="仿宋" w:cs="仿宋"/>
          <w:sz w:val="24"/>
        </w:rPr>
        <w:t>100,000*1.1800=118,000.00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w:t>
      </w:r>
      <w:r>
        <w:rPr>
          <w:rFonts w:hint="eastAsia" w:ascii="仿宋" w:hAnsi="仿宋" w:eastAsia="仿宋"/>
        </w:rPr>
        <w:t>，权益类资产</w:t>
      </w:r>
      <w:r>
        <w:rPr>
          <w:rFonts w:hint="eastAsia" w:ascii="仿宋" w:hAnsi="仿宋" w:eastAsia="仿宋" w:cs="仿宋"/>
        </w:rPr>
        <w:t>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A78A2"/>
    <w:rsid w:val="004B3C7D"/>
    <w:rsid w:val="004C7E7D"/>
    <w:rsid w:val="004D72E5"/>
    <w:rsid w:val="004E4564"/>
    <w:rsid w:val="004E46BF"/>
    <w:rsid w:val="004E7458"/>
    <w:rsid w:val="004F3054"/>
    <w:rsid w:val="005023F1"/>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4AF4"/>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01548"/>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0124"/>
    <w:rsid w:val="009C25C2"/>
    <w:rsid w:val="009E64E1"/>
    <w:rsid w:val="009F3291"/>
    <w:rsid w:val="00A10AA6"/>
    <w:rsid w:val="00A23D14"/>
    <w:rsid w:val="00A40B5C"/>
    <w:rsid w:val="00A762A9"/>
    <w:rsid w:val="00AA20BC"/>
    <w:rsid w:val="00AB6C5C"/>
    <w:rsid w:val="00AC051A"/>
    <w:rsid w:val="00AC0C84"/>
    <w:rsid w:val="00AC28C2"/>
    <w:rsid w:val="00AD43F8"/>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F02D76"/>
    <w:rsid w:val="00F045C3"/>
    <w:rsid w:val="00F05127"/>
    <w:rsid w:val="00F1746E"/>
    <w:rsid w:val="00F208BA"/>
    <w:rsid w:val="00F510B0"/>
    <w:rsid w:val="00F512E9"/>
    <w:rsid w:val="00F54606"/>
    <w:rsid w:val="00F67A6A"/>
    <w:rsid w:val="00F67A9C"/>
    <w:rsid w:val="00F72DB1"/>
    <w:rsid w:val="00F77DC9"/>
    <w:rsid w:val="00F82368"/>
    <w:rsid w:val="00FB10EC"/>
    <w:rsid w:val="00FC0983"/>
    <w:rsid w:val="00FC21F8"/>
    <w:rsid w:val="00FC72F2"/>
    <w:rsid w:val="00FF5911"/>
    <w:rsid w:val="015E11C2"/>
    <w:rsid w:val="02417756"/>
    <w:rsid w:val="02E40AD0"/>
    <w:rsid w:val="033A4D39"/>
    <w:rsid w:val="034644C7"/>
    <w:rsid w:val="04196F12"/>
    <w:rsid w:val="04435A9E"/>
    <w:rsid w:val="04950991"/>
    <w:rsid w:val="054B7EFA"/>
    <w:rsid w:val="05831998"/>
    <w:rsid w:val="060A409E"/>
    <w:rsid w:val="0610015A"/>
    <w:rsid w:val="066C6455"/>
    <w:rsid w:val="06930C07"/>
    <w:rsid w:val="072859C3"/>
    <w:rsid w:val="073F3B20"/>
    <w:rsid w:val="07853686"/>
    <w:rsid w:val="079A3378"/>
    <w:rsid w:val="07B45D81"/>
    <w:rsid w:val="07C26F1E"/>
    <w:rsid w:val="07C52B3D"/>
    <w:rsid w:val="07D6576F"/>
    <w:rsid w:val="07F1682B"/>
    <w:rsid w:val="08064FC2"/>
    <w:rsid w:val="080D6F41"/>
    <w:rsid w:val="08A87A0E"/>
    <w:rsid w:val="08D300AE"/>
    <w:rsid w:val="09277EEB"/>
    <w:rsid w:val="096506FA"/>
    <w:rsid w:val="0A01440A"/>
    <w:rsid w:val="0A513B0D"/>
    <w:rsid w:val="0A5478A3"/>
    <w:rsid w:val="0CC36DA9"/>
    <w:rsid w:val="0CE74AB8"/>
    <w:rsid w:val="0D3600BA"/>
    <w:rsid w:val="0DD32259"/>
    <w:rsid w:val="0DDA2DC7"/>
    <w:rsid w:val="0EF43DB9"/>
    <w:rsid w:val="0F850895"/>
    <w:rsid w:val="102F133E"/>
    <w:rsid w:val="10987645"/>
    <w:rsid w:val="10ED247D"/>
    <w:rsid w:val="110764BF"/>
    <w:rsid w:val="113A6DA1"/>
    <w:rsid w:val="114758B1"/>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D31FDC"/>
    <w:rsid w:val="17D76C2B"/>
    <w:rsid w:val="17F8769D"/>
    <w:rsid w:val="18041AB4"/>
    <w:rsid w:val="190F268E"/>
    <w:rsid w:val="19287585"/>
    <w:rsid w:val="19610BFF"/>
    <w:rsid w:val="19953307"/>
    <w:rsid w:val="19A07D04"/>
    <w:rsid w:val="1AB13D5A"/>
    <w:rsid w:val="1B2C6F2C"/>
    <w:rsid w:val="1B5D5F33"/>
    <w:rsid w:val="1BA24967"/>
    <w:rsid w:val="1BAF6A57"/>
    <w:rsid w:val="1BCE5D96"/>
    <w:rsid w:val="1BDE2098"/>
    <w:rsid w:val="1BE069CA"/>
    <w:rsid w:val="1C465E86"/>
    <w:rsid w:val="1C726314"/>
    <w:rsid w:val="1C990302"/>
    <w:rsid w:val="1CE252F3"/>
    <w:rsid w:val="1D104FDC"/>
    <w:rsid w:val="1D117096"/>
    <w:rsid w:val="1DE516B8"/>
    <w:rsid w:val="1E433C85"/>
    <w:rsid w:val="1ED877DF"/>
    <w:rsid w:val="1F0B3DFE"/>
    <w:rsid w:val="1F5522A7"/>
    <w:rsid w:val="1FD45CE1"/>
    <w:rsid w:val="21433609"/>
    <w:rsid w:val="214D162F"/>
    <w:rsid w:val="22171129"/>
    <w:rsid w:val="222D0D62"/>
    <w:rsid w:val="2350568B"/>
    <w:rsid w:val="23534618"/>
    <w:rsid w:val="237F35E5"/>
    <w:rsid w:val="23A50D24"/>
    <w:rsid w:val="23E44373"/>
    <w:rsid w:val="242806AA"/>
    <w:rsid w:val="24392A65"/>
    <w:rsid w:val="2467066D"/>
    <w:rsid w:val="24E91956"/>
    <w:rsid w:val="252E26F1"/>
    <w:rsid w:val="25C3267A"/>
    <w:rsid w:val="25D568B4"/>
    <w:rsid w:val="25F33B9E"/>
    <w:rsid w:val="260C731E"/>
    <w:rsid w:val="26103F21"/>
    <w:rsid w:val="27EA63D1"/>
    <w:rsid w:val="287A5D0E"/>
    <w:rsid w:val="28B05EE9"/>
    <w:rsid w:val="28D30187"/>
    <w:rsid w:val="28E571A8"/>
    <w:rsid w:val="294C4E21"/>
    <w:rsid w:val="296D4B02"/>
    <w:rsid w:val="2A103412"/>
    <w:rsid w:val="2A1E1418"/>
    <w:rsid w:val="2A770C99"/>
    <w:rsid w:val="2BBB2833"/>
    <w:rsid w:val="2BC42334"/>
    <w:rsid w:val="2BCC4DCB"/>
    <w:rsid w:val="2C1011CD"/>
    <w:rsid w:val="2C40390A"/>
    <w:rsid w:val="2C4C703B"/>
    <w:rsid w:val="2D241337"/>
    <w:rsid w:val="2D753D30"/>
    <w:rsid w:val="2D8529B1"/>
    <w:rsid w:val="2DC02129"/>
    <w:rsid w:val="2E010168"/>
    <w:rsid w:val="2E1D013D"/>
    <w:rsid w:val="2E6A7D66"/>
    <w:rsid w:val="2EA972CC"/>
    <w:rsid w:val="2EC31B75"/>
    <w:rsid w:val="2F0241AF"/>
    <w:rsid w:val="2FE72027"/>
    <w:rsid w:val="2FF53796"/>
    <w:rsid w:val="306A1371"/>
    <w:rsid w:val="3127549C"/>
    <w:rsid w:val="31533557"/>
    <w:rsid w:val="31B41A9A"/>
    <w:rsid w:val="31C723A9"/>
    <w:rsid w:val="31C74937"/>
    <w:rsid w:val="31F02E84"/>
    <w:rsid w:val="32062205"/>
    <w:rsid w:val="322068C9"/>
    <w:rsid w:val="326170B4"/>
    <w:rsid w:val="328F3B54"/>
    <w:rsid w:val="329A11A0"/>
    <w:rsid w:val="32FF7EB7"/>
    <w:rsid w:val="34126396"/>
    <w:rsid w:val="345E593B"/>
    <w:rsid w:val="34605A84"/>
    <w:rsid w:val="346C230B"/>
    <w:rsid w:val="35034F52"/>
    <w:rsid w:val="352C602C"/>
    <w:rsid w:val="35B16527"/>
    <w:rsid w:val="36B76A85"/>
    <w:rsid w:val="36B82ADE"/>
    <w:rsid w:val="376879F0"/>
    <w:rsid w:val="37EC4B4C"/>
    <w:rsid w:val="387B665C"/>
    <w:rsid w:val="39690814"/>
    <w:rsid w:val="39B76C90"/>
    <w:rsid w:val="39C37A55"/>
    <w:rsid w:val="39C53B44"/>
    <w:rsid w:val="39EF39C3"/>
    <w:rsid w:val="3A23092B"/>
    <w:rsid w:val="3A35598B"/>
    <w:rsid w:val="3A595F4B"/>
    <w:rsid w:val="3B4C73CF"/>
    <w:rsid w:val="3B6A1532"/>
    <w:rsid w:val="3BC55932"/>
    <w:rsid w:val="3C7826C2"/>
    <w:rsid w:val="3C8F2051"/>
    <w:rsid w:val="3CD87A38"/>
    <w:rsid w:val="3D83215E"/>
    <w:rsid w:val="3DFF3A1A"/>
    <w:rsid w:val="3EA946F7"/>
    <w:rsid w:val="3ED615CF"/>
    <w:rsid w:val="3EEC674A"/>
    <w:rsid w:val="3F8907F6"/>
    <w:rsid w:val="3F8B7D7F"/>
    <w:rsid w:val="3FDA33E1"/>
    <w:rsid w:val="3FF20B0E"/>
    <w:rsid w:val="40670EF7"/>
    <w:rsid w:val="40974D22"/>
    <w:rsid w:val="40AB1A12"/>
    <w:rsid w:val="41012626"/>
    <w:rsid w:val="417575F2"/>
    <w:rsid w:val="41BD7655"/>
    <w:rsid w:val="41CC7DB7"/>
    <w:rsid w:val="42F60353"/>
    <w:rsid w:val="438556A7"/>
    <w:rsid w:val="43A6228A"/>
    <w:rsid w:val="44CC2C77"/>
    <w:rsid w:val="4524487F"/>
    <w:rsid w:val="45CC078F"/>
    <w:rsid w:val="466B6F06"/>
    <w:rsid w:val="46860155"/>
    <w:rsid w:val="476049FD"/>
    <w:rsid w:val="47802A85"/>
    <w:rsid w:val="487C60FD"/>
    <w:rsid w:val="489E098C"/>
    <w:rsid w:val="48B61CC6"/>
    <w:rsid w:val="492A5B50"/>
    <w:rsid w:val="49321AAF"/>
    <w:rsid w:val="493A681C"/>
    <w:rsid w:val="493C2E02"/>
    <w:rsid w:val="494D579F"/>
    <w:rsid w:val="498C1FB1"/>
    <w:rsid w:val="4A255416"/>
    <w:rsid w:val="4A937164"/>
    <w:rsid w:val="4A9750EA"/>
    <w:rsid w:val="4AA40703"/>
    <w:rsid w:val="4B1D70C8"/>
    <w:rsid w:val="4B690413"/>
    <w:rsid w:val="4BB86F47"/>
    <w:rsid w:val="4BF60566"/>
    <w:rsid w:val="4C263A21"/>
    <w:rsid w:val="4C973694"/>
    <w:rsid w:val="4CCE54E6"/>
    <w:rsid w:val="4D2F6AA2"/>
    <w:rsid w:val="4EDD4EDE"/>
    <w:rsid w:val="4EE45C33"/>
    <w:rsid w:val="500C5A60"/>
    <w:rsid w:val="50461117"/>
    <w:rsid w:val="509A5F14"/>
    <w:rsid w:val="51954E8A"/>
    <w:rsid w:val="519B5496"/>
    <w:rsid w:val="52667895"/>
    <w:rsid w:val="52B20439"/>
    <w:rsid w:val="53735224"/>
    <w:rsid w:val="537D24F6"/>
    <w:rsid w:val="538A5F1E"/>
    <w:rsid w:val="543C05E0"/>
    <w:rsid w:val="54B9651A"/>
    <w:rsid w:val="54F9389F"/>
    <w:rsid w:val="55222910"/>
    <w:rsid w:val="55643FAD"/>
    <w:rsid w:val="559032FC"/>
    <w:rsid w:val="55EF2193"/>
    <w:rsid w:val="560165A7"/>
    <w:rsid w:val="560B3FD6"/>
    <w:rsid w:val="563121A3"/>
    <w:rsid w:val="563A5292"/>
    <w:rsid w:val="5646747A"/>
    <w:rsid w:val="567B0F8C"/>
    <w:rsid w:val="56D476A1"/>
    <w:rsid w:val="574328BF"/>
    <w:rsid w:val="584667E1"/>
    <w:rsid w:val="5884596F"/>
    <w:rsid w:val="598336AE"/>
    <w:rsid w:val="599B3F0F"/>
    <w:rsid w:val="59A2047A"/>
    <w:rsid w:val="5A41650D"/>
    <w:rsid w:val="5A7852B1"/>
    <w:rsid w:val="5AA97C90"/>
    <w:rsid w:val="5AE4319D"/>
    <w:rsid w:val="5C7E5C8C"/>
    <w:rsid w:val="5CE90207"/>
    <w:rsid w:val="5E3B759B"/>
    <w:rsid w:val="5E501568"/>
    <w:rsid w:val="5E50611E"/>
    <w:rsid w:val="5EB138AE"/>
    <w:rsid w:val="5EB53035"/>
    <w:rsid w:val="5ED23CC7"/>
    <w:rsid w:val="5EE6353D"/>
    <w:rsid w:val="5F0310B7"/>
    <w:rsid w:val="5F0C287E"/>
    <w:rsid w:val="5F5952B0"/>
    <w:rsid w:val="602E28A2"/>
    <w:rsid w:val="60C0423D"/>
    <w:rsid w:val="60E7450D"/>
    <w:rsid w:val="6166406C"/>
    <w:rsid w:val="618558B6"/>
    <w:rsid w:val="618F3AF2"/>
    <w:rsid w:val="61DA68DC"/>
    <w:rsid w:val="622708C6"/>
    <w:rsid w:val="62460A47"/>
    <w:rsid w:val="63554C8E"/>
    <w:rsid w:val="63890B77"/>
    <w:rsid w:val="639D1EC4"/>
    <w:rsid w:val="63A13700"/>
    <w:rsid w:val="63DA03E2"/>
    <w:rsid w:val="64541B77"/>
    <w:rsid w:val="64667487"/>
    <w:rsid w:val="64E9282A"/>
    <w:rsid w:val="65A741CF"/>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1223B"/>
    <w:rsid w:val="698C4C9E"/>
    <w:rsid w:val="69E719A0"/>
    <w:rsid w:val="6A5B0FA5"/>
    <w:rsid w:val="6A983C35"/>
    <w:rsid w:val="6B4C2F45"/>
    <w:rsid w:val="6B966680"/>
    <w:rsid w:val="6C161AD0"/>
    <w:rsid w:val="6D157AE9"/>
    <w:rsid w:val="6D2E7D50"/>
    <w:rsid w:val="6DD90E21"/>
    <w:rsid w:val="6DE0162F"/>
    <w:rsid w:val="6DFA3383"/>
    <w:rsid w:val="6E1A49C5"/>
    <w:rsid w:val="6E254EA7"/>
    <w:rsid w:val="6EBB30B7"/>
    <w:rsid w:val="6F786BDA"/>
    <w:rsid w:val="709573C6"/>
    <w:rsid w:val="709E2354"/>
    <w:rsid w:val="70E70772"/>
    <w:rsid w:val="71900429"/>
    <w:rsid w:val="719027A5"/>
    <w:rsid w:val="71C9496E"/>
    <w:rsid w:val="71EE76F7"/>
    <w:rsid w:val="725F0CAE"/>
    <w:rsid w:val="72981180"/>
    <w:rsid w:val="729C09F9"/>
    <w:rsid w:val="73155C46"/>
    <w:rsid w:val="7366194C"/>
    <w:rsid w:val="74062834"/>
    <w:rsid w:val="740D552E"/>
    <w:rsid w:val="74136087"/>
    <w:rsid w:val="74A805D6"/>
    <w:rsid w:val="74A870B6"/>
    <w:rsid w:val="74F17D43"/>
    <w:rsid w:val="74FA0674"/>
    <w:rsid w:val="754F1383"/>
    <w:rsid w:val="75DC198B"/>
    <w:rsid w:val="764A2B58"/>
    <w:rsid w:val="76661B90"/>
    <w:rsid w:val="76770E44"/>
    <w:rsid w:val="77731DCC"/>
    <w:rsid w:val="77B301A9"/>
    <w:rsid w:val="77F43C8B"/>
    <w:rsid w:val="78FB1E09"/>
    <w:rsid w:val="79BB4445"/>
    <w:rsid w:val="79CC1086"/>
    <w:rsid w:val="79EF28EF"/>
    <w:rsid w:val="7A0E66B3"/>
    <w:rsid w:val="7A300713"/>
    <w:rsid w:val="7A3B7268"/>
    <w:rsid w:val="7AB968E7"/>
    <w:rsid w:val="7AC65BFC"/>
    <w:rsid w:val="7B0735D8"/>
    <w:rsid w:val="7B0F7EA2"/>
    <w:rsid w:val="7B2F3DDD"/>
    <w:rsid w:val="7B4B41CD"/>
    <w:rsid w:val="7B5A24C6"/>
    <w:rsid w:val="7CDB4C9F"/>
    <w:rsid w:val="7D016D57"/>
    <w:rsid w:val="7D2B624D"/>
    <w:rsid w:val="7DA04052"/>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uiPriority w:val="0"/>
    <w:rPr>
      <w:b/>
      <w:bCs/>
    </w:rPr>
  </w:style>
  <w:style w:type="paragraph" w:styleId="3">
    <w:name w:val="annotation text"/>
    <w:basedOn w:val="1"/>
    <w:link w:val="12"/>
    <w:uiPriority w:val="0"/>
    <w:pPr>
      <w:jc w:val="left"/>
    </w:pPr>
  </w:style>
  <w:style w:type="paragraph" w:styleId="4">
    <w:name w:val="Body Text Indent"/>
    <w:basedOn w:val="1"/>
    <w:unhideWhenUsed/>
    <w:uiPriority w:val="0"/>
    <w:pPr>
      <w:ind w:firstLine="630"/>
    </w:pPr>
    <w:rPr>
      <w:kern w:val="0"/>
      <w:sz w:val="24"/>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uiPriority w:val="0"/>
    <w:rPr>
      <w:sz w:val="21"/>
      <w:szCs w:val="21"/>
    </w:rPr>
  </w:style>
  <w:style w:type="paragraph" w:customStyle="1" w:styleId="11">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uiPriority w:val="0"/>
    <w:rPr>
      <w:kern w:val="2"/>
      <w:sz w:val="21"/>
      <w:szCs w:val="24"/>
    </w:rPr>
  </w:style>
  <w:style w:type="character" w:customStyle="1" w:styleId="13">
    <w:name w:val="批注主题 Char"/>
    <w:link w:val="2"/>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2360</Words>
  <Characters>13452</Characters>
  <Lines>112</Lines>
  <Paragraphs>31</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2022-08-01T07:07:00Z</dcterms:created>
  <dc:creator>ylh;陈晓飞</dc:creator>
  <cp:keywords>22Y8</cp:keywords>
  <cp:lastModifiedBy>RORO</cp:lastModifiedBy>
  <cp:lastPrinted>2021-07-21T07:06:00Z</cp:lastPrinted>
  <dcterms:modified xsi:type="dcterms:W3CDTF">2022-11-25T01:14:49Z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F1F6118076854A19BA3D04EB58E7529E</vt:lpwstr>
  </property>
</Properties>
</file>