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r>
        <w:rPr>
          <w:rFonts w:hint="eastAsia" w:eastAsia="黑体"/>
          <w:bCs/>
          <w:sz w:val="36"/>
          <w:szCs w:val="36"/>
        </w:rPr>
        <w:t>华夏理财跃盈封闭式理财产品1</w:t>
      </w:r>
      <w:r>
        <w:rPr>
          <w:rFonts w:hint="eastAsia" w:eastAsia="黑体"/>
          <w:bCs/>
          <w:sz w:val="36"/>
          <w:szCs w:val="36"/>
          <w:lang w:val="en-US" w:eastAsia="zh-CN"/>
        </w:rPr>
        <w:t>7</w:t>
      </w:r>
      <w:r>
        <w:rPr>
          <w:rFonts w:hint="eastAsia" w:eastAsia="黑体"/>
          <w:bCs/>
          <w:sz w:val="36"/>
          <w:szCs w:val="36"/>
        </w:rPr>
        <w:t>号说明书</w:t>
      </w:r>
    </w:p>
    <w:p>
      <w:pPr>
        <w:pStyle w:val="4"/>
        <w:widowControl/>
        <w:spacing w:line="240" w:lineRule="auto"/>
        <w:ind w:firstLine="0"/>
        <w:jc w:val="center"/>
        <w:rPr>
          <w:rFonts w:eastAsia="黑体"/>
          <w:bCs/>
          <w:sz w:val="36"/>
          <w:szCs w:val="36"/>
        </w:rPr>
      </w:pPr>
    </w:p>
    <w:tbl>
      <w:tblPr>
        <w:tblStyle w:val="10"/>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2"/>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0"/>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华夏理财跃盈封闭式理财产品1</w:t>
            </w:r>
            <w:r>
              <w:rPr>
                <w:rFonts w:hint="eastAsia" w:ascii="仿宋" w:hAnsi="仿宋" w:eastAsia="仿宋"/>
                <w:b/>
                <w:bCs/>
                <w:szCs w:val="21"/>
                <w:lang w:val="en-US" w:eastAsia="zh-CN"/>
              </w:rPr>
              <w:t>7</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A份额</w:t>
            </w:r>
            <w:r>
              <w:rPr>
                <w:rFonts w:hint="eastAsia" w:ascii="仿宋" w:hAnsi="仿宋" w:eastAsia="仿宋"/>
                <w:b/>
                <w:bCs/>
                <w:szCs w:val="21"/>
              </w:rPr>
              <w:t>简称“华夏理财跃盈1</w:t>
            </w:r>
            <w:r>
              <w:rPr>
                <w:rFonts w:hint="eastAsia" w:ascii="仿宋" w:hAnsi="仿宋" w:eastAsia="仿宋"/>
                <w:b/>
                <w:bCs/>
                <w:szCs w:val="21"/>
                <w:lang w:val="en-US" w:eastAsia="zh-CN"/>
              </w:rPr>
              <w:t>7</w:t>
            </w:r>
            <w:r>
              <w:rPr>
                <w:rFonts w:hint="eastAsia" w:ascii="仿宋" w:hAnsi="仿宋" w:eastAsia="仿宋"/>
                <w:b/>
                <w:bCs/>
                <w:szCs w:val="21"/>
              </w:rPr>
              <w:t>号（中证1000看涨自动赎回）</w:t>
            </w:r>
            <w:r>
              <w:rPr>
                <w:rFonts w:hint="eastAsia" w:ascii="仿宋" w:hAnsi="仿宋" w:eastAsia="仿宋"/>
                <w:b/>
                <w:bCs/>
                <w:szCs w:val="21"/>
                <w:lang w:val="en-US" w:eastAsia="zh-CN"/>
              </w:rPr>
              <w:t>A</w:t>
            </w:r>
            <w:r>
              <w:rPr>
                <w:rFonts w:hint="eastAsia" w:ascii="仿宋" w:hAnsi="仿宋" w:eastAsia="仿宋"/>
                <w:b/>
                <w:bCs/>
                <w:szCs w:val="21"/>
              </w:rPr>
              <w:t>”</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lang w:val="en-US" w:eastAsia="zh-CN"/>
              </w:rPr>
              <w:t>B份额</w:t>
            </w:r>
            <w:r>
              <w:rPr>
                <w:rFonts w:hint="eastAsia" w:ascii="仿宋" w:hAnsi="仿宋" w:eastAsia="仿宋"/>
                <w:b/>
                <w:bCs/>
                <w:szCs w:val="21"/>
              </w:rPr>
              <w:t>简称“华夏理财跃盈1</w:t>
            </w:r>
            <w:r>
              <w:rPr>
                <w:rFonts w:hint="eastAsia" w:ascii="仿宋" w:hAnsi="仿宋" w:eastAsia="仿宋"/>
                <w:b/>
                <w:bCs/>
                <w:szCs w:val="21"/>
                <w:lang w:val="en-US" w:eastAsia="zh-CN"/>
              </w:rPr>
              <w:t>7</w:t>
            </w:r>
            <w:r>
              <w:rPr>
                <w:rFonts w:hint="eastAsia" w:ascii="仿宋" w:hAnsi="仿宋" w:eastAsia="仿宋"/>
                <w:b/>
                <w:bCs/>
                <w:szCs w:val="21"/>
              </w:rPr>
              <w:t>号（中证1000看涨自动赎回）</w:t>
            </w:r>
            <w:r>
              <w:rPr>
                <w:rFonts w:hint="eastAsia" w:ascii="仿宋" w:hAnsi="仿宋" w:eastAsia="仿宋"/>
                <w:b/>
                <w:bCs/>
                <w:szCs w:val="21"/>
                <w:lang w:val="en-US" w:eastAsia="zh-CN"/>
              </w:rPr>
              <w:t>B</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2314101</w:t>
            </w:r>
            <w:r>
              <w:rPr>
                <w:rFonts w:hint="eastAsia" w:ascii="仿宋" w:hAnsi="仿宋" w:eastAsia="仿宋"/>
                <w:bCs/>
                <w:szCs w:val="21"/>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highlight w:val="yellow"/>
                <w:lang w:eastAsia="zh-CN"/>
              </w:rPr>
            </w:pPr>
            <w:r>
              <w:rPr>
                <w:rFonts w:hint="eastAsia" w:ascii="仿宋" w:hAnsi="仿宋" w:eastAsia="仿宋"/>
                <w:bCs/>
                <w:szCs w:val="21"/>
                <w:highlight w:val="none"/>
              </w:rPr>
              <w:t>A份额代码：</w:t>
            </w:r>
            <w:r>
              <w:rPr>
                <w:rFonts w:ascii="仿宋" w:hAnsi="仿宋" w:eastAsia="仿宋"/>
                <w:bCs/>
                <w:szCs w:val="21"/>
              </w:rPr>
              <w:t>2314101</w:t>
            </w:r>
            <w:r>
              <w:rPr>
                <w:rFonts w:hint="eastAsia" w:ascii="仿宋" w:hAnsi="仿宋" w:eastAsia="仿宋"/>
                <w:bCs/>
                <w:szCs w:val="21"/>
                <w:lang w:val="en-US" w:eastAsia="zh-CN"/>
              </w:rPr>
              <w:t>7</w:t>
            </w:r>
            <w:r>
              <w:rPr>
                <w:rFonts w:hint="eastAsia" w:ascii="仿宋" w:hAnsi="仿宋" w:eastAsia="仿宋"/>
                <w:bCs/>
                <w:szCs w:val="21"/>
                <w:highlight w:val="none"/>
              </w:rPr>
              <w:t>A</w:t>
            </w:r>
            <w:r>
              <w:rPr>
                <w:rFonts w:hint="eastAsia" w:ascii="仿宋" w:hAnsi="仿宋" w:eastAsia="仿宋"/>
                <w:bCs/>
                <w:szCs w:val="21"/>
              </w:rPr>
              <w:t>（招商银行销售代码：HX01</w:t>
            </w:r>
            <w:r>
              <w:rPr>
                <w:rFonts w:hint="eastAsia" w:ascii="仿宋" w:hAnsi="仿宋" w:eastAsia="仿宋"/>
                <w:bCs/>
                <w:szCs w:val="21"/>
                <w:lang w:val="en-US" w:eastAsia="zh-CN"/>
              </w:rPr>
              <w:t>0219</w:t>
            </w:r>
            <w:r>
              <w:rPr>
                <w:rFonts w:hint="eastAsia" w:ascii="仿宋" w:hAnsi="仿宋" w:eastAsia="仿宋"/>
                <w:bCs/>
                <w:szCs w:val="21"/>
              </w:rPr>
              <w:t>）</w:t>
            </w:r>
          </w:p>
          <w:p>
            <w:pPr>
              <w:adjustRightInd w:val="0"/>
              <w:snapToGrid w:val="0"/>
              <w:spacing w:line="300" w:lineRule="exact"/>
              <w:jc w:val="center"/>
              <w:rPr>
                <w:rFonts w:ascii="仿宋" w:hAnsi="仿宋" w:eastAsia="仿宋"/>
                <w:bCs/>
                <w:szCs w:val="21"/>
              </w:rPr>
            </w:pPr>
            <w:r>
              <w:rPr>
                <w:rFonts w:ascii="仿宋" w:hAnsi="仿宋" w:eastAsia="仿宋"/>
                <w:bCs/>
                <w:szCs w:val="21"/>
              </w:rPr>
              <w:t>B</w:t>
            </w:r>
            <w:r>
              <w:rPr>
                <w:rFonts w:hint="eastAsia" w:ascii="仿宋" w:hAnsi="仿宋" w:eastAsia="仿宋"/>
                <w:bCs/>
                <w:szCs w:val="21"/>
              </w:rPr>
              <w:t>份额代码：</w:t>
            </w:r>
            <w:r>
              <w:rPr>
                <w:rFonts w:ascii="仿宋" w:hAnsi="仿宋" w:eastAsia="仿宋"/>
                <w:bCs/>
                <w:szCs w:val="21"/>
              </w:rPr>
              <w:t>2314101</w:t>
            </w:r>
            <w:r>
              <w:rPr>
                <w:rFonts w:hint="eastAsia" w:ascii="仿宋" w:hAnsi="仿宋" w:eastAsia="仿宋"/>
                <w:bCs/>
                <w:szCs w:val="21"/>
                <w:lang w:val="en-US" w:eastAsia="zh-CN"/>
              </w:rPr>
              <w:t>7</w:t>
            </w:r>
            <w:r>
              <w:rPr>
                <w:rFonts w:ascii="仿宋" w:hAnsi="仿宋" w:eastAsia="仿宋"/>
                <w:bCs/>
                <w:szCs w:val="21"/>
              </w:rPr>
              <w:t>B</w:t>
            </w:r>
            <w:r>
              <w:rPr>
                <w:rFonts w:hint="eastAsia" w:ascii="仿宋" w:hAnsi="仿宋" w:eastAsia="仿宋"/>
                <w:bCs/>
                <w:szCs w:val="21"/>
              </w:rPr>
              <w:t>（招商银行销售代码：HX</w:t>
            </w:r>
            <w:r>
              <w:rPr>
                <w:rFonts w:hint="eastAsia" w:ascii="仿宋" w:hAnsi="仿宋" w:eastAsia="仿宋"/>
                <w:bCs/>
                <w:szCs w:val="21"/>
                <w:lang w:val="en-US" w:eastAsia="zh-CN"/>
              </w:rPr>
              <w:t>PB5002</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Z700392300012</w:t>
            </w:r>
            <w:r>
              <w:rPr>
                <w:rFonts w:hint="eastAsia" w:ascii="仿宋" w:hAnsi="仿宋" w:eastAsia="仿宋"/>
                <w:bCs/>
                <w:szCs w:val="21"/>
                <w:lang w:val="en-US" w:eastAsia="zh-CN"/>
              </w:rPr>
              <w:t>8</w:t>
            </w:r>
          </w:p>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A份额：</w:t>
            </w:r>
            <w:r>
              <w:rPr>
                <w:rFonts w:hint="eastAsia" w:ascii="仿宋" w:hAnsi="仿宋" w:eastAsia="仿宋" w:cs="Cambria"/>
                <w:bCs/>
                <w:szCs w:val="21"/>
                <w:lang w:val="en-US" w:eastAsia="zh-CN"/>
              </w:rPr>
              <w:t>若产品观察期内发生敲出事件，则产品</w:t>
            </w:r>
            <w:r>
              <w:rPr>
                <w:rFonts w:hint="eastAsia" w:ascii="仿宋" w:hAnsi="仿宋" w:eastAsia="仿宋" w:cs="Cambria"/>
                <w:bCs/>
                <w:szCs w:val="21"/>
              </w:rPr>
              <w:t>业绩比较基准为4.</w:t>
            </w:r>
            <w:r>
              <w:rPr>
                <w:rFonts w:hint="eastAsia" w:ascii="仿宋" w:hAnsi="仿宋" w:eastAsia="仿宋" w:cs="Cambria"/>
                <w:bCs/>
                <w:szCs w:val="21"/>
                <w:lang w:val="en-US" w:eastAsia="zh-CN"/>
              </w:rPr>
              <w:t>85</w:t>
            </w:r>
            <w:r>
              <w:rPr>
                <w:rFonts w:hint="eastAsia" w:ascii="仿宋" w:hAnsi="仿宋" w:eastAsia="仿宋" w:cs="Cambria"/>
                <w:bCs/>
                <w:szCs w:val="21"/>
              </w:rPr>
              <w:t>%-</w:t>
            </w:r>
            <w:r>
              <w:rPr>
                <w:rFonts w:hint="eastAsia" w:ascii="仿宋" w:hAnsi="仿宋" w:eastAsia="仿宋" w:cs="Cambria"/>
                <w:bCs/>
                <w:szCs w:val="21"/>
                <w:lang w:val="en-US" w:eastAsia="zh-CN"/>
              </w:rPr>
              <w:t>4.95</w:t>
            </w:r>
            <w:r>
              <w:rPr>
                <w:rFonts w:hint="eastAsia" w:ascii="仿宋" w:hAnsi="仿宋" w:eastAsia="仿宋" w:cs="Cambria"/>
                <w:bCs/>
                <w:szCs w:val="21"/>
              </w:rPr>
              <w:t>%（年化）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若产品未发生敲出事件，则产品业绩比较基准为</w:t>
            </w:r>
            <w:r>
              <w:rPr>
                <w:rFonts w:hint="eastAsia" w:ascii="仿宋" w:hAnsi="仿宋" w:eastAsia="仿宋" w:cs="Cambria"/>
                <w:bCs/>
                <w:szCs w:val="21"/>
              </w:rPr>
              <w:t>0.0</w:t>
            </w:r>
            <w:r>
              <w:rPr>
                <w:rFonts w:hint="eastAsia" w:ascii="仿宋" w:hAnsi="仿宋" w:eastAsia="仿宋" w:cs="Cambria"/>
                <w:bCs/>
                <w:szCs w:val="21"/>
                <w:lang w:val="en-US" w:eastAsia="zh-CN"/>
              </w:rPr>
              <w:t>1</w:t>
            </w:r>
            <w:r>
              <w:rPr>
                <w:rFonts w:hint="eastAsia" w:ascii="仿宋" w:hAnsi="仿宋" w:eastAsia="仿宋" w:cs="Cambria"/>
                <w:bCs/>
                <w:szCs w:val="21"/>
              </w:rPr>
              <w:t>%-0.</w:t>
            </w:r>
            <w:r>
              <w:rPr>
                <w:rFonts w:hint="eastAsia" w:ascii="仿宋" w:hAnsi="仿宋" w:eastAsia="仿宋" w:cs="Cambria"/>
                <w:bCs/>
                <w:szCs w:val="21"/>
                <w:lang w:val="en-US" w:eastAsia="zh-CN"/>
              </w:rPr>
              <w:t>05</w:t>
            </w:r>
            <w:r>
              <w:rPr>
                <w:rFonts w:hint="eastAsia" w:ascii="仿宋" w:hAnsi="仿宋" w:eastAsia="仿宋" w:cs="Cambria"/>
                <w:bCs/>
                <w:szCs w:val="21"/>
              </w:rPr>
              <w:t>%</w:t>
            </w:r>
            <w:r>
              <w:rPr>
                <w:rFonts w:hint="eastAsia" w:ascii="仿宋" w:hAnsi="仿宋" w:eastAsia="仿宋" w:cs="Cambria"/>
                <w:bCs/>
                <w:szCs w:val="21"/>
                <w:lang w:val="en-US" w:eastAsia="zh-CN"/>
              </w:rPr>
              <w:t>（年化）</w:t>
            </w:r>
            <w:r>
              <w:rPr>
                <w:rFonts w:hint="eastAsia" w:ascii="仿宋" w:hAnsi="仿宋" w:eastAsia="仿宋" w:cs="Cambria"/>
                <w:bCs/>
                <w:szCs w:val="21"/>
              </w:rPr>
              <w:t>。</w:t>
            </w:r>
            <w:r>
              <w:rPr>
                <w:rFonts w:hint="eastAsia" w:ascii="仿宋" w:hAnsi="仿宋" w:eastAsia="仿宋" w:cs="Cambria"/>
                <w:bCs/>
                <w:szCs w:val="21"/>
                <w:lang w:val="en-US" w:eastAsia="zh-CN"/>
              </w:rPr>
              <w:t>B</w:t>
            </w:r>
            <w:r>
              <w:rPr>
                <w:rFonts w:hint="eastAsia" w:ascii="仿宋" w:hAnsi="仿宋" w:eastAsia="仿宋" w:cs="Cambria"/>
                <w:bCs/>
                <w:szCs w:val="21"/>
              </w:rPr>
              <w:t>份额：</w:t>
            </w:r>
            <w:r>
              <w:rPr>
                <w:rFonts w:hint="eastAsia" w:ascii="仿宋" w:hAnsi="仿宋" w:eastAsia="仿宋" w:cs="Cambria"/>
                <w:bCs/>
                <w:szCs w:val="21"/>
                <w:lang w:val="en-US" w:eastAsia="zh-CN"/>
              </w:rPr>
              <w:t>若产品观察期内发生敲出事件，则产品</w:t>
            </w:r>
            <w:r>
              <w:rPr>
                <w:rFonts w:hint="eastAsia" w:ascii="仿宋" w:hAnsi="仿宋" w:eastAsia="仿宋" w:cs="Cambria"/>
                <w:bCs/>
                <w:szCs w:val="21"/>
              </w:rPr>
              <w:t>业绩比较基准为4.90%-5.00%（年化）</w:t>
            </w:r>
            <w:r>
              <w:rPr>
                <w:rFonts w:hint="eastAsia" w:ascii="仿宋" w:hAnsi="仿宋" w:eastAsia="仿宋" w:cs="Cambria"/>
                <w:bCs/>
                <w:szCs w:val="21"/>
                <w:lang w:eastAsia="zh-CN"/>
              </w:rPr>
              <w:t>；</w:t>
            </w:r>
            <w:r>
              <w:rPr>
                <w:rFonts w:hint="eastAsia" w:ascii="仿宋" w:hAnsi="仿宋" w:eastAsia="仿宋" w:cs="Cambria"/>
                <w:bCs/>
                <w:szCs w:val="21"/>
                <w:lang w:val="en-US" w:eastAsia="zh-CN"/>
              </w:rPr>
              <w:t>若产品未发生敲出事件，则产品业绩比较基准为</w:t>
            </w:r>
            <w:r>
              <w:rPr>
                <w:rFonts w:hint="eastAsia" w:ascii="仿宋" w:hAnsi="仿宋" w:eastAsia="仿宋" w:cs="Cambria"/>
                <w:bCs/>
                <w:szCs w:val="21"/>
              </w:rPr>
              <w:t>0.0</w:t>
            </w:r>
            <w:r>
              <w:rPr>
                <w:rFonts w:hint="eastAsia" w:ascii="仿宋" w:hAnsi="仿宋" w:eastAsia="仿宋" w:cs="Cambria"/>
                <w:bCs/>
                <w:szCs w:val="21"/>
                <w:lang w:val="en-US" w:eastAsia="zh-CN"/>
              </w:rPr>
              <w:t>6</w:t>
            </w:r>
            <w:r>
              <w:rPr>
                <w:rFonts w:hint="eastAsia" w:ascii="仿宋" w:hAnsi="仿宋" w:eastAsia="仿宋" w:cs="Cambria"/>
                <w:bCs/>
                <w:szCs w:val="21"/>
              </w:rPr>
              <w:t>%-0.10%</w:t>
            </w:r>
            <w:r>
              <w:rPr>
                <w:rFonts w:hint="eastAsia" w:ascii="仿宋" w:hAnsi="仿宋" w:eastAsia="仿宋" w:cs="Cambria"/>
                <w:bCs/>
                <w:szCs w:val="21"/>
                <w:lang w:val="en-US" w:eastAsia="zh-CN"/>
              </w:rPr>
              <w:t>（年化）</w:t>
            </w:r>
            <w:r>
              <w:rPr>
                <w:rFonts w:hint="eastAsia" w:ascii="仿宋" w:hAnsi="仿宋" w:eastAsia="仿宋" w:cs="Cambria"/>
                <w:bCs/>
                <w:szCs w:val="21"/>
              </w:rPr>
              <w:t>。以产品存款类资产仓位90%-100%，收益凭证等非标债权类资产仓位0-10%为例，参考当前存款类资产收益水平、收益凭证的收益结构，结合产品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华夏理财有权根据市场情况及产品运作情况调整业绩比较基准，并至少于新业绩比较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2023年6月</w:t>
            </w:r>
            <w:r>
              <w:rPr>
                <w:rFonts w:hint="eastAsia" w:ascii="仿宋" w:hAnsi="仿宋" w:eastAsia="仿宋"/>
                <w:bCs/>
                <w:szCs w:val="21"/>
                <w:lang w:val="en-US" w:eastAsia="zh-CN"/>
              </w:rPr>
              <w:t>27</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2023年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4</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36</w:t>
            </w:r>
            <w:r>
              <w:rPr>
                <w:rFonts w:hint="eastAsia" w:ascii="仿宋" w:hAnsi="仿宋" w:eastAsia="仿宋"/>
                <w:bCs/>
                <w:szCs w:val="21"/>
                <w:lang w:val="en-US" w:eastAsia="zh-CN"/>
              </w:rPr>
              <w:t>4</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highlight w:val="none"/>
              </w:rPr>
            </w:pPr>
            <w:r>
              <w:rPr>
                <w:rFonts w:hint="eastAsia" w:ascii="仿宋" w:hAnsi="仿宋" w:eastAsia="仿宋"/>
                <w:bCs/>
                <w:szCs w:val="21"/>
                <w:highlight w:val="none"/>
              </w:rPr>
              <w:t>到期</w:t>
            </w:r>
            <w:r>
              <w:rPr>
                <w:rFonts w:ascii="仿宋" w:hAnsi="仿宋" w:eastAsia="仿宋"/>
                <w:bCs/>
                <w:szCs w:val="21"/>
                <w:highlight w:val="none"/>
              </w:rPr>
              <w:t>/终止日</w:t>
            </w:r>
          </w:p>
        </w:tc>
        <w:tc>
          <w:tcPr>
            <w:tcW w:w="7404" w:type="dxa"/>
            <w:tcBorders>
              <w:top w:val="single" w:color="auto" w:sz="4" w:space="0"/>
              <w:left w:val="single" w:color="auto" w:sz="4" w:space="0"/>
              <w:bottom w:val="single" w:color="auto" w:sz="4" w:space="0"/>
              <w:right w:val="single" w:color="auto" w:sz="4" w:space="0"/>
            </w:tcBorders>
            <w:vAlign w:val="center"/>
          </w:tcPr>
          <w:p>
            <w:pPr>
              <w:spacing w:line="300" w:lineRule="exact"/>
              <w:ind w:firstLine="420"/>
              <w:rPr>
                <w:rFonts w:ascii="仿宋" w:hAnsi="仿宋" w:eastAsia="仿宋"/>
                <w:bCs/>
                <w:szCs w:val="21"/>
                <w:highlight w:val="none"/>
              </w:rPr>
            </w:pPr>
            <w:r>
              <w:rPr>
                <w:rFonts w:ascii="仿宋" w:hAnsi="仿宋" w:eastAsia="仿宋"/>
                <w:bCs/>
                <w:szCs w:val="21"/>
                <w:highlight w:val="none"/>
              </w:rPr>
              <w:t>2024</w:t>
            </w:r>
            <w:r>
              <w:rPr>
                <w:rFonts w:hint="eastAsia" w:ascii="仿宋" w:hAnsi="仿宋" w:eastAsia="仿宋"/>
                <w:bCs/>
                <w:szCs w:val="21"/>
                <w:highlight w:val="none"/>
              </w:rPr>
              <w:t>年</w:t>
            </w:r>
            <w:r>
              <w:rPr>
                <w:rFonts w:hint="eastAsia" w:ascii="仿宋" w:hAnsi="仿宋" w:eastAsia="仿宋"/>
                <w:bCs/>
                <w:szCs w:val="21"/>
                <w:highlight w:val="none"/>
                <w:lang w:val="en-US" w:eastAsia="zh-CN"/>
              </w:rPr>
              <w:t>7</w:t>
            </w:r>
            <w:r>
              <w:rPr>
                <w:rFonts w:hint="eastAsia" w:ascii="仿宋" w:hAnsi="仿宋" w:eastAsia="仿宋"/>
                <w:bCs/>
                <w:szCs w:val="21"/>
                <w:highlight w:val="none"/>
              </w:rPr>
              <w:t>月</w:t>
            </w:r>
            <w:r>
              <w:rPr>
                <w:rFonts w:hint="eastAsia" w:ascii="仿宋" w:hAnsi="仿宋" w:eastAsia="仿宋"/>
                <w:bCs/>
                <w:szCs w:val="21"/>
                <w:highlight w:val="none"/>
                <w:lang w:val="en-US" w:eastAsia="zh-CN"/>
              </w:rPr>
              <w:t>2</w:t>
            </w:r>
            <w:r>
              <w:rPr>
                <w:rFonts w:hint="eastAsia" w:ascii="仿宋" w:hAnsi="仿宋" w:eastAsia="仿宋"/>
                <w:bCs/>
                <w:szCs w:val="21"/>
                <w:highlight w:val="none"/>
              </w:rPr>
              <w:t>日理财产品正常到期，到期日如为非工作日，则顺延至下一工作日。如理财产品因故提前或延迟到期的，则终止日以华夏理财发布的公告为准。</w:t>
            </w:r>
          </w:p>
          <w:p>
            <w:pPr>
              <w:spacing w:line="300" w:lineRule="exact"/>
              <w:ind w:firstLine="420"/>
              <w:rPr>
                <w:rFonts w:ascii="仿宋" w:hAnsi="仿宋" w:eastAsia="仿宋"/>
                <w:b/>
                <w:bCs w:val="0"/>
                <w:szCs w:val="21"/>
                <w:highlight w:val="none"/>
              </w:rPr>
            </w:pPr>
            <w:r>
              <w:rPr>
                <w:rFonts w:hint="eastAsia" w:ascii="仿宋" w:hAnsi="仿宋" w:eastAsia="仿宋"/>
                <w:bCs/>
                <w:szCs w:val="21"/>
                <w:highlight w:val="none"/>
              </w:rPr>
              <w:t>本理财产品设置敲出机制，一旦触发敲出事件，则产品提前终止。本产品成立后第</w:t>
            </w:r>
            <w:r>
              <w:rPr>
                <w:rFonts w:ascii="仿宋" w:hAnsi="仿宋" w:eastAsia="仿宋"/>
                <w:bCs/>
                <w:szCs w:val="21"/>
                <w:highlight w:val="none"/>
              </w:rPr>
              <w:t>3个月起每月观察一次，合计设定10个敲出观察日及10个对应的产品提前终止日。敲出观察日</w:t>
            </w:r>
            <w:r>
              <w:rPr>
                <w:rFonts w:hint="eastAsia" w:ascii="仿宋" w:hAnsi="仿宋" w:eastAsia="仿宋"/>
                <w:bCs/>
                <w:szCs w:val="21"/>
                <w:highlight w:val="none"/>
              </w:rPr>
              <w:t>若遇非工作日，则顺延至下一工作日。提前终止日为对应敲出观察日后的</w:t>
            </w:r>
            <w:r>
              <w:rPr>
                <w:rFonts w:hint="default" w:ascii="仿宋" w:hAnsi="仿宋" w:eastAsia="仿宋"/>
                <w:bCs/>
                <w:szCs w:val="21"/>
                <w:highlight w:val="none"/>
              </w:rPr>
              <w:t>第</w:t>
            </w:r>
            <w:r>
              <w:rPr>
                <w:rFonts w:ascii="仿宋" w:hAnsi="仿宋" w:eastAsia="仿宋"/>
                <w:bCs/>
                <w:szCs w:val="21"/>
                <w:highlight w:val="none"/>
              </w:rPr>
              <w:t>3个工作日</w:t>
            </w:r>
            <w:r>
              <w:rPr>
                <w:rStyle w:val="8"/>
                <w:rFonts w:hint="default" w:ascii="仿宋" w:hAnsi="仿宋" w:eastAsia="仿宋"/>
                <w:bCs/>
                <w:color w:val="auto"/>
                <w:highlight w:val="none"/>
              </w:rPr>
              <w:t>（第10个</w:t>
            </w:r>
            <w:r>
              <w:rPr>
                <w:rStyle w:val="8"/>
                <w:rFonts w:hint="eastAsia" w:ascii="仿宋" w:hAnsi="仿宋" w:eastAsia="仿宋"/>
                <w:bCs/>
                <w:color w:val="auto"/>
                <w:highlight w:val="none"/>
                <w:lang w:val="en-US" w:eastAsia="zh-CN"/>
              </w:rPr>
              <w:t>提前</w:t>
            </w:r>
            <w:r>
              <w:rPr>
                <w:rStyle w:val="8"/>
                <w:rFonts w:hint="default" w:ascii="仿宋" w:hAnsi="仿宋" w:eastAsia="仿宋"/>
                <w:bCs/>
                <w:color w:val="auto"/>
                <w:highlight w:val="none"/>
              </w:rPr>
              <w:t>终止日除外）</w:t>
            </w:r>
            <w:r>
              <w:rPr>
                <w:rFonts w:ascii="仿宋" w:hAnsi="仿宋" w:eastAsia="仿宋"/>
                <w:bCs/>
                <w:szCs w:val="21"/>
                <w:highlight w:val="none"/>
              </w:rPr>
              <w:t>，若对应敲出观察日顺延，则提前终止日相应顺延。</w:t>
            </w:r>
            <w:r>
              <w:rPr>
                <w:rFonts w:hint="eastAsia" w:ascii="仿宋" w:hAnsi="仿宋" w:eastAsia="仿宋"/>
                <w:b/>
                <w:bCs w:val="0"/>
                <w:szCs w:val="21"/>
                <w:highlight w:val="none"/>
                <w:lang w:val="en-US" w:eastAsia="zh-CN"/>
              </w:rPr>
              <w:t>其中，第10个敲出观察日对应的提前终止日即为理财产品正常到期日。</w:t>
            </w:r>
          </w:p>
          <w:p>
            <w:pPr>
              <w:spacing w:line="300" w:lineRule="exact"/>
              <w:ind w:firstLine="420"/>
              <w:rPr>
                <w:rFonts w:ascii="仿宋" w:hAnsi="仿宋" w:eastAsia="仿宋"/>
                <w:bCs/>
                <w:szCs w:val="21"/>
                <w:highlight w:val="none"/>
              </w:rPr>
            </w:pPr>
            <w:r>
              <w:rPr>
                <w:rFonts w:hint="eastAsia" w:ascii="仿宋" w:hAnsi="仿宋" w:eastAsia="仿宋"/>
                <w:bCs/>
                <w:szCs w:val="21"/>
                <w:highlight w:val="none"/>
              </w:rPr>
              <w:t>敲出观察日及对应的提前终止日信息如下：</w:t>
            </w:r>
          </w:p>
          <w:tbl>
            <w:tblPr>
              <w:tblStyle w:val="10"/>
              <w:tblW w:w="7188"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8"/>
              <w:gridCol w:w="2589"/>
              <w:gridCol w:w="27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ascii="仿宋" w:hAnsi="仿宋" w:eastAsia="仿宋"/>
                      <w:bCs/>
                      <w:szCs w:val="21"/>
                      <w:highlight w:val="none"/>
                    </w:rPr>
                    <w:t>i（i=1到</w:t>
                  </w:r>
                  <w:r>
                    <w:rPr>
                      <w:rFonts w:hint="eastAsia" w:ascii="仿宋" w:hAnsi="仿宋" w:eastAsia="仿宋"/>
                      <w:bCs/>
                      <w:szCs w:val="21"/>
                      <w:highlight w:val="none"/>
                      <w:lang w:val="en-US" w:eastAsia="zh-CN"/>
                    </w:rPr>
                    <w:t>10</w:t>
                  </w:r>
                  <w:r>
                    <w:rPr>
                      <w:rFonts w:ascii="仿宋" w:hAnsi="仿宋" w:eastAsia="仿宋"/>
                      <w:bCs/>
                      <w:szCs w:val="21"/>
                      <w:highlight w:val="none"/>
                    </w:rPr>
                    <w:t>）</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仿宋" w:hAnsi="仿宋" w:eastAsia="仿宋"/>
                      <w:bCs/>
                      <w:szCs w:val="21"/>
                      <w:highlight w:val="none"/>
                    </w:rPr>
                    <w:t>第</w:t>
                  </w:r>
                  <w:r>
                    <w:rPr>
                      <w:rFonts w:ascii="仿宋" w:hAnsi="仿宋" w:eastAsia="仿宋"/>
                      <w:bCs/>
                      <w:szCs w:val="21"/>
                      <w:highlight w:val="none"/>
                    </w:rPr>
                    <w:t>i个敲出观察日</w:t>
                  </w:r>
                </w:p>
              </w:tc>
              <w:tc>
                <w:tcPr>
                  <w:tcW w:w="2741" w:type="dxa"/>
                  <w:vAlign w:val="center"/>
                </w:tcPr>
                <w:p>
                  <w:pPr>
                    <w:spacing w:line="300" w:lineRule="exact"/>
                    <w:ind w:firstLine="0"/>
                    <w:jc w:val="center"/>
                    <w:rPr>
                      <w:rFonts w:ascii="仿宋" w:hAnsi="仿宋" w:eastAsia="仿宋"/>
                      <w:bCs/>
                      <w:szCs w:val="21"/>
                      <w:highlight w:val="none"/>
                    </w:rPr>
                  </w:pPr>
                  <w:r>
                    <w:rPr>
                      <w:rFonts w:hint="eastAsia" w:ascii="仿宋" w:hAnsi="仿宋" w:eastAsia="仿宋"/>
                      <w:bCs/>
                      <w:szCs w:val="21"/>
                      <w:highlight w:val="none"/>
                    </w:rPr>
                    <w:t>第</w:t>
                  </w:r>
                  <w:r>
                    <w:rPr>
                      <w:rFonts w:ascii="仿宋" w:hAnsi="仿宋" w:eastAsia="仿宋"/>
                      <w:bCs/>
                      <w:szCs w:val="21"/>
                      <w:highlight w:val="none"/>
                    </w:rPr>
                    <w:t>i个敲出观察日对应的第i个提前终止日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ascii="仿宋" w:hAnsi="仿宋" w:eastAsia="仿宋"/>
                      <w:bCs/>
                      <w:szCs w:val="21"/>
                      <w:highlight w:val="none"/>
                    </w:rPr>
                    <w:t>1</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2023年</w:t>
                  </w:r>
                  <w:r>
                    <w:rPr>
                      <w:rFonts w:hint="eastAsia" w:ascii="微软简仿宋" w:hAnsi="等线" w:eastAsia="微软简仿宋"/>
                      <w:color w:val="000000"/>
                      <w:sz w:val="22"/>
                      <w:szCs w:val="22"/>
                      <w:lang w:val="en-US" w:eastAsia="zh-CN"/>
                    </w:rPr>
                    <w:t>10</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9</w:t>
                  </w:r>
                  <w:r>
                    <w:rPr>
                      <w:rFonts w:hint="eastAsia" w:ascii="微软简仿宋" w:hAnsi="等线" w:eastAsia="微软简仿宋"/>
                      <w:color w:val="000000"/>
                      <w:sz w:val="22"/>
                      <w:szCs w:val="22"/>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2023年</w:t>
                  </w:r>
                  <w:r>
                    <w:rPr>
                      <w:rFonts w:hint="eastAsia" w:ascii="微软简仿宋" w:hAnsi="等线" w:eastAsia="微软简仿宋"/>
                      <w:color w:val="000000"/>
                      <w:sz w:val="22"/>
                      <w:szCs w:val="22"/>
                      <w:lang w:val="en-US" w:eastAsia="zh-CN"/>
                    </w:rPr>
                    <w:t>10</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12</w:t>
                  </w:r>
                  <w:r>
                    <w:rPr>
                      <w:rFonts w:hint="eastAsia" w:ascii="微软简仿宋" w:hAnsi="等线" w:eastAsia="微软简仿宋"/>
                      <w:color w:val="00000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ascii="仿宋" w:hAnsi="仿宋" w:eastAsia="仿宋"/>
                      <w:bCs/>
                      <w:szCs w:val="21"/>
                      <w:highlight w:val="none"/>
                    </w:rPr>
                    <w:t>2</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2023年1</w:t>
                  </w:r>
                  <w:r>
                    <w:rPr>
                      <w:rFonts w:hint="eastAsia" w:ascii="微软简仿宋" w:hAnsi="等线" w:eastAsia="微软简仿宋"/>
                      <w:color w:val="000000"/>
                      <w:sz w:val="22"/>
                      <w:szCs w:val="22"/>
                      <w:lang w:val="en-US" w:eastAsia="zh-CN"/>
                    </w:rPr>
                    <w:t>1</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6</w:t>
                  </w:r>
                  <w:r>
                    <w:rPr>
                      <w:rFonts w:hint="eastAsia" w:ascii="微软简仿宋" w:hAnsi="等线" w:eastAsia="微软简仿宋"/>
                      <w:color w:val="000000"/>
                      <w:sz w:val="22"/>
                      <w:szCs w:val="22"/>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2023年</w:t>
                  </w:r>
                  <w:r>
                    <w:rPr>
                      <w:rFonts w:hint="eastAsia" w:ascii="微软简仿宋" w:hAnsi="等线" w:eastAsia="微软简仿宋"/>
                      <w:color w:val="000000"/>
                      <w:sz w:val="22"/>
                      <w:szCs w:val="22"/>
                      <w:lang w:val="en-US" w:eastAsia="zh-CN"/>
                    </w:rPr>
                    <w:t>11</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9</w:t>
                  </w:r>
                  <w:r>
                    <w:rPr>
                      <w:rFonts w:hint="eastAsia" w:ascii="微软简仿宋" w:hAnsi="等线" w:eastAsia="微软简仿宋"/>
                      <w:color w:val="00000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ascii="仿宋" w:hAnsi="仿宋" w:eastAsia="仿宋"/>
                      <w:bCs/>
                      <w:szCs w:val="21"/>
                      <w:highlight w:val="none"/>
                    </w:rPr>
                    <w:t>3</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2023年1</w:t>
                  </w:r>
                  <w:r>
                    <w:rPr>
                      <w:rFonts w:hint="eastAsia" w:ascii="微软简仿宋" w:hAnsi="等线" w:eastAsia="微软简仿宋"/>
                      <w:color w:val="000000"/>
                      <w:sz w:val="22"/>
                      <w:szCs w:val="22"/>
                      <w:lang w:val="en-US" w:eastAsia="zh-CN"/>
                    </w:rPr>
                    <w:t>2</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4</w:t>
                  </w:r>
                  <w:r>
                    <w:rPr>
                      <w:rFonts w:hint="eastAsia" w:ascii="微软简仿宋" w:hAnsi="等线" w:eastAsia="微软简仿宋"/>
                      <w:color w:val="000000"/>
                      <w:sz w:val="22"/>
                      <w:szCs w:val="22"/>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2023年</w:t>
                  </w:r>
                  <w:r>
                    <w:rPr>
                      <w:rFonts w:hint="eastAsia" w:ascii="微软简仿宋" w:hAnsi="等线" w:eastAsia="微软简仿宋"/>
                      <w:color w:val="000000"/>
                      <w:sz w:val="22"/>
                      <w:szCs w:val="22"/>
                      <w:lang w:val="en-US" w:eastAsia="zh-CN"/>
                    </w:rPr>
                    <w:t>12</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7</w:t>
                  </w:r>
                  <w:r>
                    <w:rPr>
                      <w:rFonts w:hint="eastAsia" w:ascii="微软简仿宋" w:hAnsi="等线" w:eastAsia="微软简仿宋"/>
                      <w:color w:val="00000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ascii="仿宋" w:hAnsi="仿宋" w:eastAsia="仿宋"/>
                      <w:bCs/>
                      <w:szCs w:val="21"/>
                      <w:highlight w:val="none"/>
                    </w:rPr>
                    <w:t>4</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w:t>
                  </w:r>
                  <w:r>
                    <w:rPr>
                      <w:rFonts w:hint="eastAsia" w:ascii="微软简仿宋" w:hAnsi="等线" w:eastAsia="微软简仿宋"/>
                      <w:color w:val="000000"/>
                      <w:sz w:val="22"/>
                      <w:szCs w:val="22"/>
                      <w:lang w:val="en-US" w:eastAsia="zh-CN"/>
                    </w:rPr>
                    <w:t>4</w:t>
                  </w:r>
                  <w:r>
                    <w:rPr>
                      <w:rFonts w:hint="eastAsia" w:ascii="微软简仿宋" w:hAnsi="等线" w:eastAsia="微软简仿宋"/>
                      <w:color w:val="000000"/>
                      <w:sz w:val="22"/>
                      <w:szCs w:val="22"/>
                    </w:rPr>
                    <w:t>年</w:t>
                  </w:r>
                  <w:r>
                    <w:rPr>
                      <w:rFonts w:hint="eastAsia" w:ascii="微软简仿宋" w:hAnsi="等线" w:eastAsia="微软简仿宋"/>
                      <w:color w:val="000000"/>
                      <w:sz w:val="22"/>
                      <w:szCs w:val="22"/>
                      <w:lang w:val="en-US" w:eastAsia="zh-CN"/>
                    </w:rPr>
                    <w:t>1</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8</w:t>
                  </w:r>
                  <w:r>
                    <w:rPr>
                      <w:rFonts w:hint="eastAsia" w:ascii="微软简仿宋" w:hAnsi="等线" w:eastAsia="微软简仿宋"/>
                      <w:color w:val="000000"/>
                      <w:sz w:val="22"/>
                      <w:szCs w:val="22"/>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w:t>
                  </w:r>
                  <w:r>
                    <w:rPr>
                      <w:rFonts w:hint="eastAsia" w:ascii="微软简仿宋" w:hAnsi="等线" w:eastAsia="微软简仿宋"/>
                      <w:color w:val="000000"/>
                      <w:sz w:val="22"/>
                      <w:szCs w:val="22"/>
                      <w:lang w:val="en-US" w:eastAsia="zh-CN"/>
                    </w:rPr>
                    <w:t>4</w:t>
                  </w:r>
                  <w:r>
                    <w:rPr>
                      <w:rFonts w:hint="eastAsia" w:ascii="微软简仿宋" w:hAnsi="等线" w:eastAsia="微软简仿宋"/>
                      <w:color w:val="000000"/>
                      <w:sz w:val="22"/>
                      <w:szCs w:val="22"/>
                    </w:rPr>
                    <w:t>年</w:t>
                  </w:r>
                  <w:r>
                    <w:rPr>
                      <w:rFonts w:hint="eastAsia" w:ascii="微软简仿宋" w:hAnsi="等线" w:eastAsia="微软简仿宋"/>
                      <w:color w:val="000000"/>
                      <w:sz w:val="22"/>
                      <w:szCs w:val="22"/>
                      <w:lang w:val="en-US" w:eastAsia="zh-CN"/>
                    </w:rPr>
                    <w:t>1</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11</w:t>
                  </w:r>
                  <w:r>
                    <w:rPr>
                      <w:rFonts w:hint="eastAsia" w:ascii="微软简仿宋" w:hAnsi="等线" w:eastAsia="微软简仿宋"/>
                      <w:color w:val="00000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hint="eastAsia" w:ascii="仿宋" w:hAnsi="仿宋" w:eastAsia="仿宋"/>
                      <w:bCs/>
                      <w:szCs w:val="21"/>
                      <w:highlight w:val="none"/>
                    </w:rPr>
                    <w:t>5</w:t>
                  </w:r>
                  <w:bookmarkStart w:id="7" w:name="_GoBack"/>
                  <w:bookmarkEnd w:id="7"/>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2024年</w:t>
                  </w:r>
                  <w:r>
                    <w:rPr>
                      <w:rFonts w:hint="eastAsia" w:ascii="微软简仿宋" w:hAnsi="等线" w:eastAsia="微软简仿宋"/>
                      <w:color w:val="000000"/>
                      <w:sz w:val="22"/>
                      <w:szCs w:val="22"/>
                      <w:lang w:val="en-US" w:eastAsia="zh-CN"/>
                    </w:rPr>
                    <w:t>2</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5</w:t>
                  </w:r>
                  <w:r>
                    <w:rPr>
                      <w:rFonts w:hint="eastAsia" w:ascii="微软简仿宋" w:hAnsi="等线" w:eastAsia="微软简仿宋"/>
                      <w:color w:val="000000"/>
                      <w:sz w:val="22"/>
                      <w:szCs w:val="22"/>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2024年</w:t>
                  </w:r>
                  <w:r>
                    <w:rPr>
                      <w:rFonts w:hint="eastAsia" w:ascii="微软简仿宋" w:hAnsi="等线" w:eastAsia="微软简仿宋"/>
                      <w:color w:val="000000"/>
                      <w:sz w:val="22"/>
                      <w:szCs w:val="22"/>
                      <w:lang w:val="en-US" w:eastAsia="zh-CN"/>
                    </w:rPr>
                    <w:t>2</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8</w:t>
                  </w:r>
                  <w:r>
                    <w:rPr>
                      <w:rFonts w:hint="eastAsia" w:ascii="微软简仿宋" w:hAnsi="等线" w:eastAsia="微软简仿宋"/>
                      <w:color w:val="00000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hint="eastAsia" w:ascii="仿宋" w:hAnsi="仿宋" w:eastAsia="仿宋"/>
                      <w:bCs/>
                      <w:szCs w:val="21"/>
                      <w:highlight w:val="none"/>
                    </w:rPr>
                    <w:t>6</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2024年</w:t>
                  </w:r>
                  <w:r>
                    <w:rPr>
                      <w:rFonts w:hint="eastAsia" w:ascii="微软简仿宋" w:hAnsi="等线" w:eastAsia="微软简仿宋"/>
                      <w:color w:val="000000"/>
                      <w:sz w:val="22"/>
                      <w:szCs w:val="22"/>
                      <w:lang w:val="en-US" w:eastAsia="zh-CN"/>
                    </w:rPr>
                    <w:t>3</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4</w:t>
                  </w:r>
                  <w:r>
                    <w:rPr>
                      <w:rFonts w:hint="eastAsia" w:ascii="微软简仿宋" w:hAnsi="等线" w:eastAsia="微软简仿宋"/>
                      <w:color w:val="000000"/>
                      <w:sz w:val="22"/>
                      <w:szCs w:val="22"/>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2024年</w:t>
                  </w:r>
                  <w:r>
                    <w:rPr>
                      <w:rFonts w:hint="eastAsia" w:ascii="微软简仿宋" w:hAnsi="等线" w:eastAsia="微软简仿宋"/>
                      <w:color w:val="000000"/>
                      <w:sz w:val="22"/>
                      <w:szCs w:val="22"/>
                      <w:lang w:val="en-US" w:eastAsia="zh-CN"/>
                    </w:rPr>
                    <w:t>3</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7</w:t>
                  </w:r>
                  <w:r>
                    <w:rPr>
                      <w:rFonts w:hint="eastAsia" w:ascii="微软简仿宋" w:hAnsi="等线" w:eastAsia="微软简仿宋"/>
                      <w:color w:val="00000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hint="eastAsia" w:ascii="仿宋" w:hAnsi="仿宋" w:eastAsia="仿宋"/>
                      <w:bCs/>
                      <w:szCs w:val="21"/>
                      <w:highlight w:val="none"/>
                    </w:rPr>
                    <w:t>7</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2024年</w:t>
                  </w:r>
                  <w:r>
                    <w:rPr>
                      <w:rFonts w:hint="eastAsia" w:ascii="微软简仿宋" w:hAnsi="等线" w:eastAsia="微软简仿宋"/>
                      <w:color w:val="000000"/>
                      <w:sz w:val="22"/>
                      <w:szCs w:val="22"/>
                      <w:lang w:val="en-US" w:eastAsia="zh-CN"/>
                    </w:rPr>
                    <w:t>4</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8</w:t>
                  </w:r>
                  <w:r>
                    <w:rPr>
                      <w:rFonts w:hint="eastAsia" w:ascii="微软简仿宋" w:hAnsi="等线" w:eastAsia="微软简仿宋"/>
                      <w:color w:val="000000"/>
                      <w:sz w:val="22"/>
                      <w:szCs w:val="22"/>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2024年</w:t>
                  </w:r>
                  <w:r>
                    <w:rPr>
                      <w:rFonts w:hint="eastAsia" w:ascii="微软简仿宋" w:hAnsi="等线" w:eastAsia="微软简仿宋"/>
                      <w:color w:val="000000"/>
                      <w:sz w:val="22"/>
                      <w:szCs w:val="22"/>
                      <w:lang w:val="en-US" w:eastAsia="zh-CN"/>
                    </w:rPr>
                    <w:t>4</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11</w:t>
                  </w:r>
                  <w:r>
                    <w:rPr>
                      <w:rFonts w:hint="eastAsia" w:ascii="微软简仿宋" w:hAnsi="等线" w:eastAsia="微软简仿宋"/>
                      <w:color w:val="00000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ascii="仿宋" w:hAnsi="仿宋" w:eastAsia="仿宋"/>
                      <w:bCs/>
                      <w:szCs w:val="21"/>
                      <w:highlight w:val="none"/>
                    </w:rPr>
                  </w:pPr>
                  <w:r>
                    <w:rPr>
                      <w:rFonts w:hint="eastAsia" w:ascii="仿宋" w:hAnsi="仿宋" w:eastAsia="仿宋"/>
                      <w:bCs/>
                      <w:szCs w:val="21"/>
                      <w:highlight w:val="none"/>
                    </w:rPr>
                    <w:t>8</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2024年</w:t>
                  </w:r>
                  <w:r>
                    <w:rPr>
                      <w:rFonts w:hint="eastAsia" w:ascii="微软简仿宋" w:hAnsi="等线" w:eastAsia="微软简仿宋"/>
                      <w:color w:val="000000"/>
                      <w:sz w:val="22"/>
                      <w:szCs w:val="22"/>
                      <w:lang w:val="en-US" w:eastAsia="zh-CN"/>
                    </w:rPr>
                    <w:t>5</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6</w:t>
                  </w:r>
                  <w:r>
                    <w:rPr>
                      <w:rFonts w:hint="eastAsia" w:ascii="微软简仿宋" w:hAnsi="等线" w:eastAsia="微软简仿宋"/>
                      <w:color w:val="000000"/>
                      <w:sz w:val="22"/>
                      <w:szCs w:val="22"/>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2024年</w:t>
                  </w:r>
                  <w:r>
                    <w:rPr>
                      <w:rFonts w:hint="eastAsia" w:ascii="微软简仿宋" w:hAnsi="等线" w:eastAsia="微软简仿宋"/>
                      <w:color w:val="000000"/>
                      <w:sz w:val="22"/>
                      <w:szCs w:val="22"/>
                      <w:lang w:val="en-US" w:eastAsia="zh-CN"/>
                    </w:rPr>
                    <w:t>5</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9</w:t>
                  </w:r>
                  <w:r>
                    <w:rPr>
                      <w:rFonts w:hint="eastAsia" w:ascii="微软简仿宋" w:hAnsi="等线" w:eastAsia="微软简仿宋"/>
                      <w:color w:val="00000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hint="eastAsia" w:ascii="仿宋" w:hAnsi="仿宋" w:eastAsia="仿宋"/>
                      <w:bCs/>
                      <w:szCs w:val="21"/>
                      <w:highlight w:val="none"/>
                    </w:rPr>
                  </w:pPr>
                  <w:r>
                    <w:rPr>
                      <w:rFonts w:hint="eastAsia" w:ascii="仿宋" w:hAnsi="仿宋" w:eastAsia="仿宋"/>
                      <w:bCs/>
                      <w:szCs w:val="21"/>
                      <w:highlight w:val="none"/>
                    </w:rPr>
                    <w:t>9</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2024年</w:t>
                  </w:r>
                  <w:r>
                    <w:rPr>
                      <w:rFonts w:hint="eastAsia" w:ascii="微软简仿宋" w:hAnsi="等线" w:eastAsia="微软简仿宋"/>
                      <w:color w:val="000000"/>
                      <w:sz w:val="22"/>
                      <w:szCs w:val="22"/>
                      <w:lang w:val="en-US" w:eastAsia="zh-CN"/>
                    </w:rPr>
                    <w:t>6</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3</w:t>
                  </w:r>
                  <w:r>
                    <w:rPr>
                      <w:rFonts w:hint="eastAsia" w:ascii="微软简仿宋" w:hAnsi="等线" w:eastAsia="微软简仿宋"/>
                      <w:color w:val="000000"/>
                      <w:sz w:val="22"/>
                      <w:szCs w:val="22"/>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2024年</w:t>
                  </w:r>
                  <w:r>
                    <w:rPr>
                      <w:rFonts w:hint="eastAsia" w:ascii="微软简仿宋" w:hAnsi="等线" w:eastAsia="微软简仿宋"/>
                      <w:color w:val="000000"/>
                      <w:sz w:val="22"/>
                      <w:szCs w:val="22"/>
                      <w:lang w:val="en-US" w:eastAsia="zh-CN"/>
                    </w:rPr>
                    <w:t>6</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6</w:t>
                  </w:r>
                  <w:r>
                    <w:rPr>
                      <w:rFonts w:hint="eastAsia" w:ascii="微软简仿宋" w:hAnsi="等线" w:eastAsia="微软简仿宋"/>
                      <w:color w:val="000000"/>
                      <w:sz w:val="22"/>
                      <w:szCs w:val="2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58" w:type="dxa"/>
                  <w:vAlign w:val="center"/>
                </w:tcPr>
                <w:p>
                  <w:pPr>
                    <w:spacing w:line="300" w:lineRule="exact"/>
                    <w:ind w:firstLine="0"/>
                    <w:jc w:val="center"/>
                    <w:rPr>
                      <w:rFonts w:hint="eastAsia" w:ascii="仿宋" w:hAnsi="仿宋" w:eastAsia="仿宋"/>
                      <w:bCs/>
                      <w:szCs w:val="21"/>
                      <w:highlight w:val="none"/>
                    </w:rPr>
                  </w:pPr>
                  <w:r>
                    <w:rPr>
                      <w:rFonts w:hint="eastAsia" w:ascii="仿宋" w:hAnsi="仿宋" w:eastAsia="仿宋"/>
                      <w:bCs/>
                      <w:szCs w:val="21"/>
                      <w:highlight w:val="none"/>
                    </w:rPr>
                    <w:t>1</w:t>
                  </w:r>
                  <w:r>
                    <w:rPr>
                      <w:rFonts w:ascii="仿宋" w:hAnsi="仿宋" w:eastAsia="仿宋"/>
                      <w:bCs/>
                      <w:szCs w:val="21"/>
                      <w:highlight w:val="none"/>
                    </w:rPr>
                    <w:t>0</w:t>
                  </w:r>
                </w:p>
              </w:tc>
              <w:tc>
                <w:tcPr>
                  <w:tcW w:w="2589" w:type="dxa"/>
                  <w:vAlign w:val="center"/>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2024年</w:t>
                  </w:r>
                  <w:r>
                    <w:rPr>
                      <w:rFonts w:hint="eastAsia" w:ascii="微软简仿宋" w:hAnsi="等线" w:eastAsia="微软简仿宋"/>
                      <w:color w:val="000000"/>
                      <w:sz w:val="22"/>
                      <w:szCs w:val="22"/>
                      <w:lang w:val="en-US" w:eastAsia="zh-CN"/>
                    </w:rPr>
                    <w:t>6</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28</w:t>
                  </w:r>
                  <w:r>
                    <w:rPr>
                      <w:rFonts w:hint="eastAsia" w:ascii="微软简仿宋" w:hAnsi="等线" w:eastAsia="微软简仿宋"/>
                      <w:color w:val="000000"/>
                      <w:sz w:val="22"/>
                      <w:szCs w:val="22"/>
                    </w:rPr>
                    <w:t>日</w:t>
                  </w:r>
                </w:p>
              </w:tc>
              <w:tc>
                <w:tcPr>
                  <w:tcW w:w="2741" w:type="dxa"/>
                  <w:vAlign w:val="top"/>
                </w:tcPr>
                <w:p>
                  <w:pPr>
                    <w:spacing w:line="300" w:lineRule="exact"/>
                    <w:ind w:firstLine="0"/>
                    <w:jc w:val="center"/>
                    <w:rPr>
                      <w:rFonts w:ascii="仿宋" w:hAnsi="仿宋" w:eastAsia="仿宋"/>
                      <w:bCs/>
                      <w:szCs w:val="21"/>
                      <w:highlight w:val="none"/>
                    </w:rPr>
                  </w:pPr>
                  <w:r>
                    <w:rPr>
                      <w:rFonts w:hint="eastAsia" w:ascii="微软简仿宋" w:hAnsi="等线" w:eastAsia="微软简仿宋"/>
                      <w:color w:val="000000"/>
                      <w:sz w:val="22"/>
                      <w:szCs w:val="22"/>
                    </w:rPr>
                    <w:t>2024年</w:t>
                  </w:r>
                  <w:r>
                    <w:rPr>
                      <w:rFonts w:hint="eastAsia" w:ascii="微软简仿宋" w:hAnsi="等线" w:eastAsia="微软简仿宋"/>
                      <w:color w:val="000000"/>
                      <w:sz w:val="22"/>
                      <w:szCs w:val="22"/>
                      <w:lang w:val="en-US" w:eastAsia="zh-CN"/>
                    </w:rPr>
                    <w:t>7</w:t>
                  </w:r>
                  <w:r>
                    <w:rPr>
                      <w:rFonts w:hint="eastAsia" w:ascii="微软简仿宋" w:hAnsi="等线" w:eastAsia="微软简仿宋"/>
                      <w:color w:val="000000"/>
                      <w:sz w:val="22"/>
                      <w:szCs w:val="22"/>
                    </w:rPr>
                    <w:t>月</w:t>
                  </w:r>
                  <w:r>
                    <w:rPr>
                      <w:rFonts w:hint="eastAsia" w:ascii="微软简仿宋" w:hAnsi="等线" w:eastAsia="微软简仿宋"/>
                      <w:color w:val="000000"/>
                      <w:sz w:val="22"/>
                      <w:szCs w:val="22"/>
                      <w:lang w:val="en-US" w:eastAsia="zh-CN"/>
                    </w:rPr>
                    <w:t>2</w:t>
                  </w:r>
                  <w:r>
                    <w:rPr>
                      <w:rFonts w:hint="eastAsia" w:ascii="微软简仿宋" w:hAnsi="等线" w:eastAsia="微软简仿宋"/>
                      <w:color w:val="000000"/>
                      <w:sz w:val="22"/>
                      <w:szCs w:val="22"/>
                    </w:rPr>
                    <w:t>日</w:t>
                  </w:r>
                </w:p>
              </w:tc>
            </w:tr>
          </w:tbl>
          <w:p>
            <w:pPr>
              <w:spacing w:line="300" w:lineRule="exact"/>
              <w:ind w:firstLine="420"/>
              <w:rPr>
                <w:rFonts w:ascii="仿宋" w:hAnsi="仿宋" w:eastAsia="仿宋"/>
                <w:bCs/>
                <w:szCs w:val="21"/>
                <w:highlight w:val="none"/>
              </w:rPr>
            </w:pPr>
            <w:r>
              <w:rPr>
                <w:rFonts w:hint="eastAsia" w:ascii="仿宋" w:hAnsi="仿宋" w:eastAsia="仿宋"/>
                <w:b/>
                <w:bCs w:val="0"/>
                <w:szCs w:val="21"/>
                <w:highlight w:val="none"/>
              </w:rPr>
              <w:t>若产品触发敲出事件，将在产品终止日前</w:t>
            </w:r>
            <w:r>
              <w:rPr>
                <w:rFonts w:ascii="仿宋" w:hAnsi="仿宋" w:eastAsia="仿宋"/>
                <w:b/>
                <w:bCs w:val="0"/>
                <w:szCs w:val="21"/>
                <w:highlight w:val="none"/>
              </w:rPr>
              <w:t>1个工作日按“</w:t>
            </w:r>
            <w:r>
              <w:rPr>
                <w:rFonts w:hint="eastAsia" w:ascii="仿宋" w:hAnsi="仿宋" w:eastAsia="仿宋"/>
                <w:b/>
                <w:bCs w:val="0"/>
                <w:szCs w:val="21"/>
                <w:highlight w:val="none"/>
              </w:rPr>
              <w:t>九、信息披露”条款披露提前终止事项。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产品成立日至到期/（提前）终止日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华夏理财将于理财产品到期/（提前）终止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rPr>
              <w:t>5亿元，</w:t>
            </w:r>
            <w:r>
              <w:rPr>
                <w:rFonts w:ascii="仿宋" w:hAnsi="仿宋" w:eastAsia="仿宋"/>
                <w:bCs/>
                <w:szCs w:val="21"/>
              </w:rPr>
              <w:t>发行规模下限为</w:t>
            </w:r>
            <w:r>
              <w:rPr>
                <w:rFonts w:hint="eastAsia" w:ascii="仿宋" w:hAnsi="仿宋" w:eastAsia="仿宋"/>
                <w:bCs/>
                <w:szCs w:val="21"/>
                <w:lang w:val="en-US" w:eastAsia="zh-CN"/>
              </w:rPr>
              <w:t>1.1亿</w:t>
            </w:r>
            <w:r>
              <w:rPr>
                <w:rFonts w:hint="eastAsia" w:ascii="仿宋" w:hAnsi="仿宋" w:eastAsia="仿宋"/>
                <w:bCs/>
                <w:szCs w:val="21"/>
              </w:rPr>
              <w:t>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A份额：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B份额：</w:t>
            </w:r>
            <w:r>
              <w:rPr>
                <w:rFonts w:ascii="仿宋" w:hAnsi="仿宋" w:eastAsia="仿宋"/>
                <w:bCs/>
                <w:szCs w:val="21"/>
              </w:rPr>
              <w:t>认购起点金额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300" w:lineRule="exac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最高持有限额要求：本理财产品单一投资者持有本产品份额数不得超过3,000万份，同时不得超过产品份额总数的50%。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
                <w:szCs w:val="21"/>
              </w:rPr>
            </w:pPr>
            <w:r>
              <w:rPr>
                <w:rFonts w:hint="eastAsia" w:ascii="仿宋" w:hAnsi="仿宋" w:eastAsia="仿宋"/>
                <w:b/>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
                <w:szCs w:val="21"/>
              </w:rPr>
            </w:pPr>
            <w:r>
              <w:rPr>
                <w:rFonts w:hint="eastAsia" w:ascii="仿宋" w:hAnsi="仿宋" w:eastAsia="仿宋"/>
                <w:b/>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0.03%/年，以前一日资产净值为基数，每日计提。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uto"/>
              <w:ind w:firstLine="420"/>
              <w:jc w:val="left"/>
              <w:rPr>
                <w:rFonts w:ascii="仿宋" w:hAnsi="仿宋" w:eastAsia="仿宋"/>
                <w:b/>
                <w:szCs w:val="21"/>
              </w:rPr>
            </w:pPr>
            <w:r>
              <w:rPr>
                <w:rFonts w:hint="eastAsia" w:ascii="仿宋" w:hAnsi="仿宋" w:eastAsia="仿宋"/>
                <w:b/>
                <w:szCs w:val="21"/>
              </w:rPr>
              <w:t>F=E×【0.03%】/当年天数。F为托管费；E为计算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b/>
                <w:bCs/>
                <w:szCs w:val="21"/>
              </w:rPr>
              <w:t>A份额：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300" w:lineRule="exact"/>
              <w:ind w:firstLine="422" w:firstLineChars="200"/>
              <w:jc w:val="left"/>
              <w:rPr>
                <w:rFonts w:hint="eastAsia" w:ascii="仿宋" w:hAnsi="仿宋" w:eastAsia="仿宋"/>
                <w:b/>
                <w:szCs w:val="21"/>
              </w:rPr>
            </w:pPr>
            <w:r>
              <w:rPr>
                <w:rFonts w:hint="eastAsia" w:ascii="仿宋" w:hAnsi="仿宋" w:eastAsia="仿宋"/>
                <w:b/>
                <w:bCs/>
                <w:szCs w:val="21"/>
                <w:lang w:val="en-US" w:eastAsia="zh-CN"/>
              </w:rPr>
              <w:t>B</w:t>
            </w:r>
            <w:r>
              <w:rPr>
                <w:rFonts w:hint="eastAsia" w:ascii="仿宋" w:hAnsi="仿宋" w:eastAsia="仿宋"/>
                <w:b/>
                <w:bCs/>
                <w:szCs w:val="21"/>
              </w:rPr>
              <w:t>份额：</w:t>
            </w: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F=E×【</w:t>
            </w:r>
            <w:r>
              <w:rPr>
                <w:rFonts w:hint="eastAsia" w:ascii="仿宋" w:hAnsi="仿宋" w:eastAsia="仿宋"/>
                <w:b/>
                <w:bCs/>
                <w:szCs w:val="21"/>
              </w:rPr>
              <w:t>各</w:t>
            </w:r>
            <w:r>
              <w:rPr>
                <w:rFonts w:ascii="仿宋" w:hAnsi="仿宋" w:eastAsia="仿宋"/>
                <w:b/>
                <w:bCs/>
                <w:szCs w:val="21"/>
              </w:rPr>
              <w:t>份额</w:t>
            </w:r>
            <w:r>
              <w:rPr>
                <w:rFonts w:hint="eastAsia" w:ascii="仿宋" w:hAnsi="仿宋" w:eastAsia="仿宋"/>
                <w:b/>
                <w:bCs/>
                <w:szCs w:val="21"/>
              </w:rPr>
              <w:t>销售</w:t>
            </w:r>
            <w:r>
              <w:rPr>
                <w:rFonts w:ascii="仿宋" w:hAnsi="仿宋" w:eastAsia="仿宋"/>
                <w:b/>
                <w:bCs/>
                <w:szCs w:val="21"/>
              </w:rPr>
              <w:t>手续费率</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szCs w:val="21"/>
              </w:rPr>
            </w:pPr>
            <w:r>
              <w:rPr>
                <w:rFonts w:ascii="仿宋" w:hAnsi="仿宋" w:eastAsia="仿宋"/>
                <w:b/>
                <w:szCs w:val="21"/>
              </w:rPr>
              <w:t>0.</w:t>
            </w:r>
            <w:r>
              <w:rPr>
                <w:rFonts w:hint="eastAsia" w:ascii="仿宋" w:hAnsi="仿宋" w:eastAsia="仿宋"/>
                <w:b/>
                <w:szCs w:val="21"/>
              </w:rPr>
              <w:t>15</w:t>
            </w:r>
            <w:r>
              <w:rPr>
                <w:rFonts w:ascii="仿宋" w:hAnsi="仿宋" w:eastAsia="仿宋"/>
                <w:b/>
                <w:szCs w:val="21"/>
              </w:rPr>
              <w:t>%</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szCs w:val="21"/>
              </w:rPr>
            </w:pPr>
            <w:r>
              <w:rPr>
                <w:rFonts w:hint="eastAsia" w:ascii="仿宋" w:hAnsi="仿宋" w:eastAsia="仿宋"/>
                <w:b/>
                <w:szCs w:val="21"/>
              </w:rPr>
              <w:t>公式如下：</w:t>
            </w:r>
          </w:p>
          <w:p>
            <w:pPr>
              <w:adjustRightInd w:val="0"/>
              <w:snapToGrid w:val="0"/>
              <w:spacing w:line="300" w:lineRule="exact"/>
              <w:ind w:firstLine="420"/>
              <w:rPr>
                <w:rFonts w:ascii="仿宋" w:hAnsi="仿宋" w:eastAsia="仿宋"/>
                <w:b/>
                <w:szCs w:val="21"/>
              </w:rPr>
            </w:pPr>
            <w:r>
              <w:rPr>
                <w:rFonts w:hint="eastAsia" w:ascii="仿宋" w:hAnsi="仿宋" w:eastAsia="仿宋"/>
                <w:b/>
                <w:szCs w:val="21"/>
              </w:rPr>
              <w:t>F=E×【</w:t>
            </w:r>
            <w:r>
              <w:rPr>
                <w:rFonts w:ascii="仿宋" w:hAnsi="仿宋" w:eastAsia="仿宋"/>
                <w:b/>
                <w:szCs w:val="21"/>
              </w:rPr>
              <w:t>0.</w:t>
            </w:r>
            <w:r>
              <w:rPr>
                <w:rFonts w:hint="eastAsia" w:ascii="仿宋" w:hAnsi="仿宋" w:eastAsia="仿宋"/>
                <w:b/>
                <w:szCs w:val="21"/>
              </w:rPr>
              <w:t>15</w:t>
            </w:r>
            <w:r>
              <w:rPr>
                <w:rFonts w:ascii="仿宋" w:hAnsi="仿宋" w:eastAsia="仿宋"/>
                <w:b/>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。F为固定管理费；E为计算</w:t>
            </w:r>
            <w:r>
              <w:rPr>
                <w:rFonts w:ascii="仿宋" w:hAnsi="仿宋" w:eastAsia="仿宋"/>
                <w:b/>
                <w:szCs w:val="21"/>
              </w:rPr>
              <w:t>基数</w:t>
            </w:r>
            <w:r>
              <w:rPr>
                <w:rFonts w:hint="eastAsia" w:ascii="仿宋" w:hAnsi="仿宋" w:eastAsia="仿宋"/>
                <w:b/>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超额</w:t>
            </w:r>
            <w:r>
              <w:rPr>
                <w:rFonts w:ascii="仿宋" w:hAnsi="仿宋" w:eastAsia="仿宋"/>
                <w:b/>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240" w:lineRule="atLeast"/>
              <w:ind w:firstLine="420"/>
              <w:rPr>
                <w:rFonts w:hint="eastAsia" w:ascii="仿宋" w:hAnsi="仿宋" w:eastAsia="仿宋"/>
                <w:b/>
                <w:bCs/>
                <w:szCs w:val="21"/>
              </w:rPr>
            </w:pPr>
            <w:r>
              <w:rPr>
                <w:rFonts w:ascii="仿宋" w:hAnsi="仿宋" w:eastAsia="仿宋" w:cs="Cambria"/>
                <w:b/>
                <w:bCs/>
                <w:szCs w:val="21"/>
              </w:rPr>
              <w:t>A</w:t>
            </w:r>
            <w:r>
              <w:rPr>
                <w:rFonts w:hint="eastAsia" w:ascii="仿宋" w:hAnsi="仿宋" w:eastAsia="仿宋" w:cs="Cambria"/>
                <w:b/>
                <w:bCs/>
                <w:szCs w:val="21"/>
              </w:rPr>
              <w:t>份额</w:t>
            </w:r>
            <w:r>
              <w:rPr>
                <w:rFonts w:hint="eastAsia" w:ascii="仿宋" w:hAnsi="仿宋" w:eastAsia="仿宋"/>
                <w:b/>
                <w:bCs/>
                <w:szCs w:val="21"/>
              </w:rPr>
              <w:t>超额管理费计提基准为</w:t>
            </w:r>
            <w:r>
              <w:rPr>
                <w:rFonts w:hint="eastAsia" w:ascii="仿宋" w:hAnsi="仿宋" w:eastAsia="仿宋"/>
                <w:b/>
                <w:bCs/>
                <w:szCs w:val="21"/>
                <w:lang w:val="en-US" w:eastAsia="zh-CN"/>
              </w:rPr>
              <w:t>4.95</w:t>
            </w:r>
            <w:r>
              <w:rPr>
                <w:rFonts w:ascii="仿宋" w:hAnsi="仿宋" w:eastAsia="仿宋"/>
                <w:b/>
                <w:bCs/>
                <w:szCs w:val="21"/>
              </w:rPr>
              <w:t>%</w:t>
            </w:r>
            <w:r>
              <w:rPr>
                <w:rFonts w:hint="eastAsia" w:ascii="仿宋" w:hAnsi="仿宋" w:eastAsia="仿宋"/>
                <w:b/>
                <w:bCs/>
                <w:szCs w:val="21"/>
              </w:rPr>
              <w:t>（年化）；</w:t>
            </w:r>
            <w:r>
              <w:rPr>
                <w:rFonts w:ascii="仿宋" w:hAnsi="仿宋" w:eastAsia="仿宋" w:cs="Cambria"/>
                <w:b/>
                <w:bCs/>
                <w:szCs w:val="21"/>
              </w:rPr>
              <w:t>B</w:t>
            </w:r>
            <w:r>
              <w:rPr>
                <w:rFonts w:hint="eastAsia" w:ascii="仿宋" w:hAnsi="仿宋" w:eastAsia="仿宋" w:cs="Cambria"/>
                <w:b/>
                <w:bCs/>
                <w:szCs w:val="21"/>
              </w:rPr>
              <w:t>份额</w:t>
            </w:r>
            <w:r>
              <w:rPr>
                <w:rFonts w:hint="eastAsia" w:ascii="仿宋" w:hAnsi="仿宋" w:eastAsia="仿宋"/>
                <w:b/>
                <w:bCs/>
                <w:szCs w:val="21"/>
              </w:rPr>
              <w:t>超额管理费计提基准为</w:t>
            </w:r>
            <w:r>
              <w:rPr>
                <w:rFonts w:hint="eastAsia" w:ascii="仿宋" w:hAnsi="仿宋" w:eastAsia="仿宋"/>
                <w:b/>
                <w:bCs/>
                <w:szCs w:val="21"/>
                <w:lang w:val="en-US" w:eastAsia="zh-CN"/>
              </w:rPr>
              <w:t>5.00</w:t>
            </w:r>
            <w:r>
              <w:rPr>
                <w:rFonts w:ascii="仿宋" w:hAnsi="仿宋" w:eastAsia="仿宋"/>
                <w:b/>
                <w:bCs/>
                <w:szCs w:val="21"/>
              </w:rPr>
              <w:t>%</w:t>
            </w:r>
            <w:r>
              <w:rPr>
                <w:rFonts w:hint="eastAsia" w:ascii="仿宋" w:hAnsi="仿宋" w:eastAsia="仿宋"/>
                <w:b/>
                <w:bCs/>
                <w:szCs w:val="21"/>
              </w:rPr>
              <w:t>（年化）。</w:t>
            </w:r>
          </w:p>
          <w:p>
            <w:pPr>
              <w:adjustRightInd w:val="0"/>
              <w:snapToGrid w:val="0"/>
              <w:spacing w:line="240" w:lineRule="atLeast"/>
              <w:ind w:firstLine="420"/>
              <w:rPr>
                <w:rFonts w:hint="eastAsia" w:ascii="仿宋" w:hAnsi="仿宋" w:eastAsia="仿宋"/>
                <w:b/>
                <w:bCs/>
                <w:szCs w:val="21"/>
              </w:rPr>
            </w:pPr>
            <w:r>
              <w:rPr>
                <w:rFonts w:hint="eastAsia" w:ascii="仿宋" w:hAnsi="仿宋" w:eastAsia="仿宋"/>
                <w:b/>
                <w:bCs/>
                <w:szCs w:val="21"/>
              </w:rPr>
              <w:t>本产品超额管理费的计算公式：</w:t>
            </w:r>
          </w:p>
          <w:p>
            <w:pPr>
              <w:adjustRightInd w:val="0"/>
              <w:snapToGrid w:val="0"/>
              <w:spacing w:line="300" w:lineRule="exact"/>
              <w:ind w:firstLine="420"/>
              <w:rPr>
                <w:rFonts w:hint="eastAsia" w:ascii="仿宋" w:hAnsi="仿宋" w:eastAsia="仿宋" w:cs="Cambria"/>
                <w:b/>
                <w:bCs/>
                <w:szCs w:val="21"/>
              </w:rPr>
            </w:pPr>
            <w:r>
              <w:rPr>
                <w:rFonts w:hint="eastAsia" w:ascii="仿宋" w:hAnsi="仿宋" w:eastAsia="仿宋" w:cs="Cambria"/>
                <w:b/>
                <w:bCs/>
                <w:szCs w:val="21"/>
              </w:rPr>
              <w:t>超额管理费=（年化收益率-超额管理费计提基准）×当期持有天数÷365×50%×产品份额×1.0000</w:t>
            </w:r>
          </w:p>
          <w:p>
            <w:pPr>
              <w:adjustRightInd w:val="0"/>
              <w:snapToGrid w:val="0"/>
              <w:spacing w:line="300" w:lineRule="exact"/>
              <w:ind w:firstLine="420"/>
              <w:rPr>
                <w:rFonts w:hint="eastAsia" w:ascii="仿宋" w:hAnsi="仿宋" w:eastAsia="仿宋" w:cs="Cambria"/>
                <w:b/>
                <w:bCs/>
                <w:szCs w:val="21"/>
              </w:rPr>
            </w:pPr>
            <w:r>
              <w:rPr>
                <w:rFonts w:hint="eastAsia" w:ascii="仿宋" w:hAnsi="仿宋" w:eastAsia="仿宋" w:cs="Cambria"/>
                <w:b/>
                <w:bCs/>
                <w:szCs w:val="21"/>
              </w:rPr>
              <w:t>其中：年化收益率=（计提日累计单位净值-1.0000）÷1.0000×365÷当期持有天数。</w:t>
            </w:r>
          </w:p>
          <w:p>
            <w:pPr>
              <w:adjustRightInd w:val="0"/>
              <w:snapToGrid w:val="0"/>
              <w:spacing w:line="300" w:lineRule="exact"/>
              <w:ind w:firstLine="420"/>
              <w:rPr>
                <w:rFonts w:hint="eastAsia" w:ascii="仿宋" w:hAnsi="仿宋" w:eastAsia="仿宋" w:cs="Cambria"/>
                <w:b/>
                <w:bCs/>
                <w:szCs w:val="21"/>
              </w:rPr>
            </w:pPr>
            <w:r>
              <w:rPr>
                <w:rFonts w:hint="eastAsia" w:ascii="仿宋" w:hAnsi="仿宋" w:eastAsia="仿宋" w:cs="Cambria"/>
                <w:b/>
                <w:bCs/>
                <w:szCs w:val="21"/>
              </w:rPr>
              <w:t>“产品份额”为产品份额，若有红利再投时，将剔除红利再投产生份额的影响。</w:t>
            </w:r>
          </w:p>
          <w:p>
            <w:pPr>
              <w:adjustRightInd w:val="0"/>
              <w:snapToGrid w:val="0"/>
              <w:spacing w:line="300" w:lineRule="exact"/>
              <w:ind w:firstLine="420"/>
              <w:rPr>
                <w:rFonts w:hint="eastAsia" w:ascii="仿宋" w:hAnsi="仿宋" w:eastAsia="仿宋" w:cs="Cambria"/>
                <w:b/>
                <w:bCs/>
                <w:szCs w:val="21"/>
              </w:rPr>
            </w:pPr>
            <w:r>
              <w:rPr>
                <w:rFonts w:hint="eastAsia" w:ascii="仿宋" w:hAnsi="仿宋" w:eastAsia="仿宋" w:cs="Cambria"/>
                <w:b/>
                <w:bCs/>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
                <w:szCs w:val="21"/>
                <w:u w:val="single"/>
              </w:rPr>
            </w:pPr>
            <w:r>
              <w:rPr>
                <w:rFonts w:hint="eastAsia" w:ascii="仿宋" w:hAnsi="仿宋" w:eastAsia="仿宋" w:cs="Cambria"/>
                <w:b/>
                <w:bCs/>
                <w:szCs w:val="21"/>
              </w:rPr>
              <w:t>华夏理财有权根据市场及产品运作情况调整上述规则，并至少于生效前3个工作日通过本产品说明书约定的信息披露渠道进行公告。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szCs w:val="21"/>
              </w:rPr>
            </w:pPr>
            <w:r>
              <w:rPr>
                <w:rFonts w:hint="eastAsia" w:ascii="仿宋" w:hAnsi="仿宋" w:eastAsia="仿宋"/>
                <w:b/>
                <w:szCs w:val="21"/>
              </w:rPr>
              <w:t>其他</w:t>
            </w:r>
            <w:r>
              <w:rPr>
                <w:rFonts w:ascii="仿宋" w:hAnsi="仿宋" w:eastAsia="仿宋"/>
                <w:b/>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szCs w:val="21"/>
              </w:rPr>
            </w:pPr>
            <w:r>
              <w:rPr>
                <w:rFonts w:hint="eastAsia" w:ascii="仿宋" w:hAnsi="仿宋" w:eastAsia="仿宋"/>
                <w:b/>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2"/>
        <w:snapToGrid w:val="0"/>
        <w:spacing w:after="156" w:afterLines="50" w:line="400" w:lineRule="exact"/>
        <w:ind w:firstLine="482" w:firstLineChars="200"/>
        <w:jc w:val="both"/>
        <w:rPr>
          <w:rFonts w:ascii="Times New Roman" w:eastAsia="黑体" w:cs="Times New Roman"/>
          <w:b/>
          <w:color w:val="auto"/>
        </w:rPr>
      </w:pPr>
    </w:p>
    <w:p>
      <w:pPr>
        <w:pStyle w:val="12"/>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本理财产品将100%投资于固定收益类资产，主要投资于货币市场工具、标准化债权类资产、非标准化债权类资产等固定收益类资产。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非标债权类资产包括中证机构间报价系统股份有限公司的收益凭证等《标准化债权类资产认定规则》认定的非标准化债权类资产。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keepNext/>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0"/>
        <w:tblW w:w="7900"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439"/>
        <w:gridCol w:w="3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4439" w:type="dxa"/>
            <w:vAlign w:val="center"/>
          </w:tcPr>
          <w:p>
            <w:pPr>
              <w:adjustRightInd w:val="0"/>
              <w:snapToGrid w:val="0"/>
              <w:spacing w:line="400" w:lineRule="atLeast"/>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3461" w:type="dxa"/>
            <w:vAlign w:val="center"/>
          </w:tcPr>
          <w:p>
            <w:pPr>
              <w:adjustRightInd w:val="0"/>
              <w:snapToGrid w:val="0"/>
              <w:spacing w:line="400" w:lineRule="atLeast"/>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4439"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非标债权类资产</w:t>
            </w:r>
          </w:p>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（券商收益凭证）</w:t>
            </w:r>
          </w:p>
        </w:tc>
        <w:tc>
          <w:tcPr>
            <w:tcW w:w="3461" w:type="dxa"/>
            <w:vAlign w:val="center"/>
          </w:tcPr>
          <w:p>
            <w:pPr>
              <w:adjustRightInd w:val="0"/>
              <w:snapToGrid w:val="0"/>
              <w:spacing w:line="400" w:lineRule="atLeast"/>
              <w:jc w:val="center"/>
              <w:rPr>
                <w:rFonts w:eastAsia="仿宋"/>
                <w:color w:val="000000"/>
                <w:kern w:val="0"/>
                <w:sz w:val="24"/>
              </w:rPr>
            </w:pPr>
            <w:r>
              <w:rPr>
                <w:rFonts w:hint="eastAsia" w:ascii="仿宋" w:hAnsi="仿宋" w:eastAsia="仿宋" w:cs="宋体"/>
                <w:color w:val="000000"/>
                <w:kern w:val="0"/>
                <w:sz w:val="24"/>
              </w:rPr>
              <w:t>0%-1</w:t>
            </w:r>
            <w:r>
              <w:rPr>
                <w:rFonts w:ascii="仿宋" w:hAnsi="仿宋" w:eastAsia="仿宋" w:cs="宋体"/>
                <w:color w:val="000000"/>
                <w:kern w:val="0"/>
                <w:sz w:val="24"/>
              </w:rPr>
              <w:t>0</w:t>
            </w:r>
            <w:r>
              <w:rPr>
                <w:rFonts w:hint="eastAsia" w:ascii="仿宋" w:hAnsi="仿宋" w:eastAsia="仿宋"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47" w:hRule="atLeast"/>
          <w:tblCellSpacing w:w="0" w:type="dxa"/>
          <w:jc w:val="center"/>
        </w:trPr>
        <w:tc>
          <w:tcPr>
            <w:tcW w:w="4439"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rPr>
              <w:t>货币市场工具、标准化债权类等资产</w:t>
            </w:r>
          </w:p>
        </w:tc>
        <w:tc>
          <w:tcPr>
            <w:tcW w:w="3461" w:type="dxa"/>
            <w:vAlign w:val="center"/>
          </w:tcPr>
          <w:p>
            <w:pPr>
              <w:adjustRightInd w:val="0"/>
              <w:snapToGrid w:val="0"/>
              <w:spacing w:line="400" w:lineRule="atLeast"/>
              <w:jc w:val="center"/>
              <w:rPr>
                <w:rFonts w:ascii="仿宋" w:hAnsi="仿宋" w:eastAsia="仿宋" w:cs="宋体"/>
                <w:color w:val="000000"/>
                <w:kern w:val="0"/>
                <w:sz w:val="24"/>
              </w:rPr>
            </w:pPr>
            <w:r>
              <w:rPr>
                <w:rFonts w:hint="eastAsia" w:ascii="仿宋" w:hAnsi="仿宋" w:eastAsia="仿宋" w:cs="宋体"/>
                <w:color w:val="000000"/>
                <w:kern w:val="0"/>
                <w:sz w:val="24"/>
                <w:lang w:val="en-US" w:eastAsia="zh-CN"/>
              </w:rPr>
              <w:t>9</w:t>
            </w:r>
            <w:r>
              <w:rPr>
                <w:rFonts w:ascii="仿宋" w:hAnsi="仿宋" w:eastAsia="仿宋" w:cs="宋体"/>
                <w:color w:val="000000"/>
                <w:kern w:val="0"/>
                <w:sz w:val="24"/>
              </w:rPr>
              <w:t>0</w:t>
            </w:r>
            <w:r>
              <w:rPr>
                <w:rFonts w:hint="eastAsia" w:ascii="仿宋" w:hAnsi="仿宋" w:eastAsia="仿宋" w:cs="宋体"/>
                <w:color w:val="000000"/>
                <w:kern w:val="0"/>
                <w:sz w:val="24"/>
              </w:rPr>
              <w:t>%-100%</w:t>
            </w:r>
          </w:p>
        </w:tc>
      </w:tr>
    </w:tbl>
    <w:p>
      <w:pPr>
        <w:widowControl/>
        <w:adjustRightInd w:val="0"/>
        <w:snapToGrid w:val="0"/>
        <w:spacing w:line="276" w:lineRule="auto"/>
        <w:ind w:firstLine="420"/>
        <w:contextualSpacing/>
        <w:rPr>
          <w:rFonts w:hint="eastAsia"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20"/>
        <w:contextualSpacing/>
        <w:rPr>
          <w:rFonts w:hint="eastAsia"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kern w:val="0"/>
          <w:sz w:val="24"/>
          <w:highlight w:val="none"/>
        </w:rPr>
      </w:pPr>
      <w:r>
        <w:rPr>
          <w:rFonts w:hint="eastAsia" w:ascii="仿宋" w:hAnsi="仿宋" w:eastAsia="仿宋" w:cs="宋体"/>
          <w:b/>
          <w:bCs/>
          <w:color w:val="000000"/>
          <w:kern w:val="0"/>
          <w:sz w:val="24"/>
          <w:highlight w:val="none"/>
        </w:rPr>
        <w:t>底层资产介绍</w:t>
      </w:r>
    </w:p>
    <w:p>
      <w:pPr>
        <w:widowControl/>
        <w:adjustRightInd w:val="0"/>
        <w:snapToGrid w:val="0"/>
        <w:spacing w:line="276" w:lineRule="auto"/>
        <w:ind w:firstLine="480" w:firstLineChars="200"/>
        <w:contextualSpacing/>
        <w:rPr>
          <w:rFonts w:ascii="仿宋" w:hAnsi="仿宋" w:eastAsia="仿宋" w:cs="宋体"/>
          <w:kern w:val="0"/>
          <w:sz w:val="24"/>
          <w:highlight w:val="none"/>
        </w:rPr>
      </w:pPr>
      <w:r>
        <w:rPr>
          <w:rFonts w:hint="eastAsia" w:ascii="仿宋" w:hAnsi="仿宋" w:eastAsia="仿宋" w:cs="宋体"/>
          <w:kern w:val="0"/>
          <w:sz w:val="24"/>
          <w:highlight w:val="none"/>
        </w:rPr>
        <w:t>本理财产品拟</w:t>
      </w:r>
      <w:r>
        <w:rPr>
          <w:rFonts w:ascii="仿宋" w:hAnsi="仿宋" w:eastAsia="仿宋" w:cs="宋体"/>
          <w:kern w:val="0"/>
          <w:sz w:val="24"/>
          <w:highlight w:val="none"/>
        </w:rPr>
        <w:t>以</w:t>
      </w:r>
      <w:r>
        <w:rPr>
          <w:rFonts w:hint="eastAsia" w:ascii="仿宋" w:hAnsi="仿宋" w:eastAsia="仿宋" w:cs="宋体"/>
          <w:kern w:val="0"/>
          <w:sz w:val="24"/>
          <w:highlight w:val="none"/>
        </w:rPr>
        <w:t>不超过10</w:t>
      </w:r>
      <w:r>
        <w:rPr>
          <w:rFonts w:ascii="仿宋" w:hAnsi="仿宋" w:eastAsia="仿宋" w:cs="宋体"/>
          <w:kern w:val="0"/>
          <w:sz w:val="24"/>
          <w:highlight w:val="none"/>
        </w:rPr>
        <w:t>%的资金投资于券商发行的浮动收益凭证</w:t>
      </w:r>
      <w:r>
        <w:rPr>
          <w:rFonts w:hint="eastAsia" w:ascii="仿宋" w:hAnsi="仿宋" w:eastAsia="仿宋" w:cs="宋体"/>
          <w:kern w:val="0"/>
          <w:sz w:val="24"/>
          <w:highlight w:val="none"/>
        </w:rPr>
        <w:t>。为便于投资者了解拟投资浮动收益凭证的概要，理财产品管理人列举以下浮动收益凭证核心要素，但本要素表信息并非本理财产品投资信息之全部。</w:t>
      </w:r>
    </w:p>
    <w:tbl>
      <w:tblPr>
        <w:tblStyle w:val="10"/>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9"/>
        <w:gridCol w:w="61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sz w:val="22"/>
                <w:highlight w:val="none"/>
              </w:rPr>
            </w:pPr>
          </w:p>
        </w:tc>
        <w:tc>
          <w:tcPr>
            <w:tcW w:w="6143" w:type="dxa"/>
            <w:vAlign w:val="top"/>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看涨自动赎回结构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挂钩标的</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中证1000指数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期初观察日</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收益凭证投资起始日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期初价格</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期初观察日</w:t>
            </w:r>
            <w:r>
              <w:rPr>
                <w:rFonts w:hint="eastAsia" w:ascii="仿宋" w:hAnsi="仿宋" w:eastAsia="仿宋" w:cs="微软简仿宋"/>
                <w:sz w:val="22"/>
                <w:highlight w:val="none"/>
                <w:lang w:eastAsia="zh-CN"/>
              </w:rPr>
              <w:t>（</w:t>
            </w:r>
            <w:r>
              <w:rPr>
                <w:rFonts w:hint="eastAsia" w:ascii="仿宋" w:hAnsi="仿宋" w:eastAsia="仿宋" w:cs="微软简仿宋"/>
                <w:sz w:val="22"/>
                <w:highlight w:val="none"/>
                <w:lang w:val="en-US" w:eastAsia="zh-CN"/>
              </w:rPr>
              <w:t>2023年7月5日</w:t>
            </w:r>
            <w:r>
              <w:rPr>
                <w:rFonts w:hint="eastAsia" w:ascii="仿宋" w:hAnsi="仿宋" w:eastAsia="仿宋" w:cs="微软简仿宋"/>
                <w:sz w:val="22"/>
                <w:highlight w:val="none"/>
                <w:lang w:eastAsia="zh-CN"/>
              </w:rPr>
              <w:t>）</w:t>
            </w:r>
            <w:r>
              <w:rPr>
                <w:rFonts w:hint="eastAsia" w:ascii="仿宋" w:hAnsi="仿宋" w:eastAsia="仿宋" w:cs="微软简仿宋"/>
                <w:sz w:val="22"/>
                <w:highlight w:val="none"/>
              </w:rPr>
              <w:t>挂钩标的的收盘价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敲出观察日</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bCs/>
                <w:szCs w:val="21"/>
                <w:highlight w:val="none"/>
              </w:rPr>
              <w:t>产品成立后第</w:t>
            </w:r>
            <w:r>
              <w:rPr>
                <w:rFonts w:ascii="仿宋" w:hAnsi="仿宋" w:eastAsia="仿宋"/>
                <w:bCs/>
                <w:szCs w:val="21"/>
                <w:highlight w:val="none"/>
              </w:rPr>
              <w:t>3个月起每月观察一次，合计设定</w:t>
            </w:r>
            <w:r>
              <w:rPr>
                <w:rFonts w:hint="eastAsia" w:ascii="仿宋" w:hAnsi="仿宋" w:eastAsia="仿宋"/>
                <w:bCs/>
                <w:szCs w:val="21"/>
                <w:highlight w:val="none"/>
                <w:lang w:eastAsia="zh-CN"/>
              </w:rPr>
              <w:t>1</w:t>
            </w:r>
            <w:r>
              <w:rPr>
                <w:rFonts w:hint="eastAsia" w:ascii="仿宋" w:hAnsi="仿宋" w:eastAsia="仿宋"/>
                <w:bCs/>
                <w:szCs w:val="21"/>
                <w:highlight w:val="none"/>
                <w:lang w:val="en-US" w:eastAsia="zh-CN"/>
              </w:rPr>
              <w:t>0</w:t>
            </w:r>
            <w:r>
              <w:rPr>
                <w:rFonts w:ascii="仿宋" w:hAnsi="仿宋" w:eastAsia="仿宋"/>
                <w:bCs/>
                <w:szCs w:val="21"/>
                <w:highlight w:val="none"/>
              </w:rPr>
              <w:t>个敲出观察日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敲出水平</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敲出价格</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期初价格</w:t>
            </w:r>
            <w:r>
              <w:rPr>
                <w:rFonts w:ascii="Arial" w:hAnsi="Arial" w:eastAsia="仿宋" w:cs="Arial"/>
                <w:sz w:val="22"/>
                <w:highlight w:val="none"/>
              </w:rPr>
              <w:t>×</w:t>
            </w:r>
            <w:r>
              <w:rPr>
                <w:rFonts w:hint="eastAsia" w:ascii="Arial" w:hAnsi="Arial" w:eastAsia="仿宋" w:cs="Arial"/>
                <w:sz w:val="22"/>
                <w:highlight w:val="none"/>
              </w:rPr>
              <w:t>敲出水平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观察价格</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敲出观察日挂钩标的的收盘价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379" w:type="dxa"/>
            <w:vAlign w:val="center"/>
          </w:tcPr>
          <w:p>
            <w:pPr>
              <w:spacing w:line="240" w:lineRule="auto"/>
              <w:jc w:val="center"/>
              <w:rPr>
                <w:rFonts w:ascii="仿宋" w:hAnsi="仿宋" w:eastAsia="仿宋" w:cs="微软简仿宋"/>
                <w:b/>
                <w:bCs/>
                <w:sz w:val="22"/>
                <w:highlight w:val="none"/>
              </w:rPr>
            </w:pPr>
            <w:r>
              <w:rPr>
                <w:rFonts w:hint="eastAsia" w:ascii="仿宋" w:hAnsi="仿宋" w:eastAsia="仿宋" w:cs="微软简仿宋"/>
                <w:b/>
                <w:bCs/>
                <w:sz w:val="22"/>
                <w:highlight w:val="none"/>
              </w:rPr>
              <w:t>敲出事件</w:t>
            </w:r>
          </w:p>
        </w:tc>
        <w:tc>
          <w:tcPr>
            <w:tcW w:w="6143" w:type="dxa"/>
            <w:vAlign w:val="top"/>
          </w:tcPr>
          <w:p>
            <w:pPr>
              <w:spacing w:line="240" w:lineRule="auto"/>
              <w:rPr>
                <w:rFonts w:ascii="仿宋" w:hAnsi="仿宋" w:eastAsia="仿宋" w:cs="微软简仿宋"/>
                <w:sz w:val="22"/>
                <w:highlight w:val="none"/>
              </w:rPr>
            </w:pPr>
            <w:r>
              <w:rPr>
                <w:rFonts w:hint="eastAsia" w:ascii="仿宋" w:hAnsi="仿宋" w:eastAsia="仿宋" w:cs="微软简仿宋"/>
                <w:sz w:val="22"/>
                <w:highlight w:val="none"/>
              </w:rPr>
              <w:t>在产品存续期内，若某一敲出观察日的观察价格大于等于敲出价格，则当日发生敲出事件，本理财产品将于发生敲出事件的观察日对应的提前</w:t>
            </w:r>
            <w:r>
              <w:rPr>
                <w:rFonts w:hint="eastAsia" w:ascii="仿宋" w:hAnsi="仿宋" w:eastAsia="仿宋" w:cs="微软简仿宋"/>
                <w:sz w:val="22"/>
                <w:highlight w:val="none"/>
                <w:lang w:val="en-US" w:eastAsia="zh-CN"/>
              </w:rPr>
              <w:t>终止</w:t>
            </w:r>
            <w:r>
              <w:rPr>
                <w:rFonts w:hint="eastAsia" w:ascii="仿宋" w:hAnsi="仿宋" w:eastAsia="仿宋" w:cs="微软简仿宋"/>
                <w:sz w:val="22"/>
                <w:highlight w:val="none"/>
              </w:rPr>
              <w:t>日终止。</w:t>
            </w:r>
          </w:p>
        </w:tc>
      </w:tr>
    </w:tbl>
    <w:p>
      <w:pPr>
        <w:widowControl/>
        <w:adjustRightInd w:val="0"/>
        <w:snapToGrid w:val="0"/>
        <w:spacing w:line="276" w:lineRule="auto"/>
        <w:ind w:firstLine="0" w:firstLineChars="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管理人应当自本理财产品成立日起1</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2"/>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2"/>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2"/>
        <w:snapToGrid w:val="0"/>
        <w:spacing w:line="276" w:lineRule="auto"/>
        <w:ind w:firstLine="480" w:firstLineChars="200"/>
        <w:jc w:val="both"/>
        <w:rPr>
          <w:rFonts w:ascii="仿宋" w:hAnsi="仿宋" w:eastAsia="仿宋"/>
        </w:rPr>
      </w:pP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1.0100</w:t>
      </w:r>
      <w:r>
        <w:rPr>
          <w:rFonts w:hint="eastAsia" w:ascii="仿宋" w:hAnsi="仿宋" w:eastAsia="仿宋" w:cs="仿宋"/>
          <w:sz w:val="24"/>
        </w:rPr>
        <w:t>，客户到期获得的金额为：</w:t>
      </w:r>
      <w:r>
        <w:rPr>
          <w:rFonts w:ascii="仿宋" w:hAnsi="仿宋" w:eastAsia="仿宋" w:cs="仿宋"/>
          <w:sz w:val="24"/>
        </w:rPr>
        <w:t>100,000*1.0100=101,000.00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本理财产品所投资的银行存款、货币市场工具等标准化债权类资产、非标准化债权类资产以及资产管理产品等资产。</w:t>
      </w:r>
    </w:p>
    <w:p>
      <w:pPr>
        <w:pStyle w:val="1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2"/>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2"/>
        <w:snapToGrid w:val="0"/>
        <w:spacing w:line="276" w:lineRule="auto"/>
        <w:ind w:firstLine="480" w:firstLineChars="200"/>
        <w:contextualSpacing/>
        <w:rPr>
          <w:rFonts w:ascii="仿宋" w:hAnsi="仿宋" w:eastAsia="仿宋"/>
          <w:color w:val="auto"/>
        </w:rPr>
      </w:pPr>
      <w:r>
        <w:rPr>
          <w:rFonts w:ascii="仿宋" w:hAnsi="仿宋" w:eastAsia="仿宋"/>
          <w:color w:val="auto"/>
        </w:rPr>
        <w:t xml:space="preserve">11. </w:t>
      </w:r>
      <w:r>
        <w:rPr>
          <w:rFonts w:hint="eastAsia" w:ascii="仿宋" w:hAnsi="仿宋" w:eastAsia="仿宋"/>
          <w:color w:val="auto"/>
        </w:rPr>
        <w:t>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2"/>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2"/>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2"/>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2"/>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2"/>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2"/>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2"/>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2"/>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2"/>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2"/>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2"/>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2"/>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2"/>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2"/>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2"/>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仿宋" w:hAnsi="仿宋" w:eastAsia="仿宋" w:cs="宋体"/>
          <w:b/>
          <w:bCs/>
          <w:kern w:val="0"/>
          <w:sz w:val="24"/>
        </w:rPr>
      </w:pPr>
      <w:r>
        <w:rPr>
          <w:rFonts w:ascii="仿宋" w:hAnsi="仿宋" w:eastAsia="仿宋" w:cs="宋体"/>
          <w:b/>
          <w:bCs/>
          <w:kern w:val="0"/>
          <w:sz w:val="24"/>
        </w:rPr>
        <w:t>在本</w:t>
      </w:r>
      <w:r>
        <w:rPr>
          <w:rFonts w:hint="eastAsia" w:ascii="仿宋" w:hAnsi="仿宋" w:eastAsia="仿宋" w:cs="宋体"/>
          <w:b/>
          <w:bCs/>
          <w:kern w:val="0"/>
          <w:sz w:val="24"/>
        </w:rPr>
        <w:t>理财</w:t>
      </w:r>
      <w:r>
        <w:rPr>
          <w:rFonts w:ascii="仿宋" w:hAnsi="仿宋" w:eastAsia="仿宋" w:cs="宋体"/>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仿宋" w:hAnsi="仿宋" w:eastAsia="仿宋" w:cs="宋体"/>
          <w:b/>
          <w:bCs/>
          <w:kern w:val="0"/>
          <w:sz w:val="24"/>
        </w:rPr>
        <w:t>华夏理财有限责任公司官方网站（www.hxwm.com.cn）、</w:t>
      </w:r>
      <w:r>
        <w:rPr>
          <w:rFonts w:ascii="仿宋" w:hAnsi="仿宋" w:eastAsia="仿宋" w:cs="宋体"/>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2"/>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日期：     年     月    日</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简仿宋">
    <w:altName w:val="仿宋"/>
    <w:panose1 w:val="00000000000000000000"/>
    <w:charset w:val="86"/>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F33"/>
    <w:rsid w:val="00033110"/>
    <w:rsid w:val="0003409D"/>
    <w:rsid w:val="000431D6"/>
    <w:rsid w:val="00056226"/>
    <w:rsid w:val="00063AA0"/>
    <w:rsid w:val="00066824"/>
    <w:rsid w:val="00080678"/>
    <w:rsid w:val="0008310E"/>
    <w:rsid w:val="00096678"/>
    <w:rsid w:val="000A088E"/>
    <w:rsid w:val="000A6ED7"/>
    <w:rsid w:val="000B0F79"/>
    <w:rsid w:val="000C03A9"/>
    <w:rsid w:val="000C784C"/>
    <w:rsid w:val="000D02FE"/>
    <w:rsid w:val="000D0355"/>
    <w:rsid w:val="000D7581"/>
    <w:rsid w:val="000F06E2"/>
    <w:rsid w:val="000F0814"/>
    <w:rsid w:val="000F42B8"/>
    <w:rsid w:val="00103712"/>
    <w:rsid w:val="00112345"/>
    <w:rsid w:val="0012371E"/>
    <w:rsid w:val="0013018C"/>
    <w:rsid w:val="00133FA8"/>
    <w:rsid w:val="0013677C"/>
    <w:rsid w:val="0016435C"/>
    <w:rsid w:val="00165B63"/>
    <w:rsid w:val="0017498E"/>
    <w:rsid w:val="0017523A"/>
    <w:rsid w:val="00186079"/>
    <w:rsid w:val="00190BB4"/>
    <w:rsid w:val="0019200F"/>
    <w:rsid w:val="001D2415"/>
    <w:rsid w:val="001E1606"/>
    <w:rsid w:val="001E3E69"/>
    <w:rsid w:val="001E41AD"/>
    <w:rsid w:val="001F7D2D"/>
    <w:rsid w:val="00215C06"/>
    <w:rsid w:val="00216AB4"/>
    <w:rsid w:val="002318DF"/>
    <w:rsid w:val="00244A8F"/>
    <w:rsid w:val="002553C2"/>
    <w:rsid w:val="00257913"/>
    <w:rsid w:val="00257999"/>
    <w:rsid w:val="00262B55"/>
    <w:rsid w:val="00280398"/>
    <w:rsid w:val="00282182"/>
    <w:rsid w:val="002960B6"/>
    <w:rsid w:val="002A05D2"/>
    <w:rsid w:val="002A2ED1"/>
    <w:rsid w:val="002B2BDD"/>
    <w:rsid w:val="002C4249"/>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3362"/>
    <w:rsid w:val="003D7791"/>
    <w:rsid w:val="003F0CFC"/>
    <w:rsid w:val="00400CDC"/>
    <w:rsid w:val="004128C5"/>
    <w:rsid w:val="00420E68"/>
    <w:rsid w:val="00432CD8"/>
    <w:rsid w:val="00443D10"/>
    <w:rsid w:val="00460001"/>
    <w:rsid w:val="00463DC3"/>
    <w:rsid w:val="00482583"/>
    <w:rsid w:val="0048600F"/>
    <w:rsid w:val="00493909"/>
    <w:rsid w:val="004A2CEA"/>
    <w:rsid w:val="004B2316"/>
    <w:rsid w:val="004B3C7D"/>
    <w:rsid w:val="004C7E7D"/>
    <w:rsid w:val="004D72E5"/>
    <w:rsid w:val="004E4564"/>
    <w:rsid w:val="004E46BF"/>
    <w:rsid w:val="004E7458"/>
    <w:rsid w:val="004F0BBE"/>
    <w:rsid w:val="004F3054"/>
    <w:rsid w:val="00511A6C"/>
    <w:rsid w:val="00511F92"/>
    <w:rsid w:val="0051737C"/>
    <w:rsid w:val="00520E98"/>
    <w:rsid w:val="005228EC"/>
    <w:rsid w:val="0053489D"/>
    <w:rsid w:val="00541B21"/>
    <w:rsid w:val="005622E8"/>
    <w:rsid w:val="0058195A"/>
    <w:rsid w:val="00587F99"/>
    <w:rsid w:val="005902F0"/>
    <w:rsid w:val="0059687C"/>
    <w:rsid w:val="005A1AD3"/>
    <w:rsid w:val="005B0C42"/>
    <w:rsid w:val="005B5A4F"/>
    <w:rsid w:val="005B7070"/>
    <w:rsid w:val="005B7E09"/>
    <w:rsid w:val="005D1B39"/>
    <w:rsid w:val="005D5825"/>
    <w:rsid w:val="005E041A"/>
    <w:rsid w:val="005E0594"/>
    <w:rsid w:val="005E4F8D"/>
    <w:rsid w:val="005E772E"/>
    <w:rsid w:val="006030F8"/>
    <w:rsid w:val="00603823"/>
    <w:rsid w:val="006120F9"/>
    <w:rsid w:val="006144F1"/>
    <w:rsid w:val="00623292"/>
    <w:rsid w:val="006309B4"/>
    <w:rsid w:val="0064430D"/>
    <w:rsid w:val="0066001D"/>
    <w:rsid w:val="006609EB"/>
    <w:rsid w:val="00661DAE"/>
    <w:rsid w:val="00664F8D"/>
    <w:rsid w:val="00665902"/>
    <w:rsid w:val="00665BDD"/>
    <w:rsid w:val="006714E1"/>
    <w:rsid w:val="00697279"/>
    <w:rsid w:val="006A3BD2"/>
    <w:rsid w:val="006B7A12"/>
    <w:rsid w:val="006C3AB4"/>
    <w:rsid w:val="006C40DB"/>
    <w:rsid w:val="006D1929"/>
    <w:rsid w:val="006D5CC0"/>
    <w:rsid w:val="006D61F9"/>
    <w:rsid w:val="006E465C"/>
    <w:rsid w:val="006E5108"/>
    <w:rsid w:val="006F108E"/>
    <w:rsid w:val="0070057F"/>
    <w:rsid w:val="00712D65"/>
    <w:rsid w:val="00714FA0"/>
    <w:rsid w:val="00734FCC"/>
    <w:rsid w:val="0075453D"/>
    <w:rsid w:val="00755C63"/>
    <w:rsid w:val="00757C4D"/>
    <w:rsid w:val="007660D1"/>
    <w:rsid w:val="0077151B"/>
    <w:rsid w:val="0078428F"/>
    <w:rsid w:val="007930D6"/>
    <w:rsid w:val="00794BCC"/>
    <w:rsid w:val="007A237D"/>
    <w:rsid w:val="007A782E"/>
    <w:rsid w:val="007B16C0"/>
    <w:rsid w:val="007D7E45"/>
    <w:rsid w:val="007E69F8"/>
    <w:rsid w:val="007F34D2"/>
    <w:rsid w:val="007F5C98"/>
    <w:rsid w:val="008111D2"/>
    <w:rsid w:val="00813D80"/>
    <w:rsid w:val="008207C1"/>
    <w:rsid w:val="008218B0"/>
    <w:rsid w:val="00826EBE"/>
    <w:rsid w:val="00827E04"/>
    <w:rsid w:val="00832FBF"/>
    <w:rsid w:val="00836DCD"/>
    <w:rsid w:val="0084396D"/>
    <w:rsid w:val="00846542"/>
    <w:rsid w:val="00852297"/>
    <w:rsid w:val="00853BBD"/>
    <w:rsid w:val="0087356D"/>
    <w:rsid w:val="00875B22"/>
    <w:rsid w:val="00881449"/>
    <w:rsid w:val="00881AFC"/>
    <w:rsid w:val="00891BE8"/>
    <w:rsid w:val="008A758D"/>
    <w:rsid w:val="008C587B"/>
    <w:rsid w:val="008C5F1D"/>
    <w:rsid w:val="008C7FC7"/>
    <w:rsid w:val="008D32C9"/>
    <w:rsid w:val="008D4672"/>
    <w:rsid w:val="008E0E7F"/>
    <w:rsid w:val="008E7C57"/>
    <w:rsid w:val="00904F66"/>
    <w:rsid w:val="0091544A"/>
    <w:rsid w:val="0092398B"/>
    <w:rsid w:val="009266ED"/>
    <w:rsid w:val="00926B88"/>
    <w:rsid w:val="00940AE1"/>
    <w:rsid w:val="00950B58"/>
    <w:rsid w:val="0096591A"/>
    <w:rsid w:val="009707BD"/>
    <w:rsid w:val="009767AD"/>
    <w:rsid w:val="00991585"/>
    <w:rsid w:val="0099257B"/>
    <w:rsid w:val="009A1572"/>
    <w:rsid w:val="009B40CA"/>
    <w:rsid w:val="009B5749"/>
    <w:rsid w:val="009B654D"/>
    <w:rsid w:val="009C25C2"/>
    <w:rsid w:val="009E64E1"/>
    <w:rsid w:val="009F3291"/>
    <w:rsid w:val="00A10AA6"/>
    <w:rsid w:val="00A148B3"/>
    <w:rsid w:val="00A23D14"/>
    <w:rsid w:val="00A34BAB"/>
    <w:rsid w:val="00A40B5C"/>
    <w:rsid w:val="00A55BA0"/>
    <w:rsid w:val="00A762A9"/>
    <w:rsid w:val="00AA20BC"/>
    <w:rsid w:val="00AB6C5C"/>
    <w:rsid w:val="00AC051A"/>
    <w:rsid w:val="00AC0C84"/>
    <w:rsid w:val="00AC28C2"/>
    <w:rsid w:val="00AC30B7"/>
    <w:rsid w:val="00AD1A8E"/>
    <w:rsid w:val="00AD5773"/>
    <w:rsid w:val="00AE3F67"/>
    <w:rsid w:val="00AE55A6"/>
    <w:rsid w:val="00AF0D6A"/>
    <w:rsid w:val="00AF2148"/>
    <w:rsid w:val="00AF4114"/>
    <w:rsid w:val="00AF79D6"/>
    <w:rsid w:val="00B017EB"/>
    <w:rsid w:val="00B12B80"/>
    <w:rsid w:val="00B13FB3"/>
    <w:rsid w:val="00B15AEA"/>
    <w:rsid w:val="00B21D3B"/>
    <w:rsid w:val="00B25021"/>
    <w:rsid w:val="00B2549A"/>
    <w:rsid w:val="00B26E45"/>
    <w:rsid w:val="00B302D6"/>
    <w:rsid w:val="00B33142"/>
    <w:rsid w:val="00B34C10"/>
    <w:rsid w:val="00B37587"/>
    <w:rsid w:val="00B64A10"/>
    <w:rsid w:val="00B7068C"/>
    <w:rsid w:val="00B75E52"/>
    <w:rsid w:val="00B835AA"/>
    <w:rsid w:val="00B86087"/>
    <w:rsid w:val="00B90CDB"/>
    <w:rsid w:val="00B960A6"/>
    <w:rsid w:val="00B97A5C"/>
    <w:rsid w:val="00BC7FC9"/>
    <w:rsid w:val="00BE486A"/>
    <w:rsid w:val="00C07B9F"/>
    <w:rsid w:val="00C2501F"/>
    <w:rsid w:val="00C26621"/>
    <w:rsid w:val="00C34AF2"/>
    <w:rsid w:val="00C34C70"/>
    <w:rsid w:val="00C461D7"/>
    <w:rsid w:val="00C7590C"/>
    <w:rsid w:val="00C8002D"/>
    <w:rsid w:val="00CA6243"/>
    <w:rsid w:val="00CB07A0"/>
    <w:rsid w:val="00CB300C"/>
    <w:rsid w:val="00CC6613"/>
    <w:rsid w:val="00CD1AC8"/>
    <w:rsid w:val="00CD75FB"/>
    <w:rsid w:val="00CE795C"/>
    <w:rsid w:val="00CF453E"/>
    <w:rsid w:val="00CF4EE5"/>
    <w:rsid w:val="00D03E60"/>
    <w:rsid w:val="00D06EC1"/>
    <w:rsid w:val="00D07C3B"/>
    <w:rsid w:val="00D10CA5"/>
    <w:rsid w:val="00D20E48"/>
    <w:rsid w:val="00D224A0"/>
    <w:rsid w:val="00D54E89"/>
    <w:rsid w:val="00D62515"/>
    <w:rsid w:val="00D62EAE"/>
    <w:rsid w:val="00D633D2"/>
    <w:rsid w:val="00D64CD6"/>
    <w:rsid w:val="00D67797"/>
    <w:rsid w:val="00D7194A"/>
    <w:rsid w:val="00D74E35"/>
    <w:rsid w:val="00D81EE7"/>
    <w:rsid w:val="00D842DC"/>
    <w:rsid w:val="00D92F2F"/>
    <w:rsid w:val="00D96806"/>
    <w:rsid w:val="00DA1051"/>
    <w:rsid w:val="00DB3201"/>
    <w:rsid w:val="00DB6A3F"/>
    <w:rsid w:val="00DC5F87"/>
    <w:rsid w:val="00DE1803"/>
    <w:rsid w:val="00DE30BD"/>
    <w:rsid w:val="00DE7DB8"/>
    <w:rsid w:val="00DF01F0"/>
    <w:rsid w:val="00E01C5E"/>
    <w:rsid w:val="00E02F1C"/>
    <w:rsid w:val="00E064E3"/>
    <w:rsid w:val="00E254D4"/>
    <w:rsid w:val="00E32C0D"/>
    <w:rsid w:val="00E51A3D"/>
    <w:rsid w:val="00E52D92"/>
    <w:rsid w:val="00E53D13"/>
    <w:rsid w:val="00E62046"/>
    <w:rsid w:val="00E65F0B"/>
    <w:rsid w:val="00E8067C"/>
    <w:rsid w:val="00E844E1"/>
    <w:rsid w:val="00E86945"/>
    <w:rsid w:val="00E91719"/>
    <w:rsid w:val="00E93A95"/>
    <w:rsid w:val="00E97A4D"/>
    <w:rsid w:val="00EA4EFE"/>
    <w:rsid w:val="00EC1941"/>
    <w:rsid w:val="00ED51B9"/>
    <w:rsid w:val="00ED5CA8"/>
    <w:rsid w:val="00EE0EFC"/>
    <w:rsid w:val="00EE2805"/>
    <w:rsid w:val="00EE4B28"/>
    <w:rsid w:val="00EE5ED9"/>
    <w:rsid w:val="00F02D76"/>
    <w:rsid w:val="00F045C3"/>
    <w:rsid w:val="00F05127"/>
    <w:rsid w:val="00F208BA"/>
    <w:rsid w:val="00F4469A"/>
    <w:rsid w:val="00F512E9"/>
    <w:rsid w:val="00F54606"/>
    <w:rsid w:val="00F67A6A"/>
    <w:rsid w:val="00F67A9C"/>
    <w:rsid w:val="00F72DB1"/>
    <w:rsid w:val="00F77DC9"/>
    <w:rsid w:val="00F82368"/>
    <w:rsid w:val="00FA70D5"/>
    <w:rsid w:val="00FB10EC"/>
    <w:rsid w:val="00FB60EA"/>
    <w:rsid w:val="00FC0983"/>
    <w:rsid w:val="00FC21F8"/>
    <w:rsid w:val="00FC5119"/>
    <w:rsid w:val="00FC6689"/>
    <w:rsid w:val="00FC72F2"/>
    <w:rsid w:val="00FF1A4F"/>
    <w:rsid w:val="00FF5911"/>
    <w:rsid w:val="015E11C2"/>
    <w:rsid w:val="020F48EF"/>
    <w:rsid w:val="02417756"/>
    <w:rsid w:val="02E40AD0"/>
    <w:rsid w:val="02F3137F"/>
    <w:rsid w:val="033A4D39"/>
    <w:rsid w:val="034644C7"/>
    <w:rsid w:val="03640214"/>
    <w:rsid w:val="04196F12"/>
    <w:rsid w:val="043F49B6"/>
    <w:rsid w:val="04435A9E"/>
    <w:rsid w:val="04950991"/>
    <w:rsid w:val="054B7EFA"/>
    <w:rsid w:val="05831998"/>
    <w:rsid w:val="060A409E"/>
    <w:rsid w:val="0610015A"/>
    <w:rsid w:val="06331B3C"/>
    <w:rsid w:val="066C6455"/>
    <w:rsid w:val="06930C07"/>
    <w:rsid w:val="072859C3"/>
    <w:rsid w:val="07853686"/>
    <w:rsid w:val="079A3378"/>
    <w:rsid w:val="07B45D81"/>
    <w:rsid w:val="07C26F1E"/>
    <w:rsid w:val="07C52B3D"/>
    <w:rsid w:val="07D6576F"/>
    <w:rsid w:val="07F1682B"/>
    <w:rsid w:val="08064FC2"/>
    <w:rsid w:val="080D6F41"/>
    <w:rsid w:val="089F7108"/>
    <w:rsid w:val="08A87A0E"/>
    <w:rsid w:val="08D300AE"/>
    <w:rsid w:val="09277EEB"/>
    <w:rsid w:val="096506FA"/>
    <w:rsid w:val="097A44F4"/>
    <w:rsid w:val="09B80512"/>
    <w:rsid w:val="09EF471A"/>
    <w:rsid w:val="0A01440A"/>
    <w:rsid w:val="0A513B0D"/>
    <w:rsid w:val="0A5478A3"/>
    <w:rsid w:val="0BBA6801"/>
    <w:rsid w:val="0C480432"/>
    <w:rsid w:val="0CF0675C"/>
    <w:rsid w:val="0D037CFA"/>
    <w:rsid w:val="0D0A4803"/>
    <w:rsid w:val="0D3600BA"/>
    <w:rsid w:val="0DD32259"/>
    <w:rsid w:val="0E143946"/>
    <w:rsid w:val="0E73282A"/>
    <w:rsid w:val="0EF43DB9"/>
    <w:rsid w:val="0F850895"/>
    <w:rsid w:val="102F133E"/>
    <w:rsid w:val="10886C53"/>
    <w:rsid w:val="1091535F"/>
    <w:rsid w:val="10987645"/>
    <w:rsid w:val="10AC5A06"/>
    <w:rsid w:val="10B272CB"/>
    <w:rsid w:val="10ED247D"/>
    <w:rsid w:val="110764BF"/>
    <w:rsid w:val="113A6DA1"/>
    <w:rsid w:val="114758B1"/>
    <w:rsid w:val="114E3B0B"/>
    <w:rsid w:val="11585397"/>
    <w:rsid w:val="11921C3C"/>
    <w:rsid w:val="119A5652"/>
    <w:rsid w:val="11BA7B51"/>
    <w:rsid w:val="120F1E2C"/>
    <w:rsid w:val="12540566"/>
    <w:rsid w:val="12946645"/>
    <w:rsid w:val="12D3200B"/>
    <w:rsid w:val="13495D69"/>
    <w:rsid w:val="13B7767A"/>
    <w:rsid w:val="13B9670D"/>
    <w:rsid w:val="13DE4767"/>
    <w:rsid w:val="14210EAC"/>
    <w:rsid w:val="14484DCB"/>
    <w:rsid w:val="14852776"/>
    <w:rsid w:val="15045F3F"/>
    <w:rsid w:val="15140BCE"/>
    <w:rsid w:val="153C01B0"/>
    <w:rsid w:val="1584793E"/>
    <w:rsid w:val="15874EAA"/>
    <w:rsid w:val="15C47445"/>
    <w:rsid w:val="15DF45C9"/>
    <w:rsid w:val="15E41B70"/>
    <w:rsid w:val="162E0DFB"/>
    <w:rsid w:val="16440A35"/>
    <w:rsid w:val="16577530"/>
    <w:rsid w:val="167255CF"/>
    <w:rsid w:val="16840173"/>
    <w:rsid w:val="16C50010"/>
    <w:rsid w:val="16FB6F37"/>
    <w:rsid w:val="170D06E0"/>
    <w:rsid w:val="17825A05"/>
    <w:rsid w:val="17D31FDC"/>
    <w:rsid w:val="17D76C2B"/>
    <w:rsid w:val="17F8769D"/>
    <w:rsid w:val="18041AB4"/>
    <w:rsid w:val="1812072F"/>
    <w:rsid w:val="189F7450"/>
    <w:rsid w:val="190F268E"/>
    <w:rsid w:val="19287585"/>
    <w:rsid w:val="19610BFF"/>
    <w:rsid w:val="19953307"/>
    <w:rsid w:val="19A07D04"/>
    <w:rsid w:val="1A2C6A6A"/>
    <w:rsid w:val="1AB13D5A"/>
    <w:rsid w:val="1B045D62"/>
    <w:rsid w:val="1B0B4DC6"/>
    <w:rsid w:val="1B2C6F2C"/>
    <w:rsid w:val="1B5D5F33"/>
    <w:rsid w:val="1BA24967"/>
    <w:rsid w:val="1BAF6A57"/>
    <w:rsid w:val="1BB65B86"/>
    <w:rsid w:val="1BCE4D1B"/>
    <w:rsid w:val="1BCE5D96"/>
    <w:rsid w:val="1BDE2098"/>
    <w:rsid w:val="1BE069CA"/>
    <w:rsid w:val="1C465E86"/>
    <w:rsid w:val="1C726314"/>
    <w:rsid w:val="1C8B0511"/>
    <w:rsid w:val="1CE252F3"/>
    <w:rsid w:val="1D104FDC"/>
    <w:rsid w:val="1D117096"/>
    <w:rsid w:val="1D4E59B7"/>
    <w:rsid w:val="1DE516B8"/>
    <w:rsid w:val="1E047274"/>
    <w:rsid w:val="1E34141D"/>
    <w:rsid w:val="1E433C85"/>
    <w:rsid w:val="1E890F40"/>
    <w:rsid w:val="1ED877DF"/>
    <w:rsid w:val="1F0B3DFE"/>
    <w:rsid w:val="1F5522A7"/>
    <w:rsid w:val="1FD45CE1"/>
    <w:rsid w:val="1FF41399"/>
    <w:rsid w:val="201E5567"/>
    <w:rsid w:val="208F37FB"/>
    <w:rsid w:val="21231293"/>
    <w:rsid w:val="21433609"/>
    <w:rsid w:val="214D162F"/>
    <w:rsid w:val="22042471"/>
    <w:rsid w:val="22171129"/>
    <w:rsid w:val="222D0D62"/>
    <w:rsid w:val="22551E62"/>
    <w:rsid w:val="227D729C"/>
    <w:rsid w:val="2350568B"/>
    <w:rsid w:val="237F35E5"/>
    <w:rsid w:val="2395583D"/>
    <w:rsid w:val="23A50D24"/>
    <w:rsid w:val="23E44373"/>
    <w:rsid w:val="242806AA"/>
    <w:rsid w:val="24392A65"/>
    <w:rsid w:val="24526424"/>
    <w:rsid w:val="2467066D"/>
    <w:rsid w:val="24E91956"/>
    <w:rsid w:val="252E26F1"/>
    <w:rsid w:val="25324AF8"/>
    <w:rsid w:val="25C3267A"/>
    <w:rsid w:val="25D568B4"/>
    <w:rsid w:val="25F33B9E"/>
    <w:rsid w:val="260C731E"/>
    <w:rsid w:val="26103F21"/>
    <w:rsid w:val="26ED1684"/>
    <w:rsid w:val="27C604DA"/>
    <w:rsid w:val="27EA63D1"/>
    <w:rsid w:val="287A5D0E"/>
    <w:rsid w:val="28B05EE9"/>
    <w:rsid w:val="28D30187"/>
    <w:rsid w:val="28E571A8"/>
    <w:rsid w:val="294C4E21"/>
    <w:rsid w:val="295264D7"/>
    <w:rsid w:val="296D4B02"/>
    <w:rsid w:val="2A103412"/>
    <w:rsid w:val="2A1E1418"/>
    <w:rsid w:val="2A770C99"/>
    <w:rsid w:val="2B2942A8"/>
    <w:rsid w:val="2BBB2833"/>
    <w:rsid w:val="2BC42334"/>
    <w:rsid w:val="2C1011CD"/>
    <w:rsid w:val="2C40390A"/>
    <w:rsid w:val="2C4C703B"/>
    <w:rsid w:val="2CF2314A"/>
    <w:rsid w:val="2D241337"/>
    <w:rsid w:val="2D753D30"/>
    <w:rsid w:val="2DC02129"/>
    <w:rsid w:val="2E010168"/>
    <w:rsid w:val="2E6A7D66"/>
    <w:rsid w:val="2EA605F1"/>
    <w:rsid w:val="2EA972CC"/>
    <w:rsid w:val="2EC31B75"/>
    <w:rsid w:val="2FE72027"/>
    <w:rsid w:val="306A1371"/>
    <w:rsid w:val="30710BD3"/>
    <w:rsid w:val="30B67831"/>
    <w:rsid w:val="3127549C"/>
    <w:rsid w:val="31533557"/>
    <w:rsid w:val="31B41A9A"/>
    <w:rsid w:val="31C74937"/>
    <w:rsid w:val="31F02E84"/>
    <w:rsid w:val="32062205"/>
    <w:rsid w:val="322068C9"/>
    <w:rsid w:val="326170B4"/>
    <w:rsid w:val="328F3B54"/>
    <w:rsid w:val="32990441"/>
    <w:rsid w:val="329A11A0"/>
    <w:rsid w:val="32FF7EB7"/>
    <w:rsid w:val="33424079"/>
    <w:rsid w:val="34126396"/>
    <w:rsid w:val="34237F31"/>
    <w:rsid w:val="345E593B"/>
    <w:rsid w:val="34605A84"/>
    <w:rsid w:val="346C230B"/>
    <w:rsid w:val="34746F38"/>
    <w:rsid w:val="35034F52"/>
    <w:rsid w:val="352C602C"/>
    <w:rsid w:val="35B16527"/>
    <w:rsid w:val="36774E48"/>
    <w:rsid w:val="36B76A85"/>
    <w:rsid w:val="36B82ADE"/>
    <w:rsid w:val="37174190"/>
    <w:rsid w:val="376879F0"/>
    <w:rsid w:val="378F057D"/>
    <w:rsid w:val="37EC4B4C"/>
    <w:rsid w:val="383529C2"/>
    <w:rsid w:val="387B665C"/>
    <w:rsid w:val="39690814"/>
    <w:rsid w:val="39B76C90"/>
    <w:rsid w:val="39C37A55"/>
    <w:rsid w:val="39C53B44"/>
    <w:rsid w:val="39EF39C3"/>
    <w:rsid w:val="3A021304"/>
    <w:rsid w:val="3A23092B"/>
    <w:rsid w:val="3A35598B"/>
    <w:rsid w:val="3A595F4B"/>
    <w:rsid w:val="3A9D0C11"/>
    <w:rsid w:val="3AE57AB9"/>
    <w:rsid w:val="3B4C73CF"/>
    <w:rsid w:val="3B686E02"/>
    <w:rsid w:val="3BC55932"/>
    <w:rsid w:val="3C7826C2"/>
    <w:rsid w:val="3C8F2051"/>
    <w:rsid w:val="3CD87A38"/>
    <w:rsid w:val="3D83215E"/>
    <w:rsid w:val="3DF76443"/>
    <w:rsid w:val="3DFF3A1A"/>
    <w:rsid w:val="3E3E1ED9"/>
    <w:rsid w:val="3E5C5013"/>
    <w:rsid w:val="3EA946F7"/>
    <w:rsid w:val="3ED4630A"/>
    <w:rsid w:val="3ED615CF"/>
    <w:rsid w:val="3EEC674A"/>
    <w:rsid w:val="3F8907F6"/>
    <w:rsid w:val="3F8B7D7F"/>
    <w:rsid w:val="3FDA33E1"/>
    <w:rsid w:val="3FF20B0E"/>
    <w:rsid w:val="40670EF7"/>
    <w:rsid w:val="40682937"/>
    <w:rsid w:val="40974D22"/>
    <w:rsid w:val="40AB1A12"/>
    <w:rsid w:val="40D52066"/>
    <w:rsid w:val="41012626"/>
    <w:rsid w:val="415249F8"/>
    <w:rsid w:val="417575F2"/>
    <w:rsid w:val="41BD7655"/>
    <w:rsid w:val="41CC7DB7"/>
    <w:rsid w:val="42CD30A6"/>
    <w:rsid w:val="42F60353"/>
    <w:rsid w:val="438556A7"/>
    <w:rsid w:val="43A6228A"/>
    <w:rsid w:val="449B7167"/>
    <w:rsid w:val="44CC2C77"/>
    <w:rsid w:val="4524487F"/>
    <w:rsid w:val="454724B5"/>
    <w:rsid w:val="45CC078F"/>
    <w:rsid w:val="466B6F06"/>
    <w:rsid w:val="46860155"/>
    <w:rsid w:val="46E93EA5"/>
    <w:rsid w:val="476049FD"/>
    <w:rsid w:val="47802A85"/>
    <w:rsid w:val="47E65D23"/>
    <w:rsid w:val="47F6480D"/>
    <w:rsid w:val="4801691C"/>
    <w:rsid w:val="483003A5"/>
    <w:rsid w:val="487C60FD"/>
    <w:rsid w:val="489E098C"/>
    <w:rsid w:val="48B61CC6"/>
    <w:rsid w:val="48E87129"/>
    <w:rsid w:val="492A5B50"/>
    <w:rsid w:val="49321AAF"/>
    <w:rsid w:val="493A681C"/>
    <w:rsid w:val="493C2E02"/>
    <w:rsid w:val="494D579F"/>
    <w:rsid w:val="498C1FB1"/>
    <w:rsid w:val="49E64E4D"/>
    <w:rsid w:val="4A255416"/>
    <w:rsid w:val="4A295537"/>
    <w:rsid w:val="4A937164"/>
    <w:rsid w:val="4A9750EA"/>
    <w:rsid w:val="4AA40703"/>
    <w:rsid w:val="4B1D70C8"/>
    <w:rsid w:val="4B3B3C54"/>
    <w:rsid w:val="4B690413"/>
    <w:rsid w:val="4BB86F47"/>
    <w:rsid w:val="4BF60566"/>
    <w:rsid w:val="4C263A21"/>
    <w:rsid w:val="4C973694"/>
    <w:rsid w:val="4CCE54E6"/>
    <w:rsid w:val="4D5D4C67"/>
    <w:rsid w:val="4E481B7F"/>
    <w:rsid w:val="4ECD4D2C"/>
    <w:rsid w:val="4EDD4EDE"/>
    <w:rsid w:val="4EE45C33"/>
    <w:rsid w:val="4EED4C04"/>
    <w:rsid w:val="4F323CFA"/>
    <w:rsid w:val="4F8F4B84"/>
    <w:rsid w:val="4FC031BD"/>
    <w:rsid w:val="500C5A60"/>
    <w:rsid w:val="501E233E"/>
    <w:rsid w:val="502B3F12"/>
    <w:rsid w:val="50461117"/>
    <w:rsid w:val="509A5F14"/>
    <w:rsid w:val="515442E6"/>
    <w:rsid w:val="51954E8A"/>
    <w:rsid w:val="519B5496"/>
    <w:rsid w:val="52667895"/>
    <w:rsid w:val="52B20439"/>
    <w:rsid w:val="53140A76"/>
    <w:rsid w:val="5337488A"/>
    <w:rsid w:val="53735224"/>
    <w:rsid w:val="537D24F6"/>
    <w:rsid w:val="543C05E0"/>
    <w:rsid w:val="54B9651A"/>
    <w:rsid w:val="54F9389F"/>
    <w:rsid w:val="55222910"/>
    <w:rsid w:val="554925AA"/>
    <w:rsid w:val="55643FAD"/>
    <w:rsid w:val="559032FC"/>
    <w:rsid w:val="55EF2193"/>
    <w:rsid w:val="560165A7"/>
    <w:rsid w:val="56054FAD"/>
    <w:rsid w:val="560B3FD6"/>
    <w:rsid w:val="56195379"/>
    <w:rsid w:val="563121A3"/>
    <w:rsid w:val="563A5292"/>
    <w:rsid w:val="5646747A"/>
    <w:rsid w:val="567B0F8C"/>
    <w:rsid w:val="56CD2B10"/>
    <w:rsid w:val="56D476A1"/>
    <w:rsid w:val="574328BF"/>
    <w:rsid w:val="584667E1"/>
    <w:rsid w:val="5884596F"/>
    <w:rsid w:val="58E1781D"/>
    <w:rsid w:val="598336AE"/>
    <w:rsid w:val="599B3F0F"/>
    <w:rsid w:val="59A2047A"/>
    <w:rsid w:val="5A3E4ACF"/>
    <w:rsid w:val="5A41650D"/>
    <w:rsid w:val="5A7852B1"/>
    <w:rsid w:val="5AA97C90"/>
    <w:rsid w:val="5AD858CE"/>
    <w:rsid w:val="5AE4319D"/>
    <w:rsid w:val="5C7E5C8C"/>
    <w:rsid w:val="5CE90207"/>
    <w:rsid w:val="5CFD0A1E"/>
    <w:rsid w:val="5D875E55"/>
    <w:rsid w:val="5DB239C4"/>
    <w:rsid w:val="5E3B759B"/>
    <w:rsid w:val="5E501568"/>
    <w:rsid w:val="5E50611E"/>
    <w:rsid w:val="5E544DB8"/>
    <w:rsid w:val="5EB138AE"/>
    <w:rsid w:val="5EB53035"/>
    <w:rsid w:val="5ED23CC7"/>
    <w:rsid w:val="5EDC1578"/>
    <w:rsid w:val="5EE6353D"/>
    <w:rsid w:val="5F0310B7"/>
    <w:rsid w:val="5F0C287E"/>
    <w:rsid w:val="5F1655AE"/>
    <w:rsid w:val="5F5952B0"/>
    <w:rsid w:val="5F625BA3"/>
    <w:rsid w:val="602423E1"/>
    <w:rsid w:val="602E28A2"/>
    <w:rsid w:val="603E2C23"/>
    <w:rsid w:val="60C0423D"/>
    <w:rsid w:val="60E7450D"/>
    <w:rsid w:val="614E7A33"/>
    <w:rsid w:val="6166406C"/>
    <w:rsid w:val="618F3AF2"/>
    <w:rsid w:val="61DA68DC"/>
    <w:rsid w:val="622708C6"/>
    <w:rsid w:val="62460A47"/>
    <w:rsid w:val="627931BD"/>
    <w:rsid w:val="63554C8E"/>
    <w:rsid w:val="63890B77"/>
    <w:rsid w:val="63970830"/>
    <w:rsid w:val="639D1EC4"/>
    <w:rsid w:val="63A13700"/>
    <w:rsid w:val="63DA03E2"/>
    <w:rsid w:val="6408585F"/>
    <w:rsid w:val="64541B77"/>
    <w:rsid w:val="64667487"/>
    <w:rsid w:val="64E9282A"/>
    <w:rsid w:val="65C63D9B"/>
    <w:rsid w:val="66103AAA"/>
    <w:rsid w:val="667640C4"/>
    <w:rsid w:val="66DC24A5"/>
    <w:rsid w:val="66DF3B52"/>
    <w:rsid w:val="672963E0"/>
    <w:rsid w:val="675A4556"/>
    <w:rsid w:val="675C47D1"/>
    <w:rsid w:val="675E5725"/>
    <w:rsid w:val="679271B5"/>
    <w:rsid w:val="67940AD6"/>
    <w:rsid w:val="67AE1BA6"/>
    <w:rsid w:val="68191A65"/>
    <w:rsid w:val="682B3B74"/>
    <w:rsid w:val="68F60924"/>
    <w:rsid w:val="692D249D"/>
    <w:rsid w:val="6943423A"/>
    <w:rsid w:val="69572330"/>
    <w:rsid w:val="698C4C9E"/>
    <w:rsid w:val="69E719A0"/>
    <w:rsid w:val="6A557981"/>
    <w:rsid w:val="6A5B0FA5"/>
    <w:rsid w:val="6A983C35"/>
    <w:rsid w:val="6AA26D33"/>
    <w:rsid w:val="6AAC3F8C"/>
    <w:rsid w:val="6AFD414A"/>
    <w:rsid w:val="6B4C2F45"/>
    <w:rsid w:val="6B6E4269"/>
    <w:rsid w:val="6B961612"/>
    <w:rsid w:val="6B966680"/>
    <w:rsid w:val="6C161AD0"/>
    <w:rsid w:val="6D157AE9"/>
    <w:rsid w:val="6D275220"/>
    <w:rsid w:val="6D2E7D50"/>
    <w:rsid w:val="6DD90E21"/>
    <w:rsid w:val="6DE0162F"/>
    <w:rsid w:val="6DFA3383"/>
    <w:rsid w:val="6E1A49C5"/>
    <w:rsid w:val="6E254EA7"/>
    <w:rsid w:val="6E4B2AEB"/>
    <w:rsid w:val="6EBB30B7"/>
    <w:rsid w:val="6F0D185D"/>
    <w:rsid w:val="6F786BDA"/>
    <w:rsid w:val="6F7F6679"/>
    <w:rsid w:val="6FA9351C"/>
    <w:rsid w:val="6FD67088"/>
    <w:rsid w:val="70851CBD"/>
    <w:rsid w:val="709573C6"/>
    <w:rsid w:val="709E2354"/>
    <w:rsid w:val="70E70772"/>
    <w:rsid w:val="71542D7C"/>
    <w:rsid w:val="71900429"/>
    <w:rsid w:val="719027A5"/>
    <w:rsid w:val="71C9496E"/>
    <w:rsid w:val="71EE76F7"/>
    <w:rsid w:val="724E2F94"/>
    <w:rsid w:val="725F0CAE"/>
    <w:rsid w:val="72981180"/>
    <w:rsid w:val="729C09F9"/>
    <w:rsid w:val="72B3756B"/>
    <w:rsid w:val="73001A15"/>
    <w:rsid w:val="73155C46"/>
    <w:rsid w:val="73342D3B"/>
    <w:rsid w:val="7366194C"/>
    <w:rsid w:val="737D3686"/>
    <w:rsid w:val="73E20E2C"/>
    <w:rsid w:val="74062834"/>
    <w:rsid w:val="740D552E"/>
    <w:rsid w:val="74136087"/>
    <w:rsid w:val="7443680B"/>
    <w:rsid w:val="74A805D6"/>
    <w:rsid w:val="74A870B6"/>
    <w:rsid w:val="74C3034F"/>
    <w:rsid w:val="74EC6D1E"/>
    <w:rsid w:val="74FA0674"/>
    <w:rsid w:val="74FA331C"/>
    <w:rsid w:val="754F1383"/>
    <w:rsid w:val="75DC198B"/>
    <w:rsid w:val="762A07F6"/>
    <w:rsid w:val="764A2B58"/>
    <w:rsid w:val="76626A45"/>
    <w:rsid w:val="76661B90"/>
    <w:rsid w:val="77644889"/>
    <w:rsid w:val="77731DCC"/>
    <w:rsid w:val="77B301A9"/>
    <w:rsid w:val="77BE7190"/>
    <w:rsid w:val="77D83AB0"/>
    <w:rsid w:val="77F43C8B"/>
    <w:rsid w:val="77FA47E4"/>
    <w:rsid w:val="78201055"/>
    <w:rsid w:val="78F759E0"/>
    <w:rsid w:val="78FB1E09"/>
    <w:rsid w:val="79802062"/>
    <w:rsid w:val="79BB4445"/>
    <w:rsid w:val="79C14150"/>
    <w:rsid w:val="79CB33E9"/>
    <w:rsid w:val="79CC1086"/>
    <w:rsid w:val="79EF28EF"/>
    <w:rsid w:val="7A0E66B3"/>
    <w:rsid w:val="7A300713"/>
    <w:rsid w:val="7A3B7268"/>
    <w:rsid w:val="7AB968E7"/>
    <w:rsid w:val="7AC65BFC"/>
    <w:rsid w:val="7B0735D8"/>
    <w:rsid w:val="7B0F7EA2"/>
    <w:rsid w:val="7B2F3DDD"/>
    <w:rsid w:val="7B4B41CD"/>
    <w:rsid w:val="7B5A24C6"/>
    <w:rsid w:val="7B6F7E14"/>
    <w:rsid w:val="7C994D54"/>
    <w:rsid w:val="7CDB4C9F"/>
    <w:rsid w:val="7D016D57"/>
    <w:rsid w:val="7D2B624D"/>
    <w:rsid w:val="7D6F00D9"/>
    <w:rsid w:val="7EA630E7"/>
    <w:rsid w:val="7EB61058"/>
    <w:rsid w:val="7ED004CF"/>
    <w:rsid w:val="7F1A0B8A"/>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8">
    <w:name w:val="Default Paragraph Font"/>
    <w:unhideWhenUsed/>
    <w:qFormat/>
    <w:uiPriority w:val="1"/>
  </w:style>
  <w:style w:type="table" w:default="1" w:styleId="10">
    <w:name w:val="Normal Table"/>
    <w:unhideWhenUsed/>
    <w:qFormat/>
    <w:uiPriority w:val="99"/>
    <w:tblPr>
      <w:tblStyle w:val="10"/>
      <w:tblLayout w:type="fixed"/>
      <w:tblCellMar>
        <w:top w:w="0" w:type="dxa"/>
        <w:left w:w="108" w:type="dxa"/>
        <w:bottom w:w="0" w:type="dxa"/>
        <w:right w:w="108" w:type="dxa"/>
      </w:tblCellMar>
    </w:tblPr>
    <w:tcPr>
      <w:textDirection w:val="lrTb"/>
    </w:tcPr>
  </w:style>
  <w:style w:type="paragraph" w:styleId="2">
    <w:name w:val="annotation subject"/>
    <w:basedOn w:val="3"/>
    <w:next w:val="3"/>
    <w:link w:val="15"/>
    <w:qFormat/>
    <w:uiPriority w:val="0"/>
    <w:rPr>
      <w:b/>
      <w:bCs/>
    </w:rPr>
  </w:style>
  <w:style w:type="paragraph" w:styleId="3">
    <w:name w:val="annotation text"/>
    <w:basedOn w:val="1"/>
    <w:link w:val="14"/>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character" w:styleId="9">
    <w:name w:val="annotation reference"/>
    <w:qFormat/>
    <w:uiPriority w:val="0"/>
    <w:rPr>
      <w:sz w:val="21"/>
      <w:szCs w:val="21"/>
    </w:rPr>
  </w:style>
  <w:style w:type="table" w:styleId="11">
    <w:name w:val="Table Grid"/>
    <w:basedOn w:val="10"/>
    <w:unhideWhenUsed/>
    <w:qFormat/>
    <w:uiPriority w:val="0"/>
    <w:pPr>
      <w:widowControl w:val="0"/>
      <w:jc w:val="both"/>
    </w:pPr>
    <w:tblPr>
      <w:tblStyle w:val="10"/>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Revision"/>
    <w:hidden/>
    <w:semiHidden/>
    <w:qFormat/>
    <w:uiPriority w:val="99"/>
    <w:rPr>
      <w:rFonts w:ascii="Times New Roman" w:hAnsi="Times New Roman" w:eastAsia="宋体" w:cs="Times New Roman"/>
      <w:kern w:val="2"/>
      <w:sz w:val="21"/>
      <w:szCs w:val="24"/>
      <w:lang w:val="en-US" w:eastAsia="zh-CN" w:bidi="ar-SA"/>
    </w:rPr>
  </w:style>
  <w:style w:type="character" w:customStyle="1" w:styleId="14">
    <w:name w:val="批注文字 字符"/>
    <w:link w:val="3"/>
    <w:qFormat/>
    <w:uiPriority w:val="0"/>
    <w:rPr>
      <w:kern w:val="2"/>
      <w:sz w:val="21"/>
      <w:szCs w:val="24"/>
    </w:rPr>
  </w:style>
  <w:style w:type="character" w:customStyle="1" w:styleId="15">
    <w:name w:val="批注主题 字符"/>
    <w:link w:val="2"/>
    <w:qFormat/>
    <w:uiPriority w:val="0"/>
    <w:rPr>
      <w:b/>
      <w:bCs/>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华夏银行总行</Company>
  <Pages>16</Pages>
  <Words>15991</Words>
  <Characters>16564</Characters>
  <Lines>116</Lines>
  <Paragraphs>32</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2023-04-14T03:44:00Z</dcterms:created>
  <dc:creator>ylh</dc:creator>
  <cp:keywords>跃盈</cp:keywords>
  <cp:lastModifiedBy>RORO</cp:lastModifiedBy>
  <cp:lastPrinted>2021-07-21T07:06:00Z</cp:lastPrinted>
  <dcterms:modified xsi:type="dcterms:W3CDTF">2023-06-21T06:29:48Z</dcterms:modified>
  <dc:title>华夏理财跃盈封闭式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7FD58229F76F425C97CE679FD6D5D50E</vt:lpwstr>
  </property>
</Properties>
</file>