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华夏理财悦安封闭式理财产品</w:t>
      </w:r>
      <w:r>
        <w:rPr>
          <w:rFonts w:hint="eastAsia" w:eastAsia="黑体"/>
          <w:bCs/>
          <w:sz w:val="36"/>
          <w:szCs w:val="36"/>
          <w:lang w:val="en-US" w:eastAsia="zh-CN"/>
        </w:rPr>
        <w:t>8</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2"/>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8</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A份额简称：“华夏理财悦安封闭式</w:t>
            </w:r>
            <w:r>
              <w:rPr>
                <w:rFonts w:hint="eastAsia" w:ascii="仿宋" w:hAnsi="仿宋" w:eastAsia="仿宋"/>
                <w:b/>
                <w:bCs/>
                <w:szCs w:val="21"/>
                <w:lang w:val="en-US" w:eastAsia="zh-CN"/>
              </w:rPr>
              <w:t>8</w:t>
            </w:r>
            <w:r>
              <w:rPr>
                <w:rFonts w:hint="eastAsia" w:ascii="仿宋" w:hAnsi="仿宋" w:eastAsia="仿宋"/>
                <w:b/>
                <w:bCs/>
                <w:szCs w:val="21"/>
              </w:rPr>
              <w:t>号</w:t>
            </w:r>
            <w:r>
              <w:rPr>
                <w:rFonts w:hint="eastAsia" w:ascii="仿宋" w:hAnsi="仿宋" w:eastAsia="仿宋"/>
                <w:b/>
                <w:bCs/>
                <w:szCs w:val="21"/>
                <w:lang w:val="en-US" w:eastAsia="zh-CN"/>
              </w:rPr>
              <w:t>97</w:t>
            </w:r>
            <w:r>
              <w:rPr>
                <w:rFonts w:hint="eastAsia" w:ascii="仿宋" w:hAnsi="仿宋" w:eastAsia="仿宋"/>
                <w:b/>
                <w:bCs/>
                <w:szCs w:val="21"/>
              </w:rPr>
              <w:t>天A”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23111</w:t>
            </w:r>
            <w:r>
              <w:rPr>
                <w:rFonts w:hint="eastAsia" w:ascii="仿宋" w:hAnsi="仿宋" w:eastAsia="仿宋"/>
                <w:bCs/>
                <w:szCs w:val="21"/>
              </w:rPr>
              <w:t>60</w:t>
            </w:r>
            <w:r>
              <w:rPr>
                <w:rFonts w:hint="eastAsia" w:ascii="仿宋" w:hAnsi="仿宋" w:eastAsia="仿宋"/>
                <w:bCs/>
                <w:szCs w:val="21"/>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highlight w:val="none"/>
              </w:rPr>
              <w:t>A份额代码：</w:t>
            </w:r>
            <w:r>
              <w:rPr>
                <w:rFonts w:ascii="仿宋" w:hAnsi="仿宋" w:eastAsia="仿宋"/>
                <w:bCs/>
                <w:szCs w:val="21"/>
                <w:highlight w:val="none"/>
              </w:rPr>
              <w:t>23111</w:t>
            </w:r>
            <w:r>
              <w:rPr>
                <w:rFonts w:hint="eastAsia" w:ascii="仿宋" w:hAnsi="仿宋" w:eastAsia="仿宋"/>
                <w:bCs/>
                <w:szCs w:val="21"/>
                <w:highlight w:val="none"/>
              </w:rPr>
              <w:t>60</w:t>
            </w:r>
            <w:r>
              <w:rPr>
                <w:rFonts w:hint="eastAsia" w:ascii="仿宋" w:hAnsi="仿宋" w:eastAsia="仿宋"/>
                <w:bCs/>
                <w:szCs w:val="21"/>
                <w:highlight w:val="none"/>
                <w:lang w:val="en-US" w:eastAsia="zh-CN"/>
              </w:rPr>
              <w:t>8</w:t>
            </w:r>
            <w:r>
              <w:rPr>
                <w:rFonts w:hint="eastAsia" w:ascii="仿宋" w:hAnsi="仿宋" w:eastAsia="仿宋"/>
                <w:bCs/>
                <w:szCs w:val="21"/>
                <w:highlight w:val="none"/>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rPr>
              <w:t>5</w:t>
            </w:r>
            <w:r>
              <w:rPr>
                <w:rFonts w:hint="eastAsia" w:ascii="仿宋" w:hAnsi="仿宋" w:eastAsia="仿宋"/>
                <w:bCs/>
                <w:szCs w:val="21"/>
                <w:lang w:val="en-US" w:eastAsia="zh-CN"/>
              </w:rPr>
              <w:t>7</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u w:val="single"/>
              </w:rPr>
              <w:t>CR1（谨慎型）、CR2（稳健型）、CR3（平衡型）、CR4（进取型）、CR5（激进型）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2.80%-</w:t>
            </w:r>
            <w:r>
              <w:rPr>
                <w:rFonts w:hint="eastAsia" w:ascii="仿宋" w:hAnsi="仿宋" w:eastAsia="仿宋" w:cs="Cambria"/>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以产品主要投资于存款类资产为例，参考当前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97</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26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hint="eastAsia" w:ascii="仿宋" w:hAnsi="仿宋" w:eastAsia="仿宋"/>
                <w:bCs/>
                <w:szCs w:val="21"/>
              </w:rPr>
              <w:t>0亿元，</w:t>
            </w:r>
            <w:r>
              <w:rPr>
                <w:rFonts w:ascii="仿宋" w:hAnsi="仿宋" w:eastAsia="仿宋"/>
                <w:bCs/>
                <w:szCs w:val="21"/>
              </w:rPr>
              <w:t>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A份额：销售手续费率为</w:t>
            </w:r>
            <w:r>
              <w:rPr>
                <w:rFonts w:ascii="仿宋" w:hAnsi="仿宋" w:eastAsia="仿宋"/>
                <w:b/>
                <w:bCs/>
                <w:szCs w:val="21"/>
              </w:rPr>
              <w:t>0.10%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F=E×【各份额销售手续费率】/当年天数。F为各份额销售手续费；E为计算基数。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0.05%</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A份额超额管理费计提基准为</w:t>
            </w:r>
            <w:r>
              <w:rPr>
                <w:rFonts w:hint="eastAsia" w:ascii="仿宋" w:hAnsi="仿宋" w:eastAsia="仿宋" w:cs="Cambria"/>
                <w:b/>
                <w:bCs/>
                <w:szCs w:val="21"/>
                <w:lang w:val="en-US" w:eastAsia="zh-CN"/>
              </w:rPr>
              <w:t>3</w:t>
            </w:r>
            <w:r>
              <w:rPr>
                <w:rFonts w:ascii="仿宋" w:hAnsi="仿宋" w:eastAsia="仿宋" w:cs="Cambria"/>
                <w:b/>
                <w:bCs/>
                <w:szCs w:val="21"/>
              </w:rPr>
              <w:t>.</w:t>
            </w:r>
            <w:r>
              <w:rPr>
                <w:rFonts w:hint="eastAsia" w:ascii="仿宋" w:hAnsi="仿宋" w:eastAsia="仿宋" w:cs="Cambria"/>
                <w:b/>
                <w:bCs/>
                <w:szCs w:val="21"/>
                <w:lang w:val="en-US" w:eastAsia="zh-CN"/>
              </w:rPr>
              <w:t>0</w:t>
            </w:r>
            <w:r>
              <w:rPr>
                <w:rFonts w:ascii="仿宋" w:hAnsi="仿宋" w:eastAsia="仿宋" w:cs="Cambria"/>
                <w:b/>
                <w:bCs/>
                <w:szCs w:val="21"/>
              </w:rPr>
              <w:t>0%</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20" w:firstLineChars="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、同业存单等固定收益类资产。</w:t>
      </w: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bookmarkStart w:id="7" w:name="_GoBack"/>
      <w:bookmarkEnd w:id="7"/>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5C1E64"/>
    <w:rsid w:val="04950991"/>
    <w:rsid w:val="054A4FBF"/>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7B5CF3"/>
    <w:rsid w:val="11921C3C"/>
    <w:rsid w:val="119A5652"/>
    <w:rsid w:val="11BA7B51"/>
    <w:rsid w:val="11DC66A3"/>
    <w:rsid w:val="120F1E2C"/>
    <w:rsid w:val="12540566"/>
    <w:rsid w:val="12946645"/>
    <w:rsid w:val="12A0201F"/>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4427B5"/>
    <w:rsid w:val="19610BFF"/>
    <w:rsid w:val="19953307"/>
    <w:rsid w:val="19A07D04"/>
    <w:rsid w:val="19EC565F"/>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7929AE"/>
    <w:rsid w:val="1FD45CE1"/>
    <w:rsid w:val="1FF41399"/>
    <w:rsid w:val="201E5567"/>
    <w:rsid w:val="21433609"/>
    <w:rsid w:val="214D162F"/>
    <w:rsid w:val="21980691"/>
    <w:rsid w:val="22042471"/>
    <w:rsid w:val="22171129"/>
    <w:rsid w:val="222D0D62"/>
    <w:rsid w:val="22551E62"/>
    <w:rsid w:val="227D729C"/>
    <w:rsid w:val="2350568B"/>
    <w:rsid w:val="237F35E5"/>
    <w:rsid w:val="23A50D24"/>
    <w:rsid w:val="23E44373"/>
    <w:rsid w:val="241110D5"/>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A9A5574"/>
    <w:rsid w:val="2B2942A8"/>
    <w:rsid w:val="2B704201"/>
    <w:rsid w:val="2BBB2833"/>
    <w:rsid w:val="2BC42334"/>
    <w:rsid w:val="2C1011CD"/>
    <w:rsid w:val="2C40390A"/>
    <w:rsid w:val="2C4C703B"/>
    <w:rsid w:val="2C994559"/>
    <w:rsid w:val="2D241337"/>
    <w:rsid w:val="2D753D30"/>
    <w:rsid w:val="2DC02129"/>
    <w:rsid w:val="2E010168"/>
    <w:rsid w:val="2E6A7D66"/>
    <w:rsid w:val="2EA605F1"/>
    <w:rsid w:val="2EA972CC"/>
    <w:rsid w:val="2EC31B75"/>
    <w:rsid w:val="2EF83F09"/>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36359DD"/>
    <w:rsid w:val="34126396"/>
    <w:rsid w:val="345E593B"/>
    <w:rsid w:val="34605A84"/>
    <w:rsid w:val="346C230B"/>
    <w:rsid w:val="35034F52"/>
    <w:rsid w:val="352C602C"/>
    <w:rsid w:val="35B16527"/>
    <w:rsid w:val="363C1BD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534D08"/>
    <w:rsid w:val="3C7826C2"/>
    <w:rsid w:val="3C8F2051"/>
    <w:rsid w:val="3CD87A38"/>
    <w:rsid w:val="3D83215E"/>
    <w:rsid w:val="3DF76443"/>
    <w:rsid w:val="3DFF3A1A"/>
    <w:rsid w:val="3E166344"/>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EE6E5E"/>
    <w:rsid w:val="42F60353"/>
    <w:rsid w:val="438556A7"/>
    <w:rsid w:val="43A6228A"/>
    <w:rsid w:val="43D63BB7"/>
    <w:rsid w:val="445A3B32"/>
    <w:rsid w:val="44814819"/>
    <w:rsid w:val="449B7167"/>
    <w:rsid w:val="44CC2C77"/>
    <w:rsid w:val="4524487F"/>
    <w:rsid w:val="45CC078F"/>
    <w:rsid w:val="45FA1697"/>
    <w:rsid w:val="462907D8"/>
    <w:rsid w:val="466B6F06"/>
    <w:rsid w:val="46860155"/>
    <w:rsid w:val="46E93EA5"/>
    <w:rsid w:val="476049FD"/>
    <w:rsid w:val="47802A85"/>
    <w:rsid w:val="47E65D23"/>
    <w:rsid w:val="47F6480D"/>
    <w:rsid w:val="4801691C"/>
    <w:rsid w:val="482B788B"/>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726F49"/>
    <w:rsid w:val="4FB2334F"/>
    <w:rsid w:val="4FDD6C50"/>
    <w:rsid w:val="500C5A60"/>
    <w:rsid w:val="50461117"/>
    <w:rsid w:val="509A5F14"/>
    <w:rsid w:val="514B566F"/>
    <w:rsid w:val="515442E6"/>
    <w:rsid w:val="51954E8A"/>
    <w:rsid w:val="519B5496"/>
    <w:rsid w:val="52667895"/>
    <w:rsid w:val="52B20439"/>
    <w:rsid w:val="53140A76"/>
    <w:rsid w:val="5337488A"/>
    <w:rsid w:val="53735224"/>
    <w:rsid w:val="537D24F6"/>
    <w:rsid w:val="53AD73D7"/>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7D41D62"/>
    <w:rsid w:val="584667E1"/>
    <w:rsid w:val="5884596F"/>
    <w:rsid w:val="589C1605"/>
    <w:rsid w:val="58E1781D"/>
    <w:rsid w:val="59471C07"/>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C30298"/>
    <w:rsid w:val="60D76AF0"/>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C76D6E"/>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754280"/>
    <w:rsid w:val="6EBB30B7"/>
    <w:rsid w:val="6F0D185D"/>
    <w:rsid w:val="6F786BDA"/>
    <w:rsid w:val="6FA9351C"/>
    <w:rsid w:val="70786034"/>
    <w:rsid w:val="70851CBD"/>
    <w:rsid w:val="709573C6"/>
    <w:rsid w:val="709E2354"/>
    <w:rsid w:val="70E70772"/>
    <w:rsid w:val="71900429"/>
    <w:rsid w:val="719027A5"/>
    <w:rsid w:val="71930C34"/>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2">
    <w:name w:val="Normal Table"/>
    <w:unhideWhenUsed/>
    <w:uiPriority w:val="99"/>
    <w:tblPr>
      <w:tblStyle w:val="12"/>
      <w:tblLayout w:type="fixed"/>
      <w:tblCellMar>
        <w:top w:w="0" w:type="dxa"/>
        <w:left w:w="108" w:type="dxa"/>
        <w:bottom w:w="0" w:type="dxa"/>
        <w:right w:w="108" w:type="dxa"/>
      </w:tblCellMar>
    </w:tblPr>
    <w:tcPr>
      <w:textDirection w:val="lrTb"/>
    </w:tcPr>
  </w:style>
  <w:style w:type="paragraph" w:styleId="2">
    <w:name w:val="annotation subject"/>
    <w:basedOn w:val="3"/>
    <w:next w:val="3"/>
    <w:link w:val="15"/>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FollowedHyperlink"/>
    <w:basedOn w:val="8"/>
    <w:uiPriority w:val="0"/>
    <w:rPr>
      <w:color w:val="000000"/>
      <w:u w:val="none"/>
    </w:rPr>
  </w:style>
  <w:style w:type="character" w:styleId="10">
    <w:name w:val="Hyperlink"/>
    <w:basedOn w:val="8"/>
    <w:uiPriority w:val="0"/>
    <w:rPr>
      <w:color w:val="000000"/>
      <w:u w:val="none"/>
    </w:rPr>
  </w:style>
  <w:style w:type="character" w:styleId="11">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4">
    <w:name w:val=""/>
    <w:basedOn w:val="1"/>
    <w:next w:val="1"/>
    <w:uiPriority w:val="0"/>
    <w:pPr>
      <w:pBdr>
        <w:top w:val="single" w:color="auto" w:sz="6" w:space="1"/>
      </w:pBdr>
      <w:jc w:val="center"/>
    </w:pPr>
    <w:rPr>
      <w:rFonts w:ascii="Arial" w:eastAsia="宋体"/>
      <w:vanish/>
      <w:sz w:val="16"/>
    </w:rPr>
  </w:style>
  <w:style w:type="character" w:customStyle="1" w:styleId="15">
    <w:name w:val="批注主题 Char"/>
    <w:link w:val="2"/>
    <w:qFormat/>
    <w:uiPriority w:val="0"/>
    <w:rPr>
      <w:b/>
      <w:bCs/>
      <w:kern w:val="2"/>
      <w:sz w:val="21"/>
      <w:szCs w:val="24"/>
    </w:rPr>
  </w:style>
  <w:style w:type="character" w:customStyle="1" w:styleId="16">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14592</Words>
  <Characters>15005</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RORO</cp:lastModifiedBy>
  <cp:lastPrinted>2023-03-20T06:17:00Z</cp:lastPrinted>
  <dcterms:modified xsi:type="dcterms:W3CDTF">2023-06-08T02:48:26Z</dcterms:modified>
  <dc:title>华夏理财固定收益纯债型封闭式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