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bookmarkStart w:id="7" w:name="_GoBack"/>
      <w:bookmarkEnd w:id="7"/>
      <w:r>
        <w:rPr>
          <w:rFonts w:hint="eastAsia" w:eastAsia="黑体"/>
          <w:bCs/>
          <w:sz w:val="36"/>
          <w:szCs w:val="36"/>
        </w:rPr>
        <w:t>华夏理财固定收益债权型封闭式理财产品</w:t>
      </w:r>
      <w:r>
        <w:rPr>
          <w:rFonts w:hint="eastAsia" w:eastAsia="黑体"/>
          <w:bCs/>
          <w:sz w:val="36"/>
          <w:szCs w:val="36"/>
          <w:lang w:val="en-US" w:eastAsia="zh-CN"/>
        </w:rPr>
        <w:t>97</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97</w:t>
            </w:r>
            <w:r>
              <w:rPr>
                <w:rFonts w:hint="eastAsia" w:ascii="仿宋" w:hAnsi="仿宋" w:eastAsia="仿宋"/>
                <w:b/>
                <w:bCs/>
                <w:szCs w:val="21"/>
              </w:rPr>
              <w:t>号</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简称：“华夏理财固收债权封闭式</w:t>
            </w:r>
            <w:r>
              <w:rPr>
                <w:rFonts w:hint="eastAsia" w:ascii="仿宋" w:hAnsi="仿宋" w:eastAsia="仿宋"/>
                <w:b/>
                <w:bCs/>
                <w:szCs w:val="21"/>
                <w:lang w:val="en-US" w:eastAsia="zh-CN"/>
              </w:rPr>
              <w:t>97</w:t>
            </w:r>
            <w:r>
              <w:rPr>
                <w:rFonts w:hint="eastAsia" w:ascii="仿宋" w:hAnsi="仿宋" w:eastAsia="仿宋"/>
                <w:b/>
                <w:bCs/>
                <w:szCs w:val="21"/>
              </w:rPr>
              <w:t>号</w:t>
            </w:r>
            <w:r>
              <w:rPr>
                <w:rFonts w:hint="eastAsia" w:ascii="仿宋" w:hAnsi="仿宋" w:eastAsia="仿宋"/>
                <w:b/>
                <w:bCs/>
                <w:szCs w:val="21"/>
                <w:lang w:val="en-US" w:eastAsia="zh-CN"/>
              </w:rPr>
              <w:t>126</w:t>
            </w:r>
            <w:r>
              <w:rPr>
                <w:rFonts w:hint="eastAsia" w:ascii="仿宋" w:hAnsi="仿宋" w:eastAsia="仿宋"/>
                <w:b/>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23121</w:t>
            </w:r>
            <w:r>
              <w:rPr>
                <w:rFonts w:hint="eastAsia" w:ascii="仿宋" w:hAnsi="仿宋" w:eastAsia="仿宋"/>
                <w:bCs/>
                <w:szCs w:val="21"/>
                <w:lang w:val="en-US" w:eastAsia="zh-CN"/>
              </w:rPr>
              <w:t>097</w:t>
            </w:r>
            <w:r>
              <w:rPr>
                <w:rFonts w:hint="eastAsia" w:ascii="仿宋" w:hAnsi="仿宋" w:eastAsia="仿宋"/>
                <w:bCs/>
                <w:szCs w:val="21"/>
              </w:rPr>
              <w:t>（招商银行销售代码：HX</w:t>
            </w:r>
            <w:r>
              <w:rPr>
                <w:rFonts w:hint="eastAsia" w:ascii="仿宋" w:hAnsi="仿宋" w:eastAsia="仿宋"/>
                <w:bCs/>
                <w:szCs w:val="21"/>
                <w:lang w:val="en-US" w:eastAsia="zh-CN"/>
              </w:rPr>
              <w:t>010218</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w:t>
            </w:r>
            <w:r>
              <w:rPr>
                <w:rFonts w:hint="eastAsia" w:ascii="仿宋" w:hAnsi="仿宋" w:eastAsia="仿宋"/>
                <w:bCs/>
                <w:szCs w:val="21"/>
                <w:lang w:val="en-US" w:eastAsia="zh-CN"/>
              </w:rPr>
              <w:t>142</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highlight w:val="yellow"/>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2.90%-</w:t>
            </w:r>
            <w:r>
              <w:rPr>
                <w:rFonts w:ascii="仿宋" w:hAnsi="仿宋" w:eastAsia="仿宋" w:cs="Cambria"/>
                <w:bCs/>
                <w:szCs w:val="21"/>
              </w:rPr>
              <w:t>3.</w:t>
            </w:r>
            <w:r>
              <w:rPr>
                <w:rFonts w:hint="eastAsia" w:ascii="仿宋" w:hAnsi="仿宋" w:eastAsia="仿宋" w:cs="Cambria"/>
                <w:bCs/>
                <w:szCs w:val="21"/>
                <w:lang w:val="en-US" w:eastAsia="zh-CN"/>
              </w:rPr>
              <w:t>1</w:t>
            </w:r>
            <w:r>
              <w:rPr>
                <w:rFonts w:ascii="仿宋" w:hAnsi="仿宋" w:eastAsia="仿宋" w:cs="Cambria"/>
                <w:bCs/>
                <w:szCs w:val="21"/>
              </w:rPr>
              <w:t>0%</w:t>
            </w:r>
            <w:r>
              <w:rPr>
                <w:rFonts w:hint="eastAsia" w:ascii="仿宋" w:hAnsi="仿宋" w:eastAsia="仿宋" w:cs="Cambria"/>
                <w:bCs/>
                <w:szCs w:val="21"/>
              </w:rPr>
              <w:t>（年化）。以产品投资存款类资产仓位75%-100%，同业借款仓位0-25%为例，参考当前存款类资产和同业借款资产的收益水平，结合产品投资策略并扣除各项费用后，综合测算得出上述业绩比较基准。</w:t>
            </w:r>
            <w:r>
              <w:rPr>
                <w:rFonts w:hint="eastAsia" w:ascii="仿宋" w:hAnsi="仿宋" w:eastAsia="仿宋" w:cs="Cambria"/>
                <w:bCs/>
                <w:szCs w:val="21"/>
                <w:highlight w:val="none"/>
              </w:rPr>
              <w:t>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2" w:colFirst="1" w:colLast="1"/>
            <w:bookmarkStart w:id="3" w:name="OLE_LINK3"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14</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126</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3</w:t>
            </w:r>
            <w:r>
              <w:rPr>
                <w:rFonts w:hint="eastAsia" w:ascii="仿宋" w:hAnsi="仿宋" w:eastAsia="仿宋"/>
                <w:bCs/>
                <w:szCs w:val="21"/>
              </w:rPr>
              <w:t>年1</w:t>
            </w:r>
            <w:r>
              <w:rPr>
                <w:rFonts w:hint="eastAsia" w:ascii="仿宋" w:hAnsi="仿宋" w:eastAsia="仿宋"/>
                <w:bCs/>
                <w:szCs w:val="21"/>
                <w:lang w:val="en-US" w:eastAsia="zh-CN"/>
              </w:rPr>
              <w:t>0</w:t>
            </w:r>
            <w:r>
              <w:rPr>
                <w:rFonts w:hint="eastAsia" w:ascii="仿宋" w:hAnsi="仿宋" w:eastAsia="仿宋"/>
                <w:bCs/>
                <w:szCs w:val="21"/>
              </w:rPr>
              <w:t>月</w:t>
            </w:r>
            <w:r>
              <w:rPr>
                <w:rFonts w:hint="eastAsia" w:ascii="仿宋" w:hAnsi="仿宋" w:eastAsia="仿宋"/>
                <w:bCs/>
                <w:szCs w:val="21"/>
                <w:lang w:val="en-US" w:eastAsia="zh-CN"/>
              </w:rPr>
              <w:t>25</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2</w:t>
            </w:r>
            <w:r>
              <w:rPr>
                <w:rFonts w:ascii="仿宋" w:hAnsi="仿宋" w:eastAsia="仿宋"/>
                <w:bCs/>
                <w:szCs w:val="21"/>
              </w:rPr>
              <w:t>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szCs w:val="21"/>
              </w:rPr>
            </w:pPr>
            <w:r>
              <w:rPr>
                <w:rFonts w:hint="eastAsia" w:ascii="仿宋" w:hAnsi="仿宋" w:eastAsia="仿宋"/>
                <w:b/>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
                <w:szCs w:val="21"/>
              </w:rPr>
            </w:pPr>
            <w:r>
              <w:rPr>
                <w:rFonts w:hint="eastAsia" w:ascii="仿宋" w:hAnsi="仿宋" w:eastAsia="仿宋"/>
                <w:b/>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0.03%/年，以前一日资产净值为基数，每日计提。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uto"/>
              <w:ind w:firstLine="420"/>
              <w:jc w:val="left"/>
              <w:rPr>
                <w:rFonts w:ascii="仿宋" w:hAnsi="仿宋" w:eastAsia="仿宋"/>
                <w:b/>
                <w:szCs w:val="21"/>
              </w:rPr>
            </w:pPr>
            <w:r>
              <w:rPr>
                <w:rFonts w:hint="eastAsia" w:ascii="仿宋" w:hAnsi="仿宋" w:eastAsia="仿宋"/>
                <w:b/>
                <w:szCs w:val="21"/>
              </w:rPr>
              <w:t>F=E×【0.03%】/当年天数。F为托管费；E为计算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jc w:val="left"/>
              <w:rPr>
                <w:rFonts w:ascii="仿宋" w:hAnsi="仿宋" w:eastAsia="仿宋"/>
                <w:b/>
                <w:szCs w:val="21"/>
              </w:rPr>
            </w:pP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w:t>
            </w:r>
            <w:r>
              <w:rPr>
                <w:rFonts w:hint="eastAsia" w:ascii="仿宋" w:hAnsi="仿宋" w:eastAsia="仿宋"/>
                <w:b/>
                <w:szCs w:val="21"/>
                <w:lang w:val="en-US" w:eastAsia="zh-CN"/>
              </w:rPr>
              <w:t>1</w:t>
            </w:r>
            <w:r>
              <w:rPr>
                <w:rFonts w:ascii="仿宋" w:hAnsi="仿宋" w:eastAsia="仿宋"/>
                <w:b/>
                <w:szCs w:val="21"/>
              </w:rPr>
              <w:t>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w:t>
            </w:r>
            <w:r>
              <w:rPr>
                <w:rFonts w:hint="eastAsia" w:ascii="仿宋" w:hAnsi="仿宋" w:eastAsia="仿宋"/>
                <w:b/>
                <w:szCs w:val="21"/>
                <w:lang w:val="en-US" w:eastAsia="zh-CN"/>
              </w:rPr>
              <w:t>0.10%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。F为各份额销售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ascii="仿宋" w:hAnsi="仿宋" w:eastAsia="仿宋"/>
                <w:b/>
                <w:szCs w:val="21"/>
              </w:rPr>
              <w:t>0.</w:t>
            </w:r>
            <w:r>
              <w:rPr>
                <w:rFonts w:hint="eastAsia" w:ascii="仿宋" w:hAnsi="仿宋" w:eastAsia="仿宋"/>
                <w:b/>
                <w:szCs w:val="21"/>
                <w:lang w:val="en-US" w:eastAsia="zh-CN"/>
              </w:rPr>
              <w:t>1</w:t>
            </w:r>
            <w:r>
              <w:rPr>
                <w:rFonts w:ascii="仿宋" w:hAnsi="仿宋" w:eastAsia="仿宋"/>
                <w:b/>
                <w:szCs w:val="21"/>
              </w:rPr>
              <w:t>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300" w:lineRule="exact"/>
              <w:ind w:firstLine="420"/>
              <w:rPr>
                <w:rFonts w:ascii="仿宋" w:hAnsi="仿宋" w:eastAsia="仿宋"/>
                <w:b/>
                <w:szCs w:val="21"/>
              </w:rPr>
            </w:pPr>
            <w:r>
              <w:rPr>
                <w:rFonts w:hint="eastAsia" w:ascii="仿宋" w:hAnsi="仿宋" w:eastAsia="仿宋"/>
                <w:b/>
                <w:szCs w:val="21"/>
              </w:rPr>
              <w:t>F=E×【</w:t>
            </w:r>
            <w:r>
              <w:rPr>
                <w:rFonts w:ascii="仿宋" w:hAnsi="仿宋" w:eastAsia="仿宋"/>
                <w:b/>
                <w:szCs w:val="21"/>
              </w:rPr>
              <w:t>0.</w:t>
            </w:r>
            <w:r>
              <w:rPr>
                <w:rFonts w:hint="eastAsia" w:ascii="仿宋" w:hAnsi="仿宋" w:eastAsia="仿宋"/>
                <w:b/>
                <w:szCs w:val="21"/>
                <w:lang w:val="en-US" w:eastAsia="zh-CN"/>
              </w:rPr>
              <w:t>1</w:t>
            </w:r>
            <w:r>
              <w:rPr>
                <w:rFonts w:ascii="仿宋" w:hAnsi="仿宋" w:eastAsia="仿宋"/>
                <w:b/>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。F为固定管理费；E为计算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超额</w:t>
            </w:r>
            <w:r>
              <w:rPr>
                <w:rFonts w:ascii="仿宋" w:hAnsi="仿宋" w:eastAsia="仿宋"/>
                <w:b/>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超额管理费计提基准为</w:t>
            </w:r>
            <w:r>
              <w:rPr>
                <w:rFonts w:ascii="仿宋" w:hAnsi="仿宋" w:eastAsia="仿宋" w:cs="Cambria"/>
                <w:b/>
                <w:szCs w:val="21"/>
              </w:rPr>
              <w:t>3.</w:t>
            </w:r>
            <w:r>
              <w:rPr>
                <w:rFonts w:hint="eastAsia" w:ascii="仿宋" w:hAnsi="仿宋" w:eastAsia="仿宋" w:cs="Cambria"/>
                <w:b/>
                <w:szCs w:val="21"/>
                <w:lang w:val="en-US" w:eastAsia="zh-CN"/>
              </w:rPr>
              <w:t>1</w:t>
            </w:r>
            <w:r>
              <w:rPr>
                <w:rFonts w:ascii="仿宋" w:hAnsi="仿宋" w:eastAsia="仿宋" w:cs="Cambria"/>
                <w:b/>
                <w:szCs w:val="21"/>
              </w:rPr>
              <w:t>0%</w:t>
            </w:r>
            <w:r>
              <w:rPr>
                <w:rFonts w:hint="eastAsia" w:ascii="仿宋" w:hAnsi="仿宋" w:eastAsia="仿宋" w:cs="Cambria"/>
                <w:b/>
                <w:szCs w:val="21"/>
              </w:rPr>
              <w:t>（年化）。</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其他</w:t>
            </w:r>
            <w:r>
              <w:rPr>
                <w:rFonts w:ascii="仿宋" w:hAnsi="仿宋" w:eastAsia="仿宋"/>
                <w:b/>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
                <w:szCs w:val="21"/>
              </w:rPr>
            </w:pPr>
            <w:r>
              <w:rPr>
                <w:rFonts w:hint="eastAsia" w:ascii="仿宋" w:hAnsi="仿宋" w:eastAsia="仿宋"/>
                <w:b/>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r>
        <w:rPr>
          <w:rFonts w:hint="eastAsia" w:ascii="仿宋" w:hAnsi="仿宋" w:eastAsia="仿宋" w:cs="宋体"/>
          <w:color w:val="000000"/>
          <w:kern w:val="0"/>
          <w:sz w:val="24"/>
          <w:lang w:eastAsia="zh-CN"/>
        </w:rPr>
        <w:t>，</w:t>
      </w:r>
      <w:r>
        <w:rPr>
          <w:rFonts w:hint="eastAsia" w:ascii="仿宋" w:hAnsi="仿宋" w:eastAsia="仿宋" w:cs="宋体"/>
          <w:color w:val="000000"/>
          <w:kern w:val="0"/>
          <w:sz w:val="24"/>
          <w:lang w:val="en-US" w:eastAsia="zh-CN"/>
        </w:rPr>
        <w:t>其中</w:t>
      </w:r>
      <w:r>
        <w:rPr>
          <w:rFonts w:hint="eastAsia" w:ascii="仿宋" w:hAnsi="仿宋" w:eastAsia="仿宋" w:cs="宋体"/>
          <w:color w:val="000000"/>
          <w:kern w:val="0"/>
          <w:sz w:val="24"/>
        </w:rPr>
        <w:t>非标准化债权类资产</w:t>
      </w:r>
      <w:r>
        <w:rPr>
          <w:rFonts w:hint="eastAsia" w:ascii="仿宋" w:hAnsi="仿宋" w:eastAsia="仿宋" w:cs="宋体"/>
          <w:color w:val="000000"/>
          <w:kern w:val="0"/>
          <w:sz w:val="24"/>
          <w:lang w:val="en-US" w:eastAsia="zh-CN"/>
        </w:rPr>
        <w:t>占净资产比例不超过25%</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1.0010</w:t>
      </w:r>
      <w:r>
        <w:rPr>
          <w:rFonts w:hint="eastAsia" w:ascii="仿宋" w:hAnsi="仿宋" w:eastAsia="仿宋" w:cs="仿宋"/>
          <w:sz w:val="24"/>
        </w:rPr>
        <w:t>，客户到期获得的金额为：</w:t>
      </w:r>
      <w:r>
        <w:rPr>
          <w:rFonts w:ascii="仿宋" w:hAnsi="仿宋" w:eastAsia="仿宋" w:cs="仿宋"/>
          <w:sz w:val="24"/>
        </w:rPr>
        <w:t>100,000*1.0010=100,100.00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w:t>
      </w:r>
      <w:r>
        <w:rPr>
          <w:rFonts w:ascii="仿宋" w:hAnsi="仿宋" w:eastAsia="仿宋" w:cs="仿宋"/>
        </w:rPr>
        <w:t>债券类</w:t>
      </w:r>
      <w:r>
        <w:rPr>
          <w:rFonts w:hint="eastAsia" w:ascii="仿宋" w:hAnsi="仿宋" w:eastAsia="仿宋" w:cs="仿宋"/>
        </w:rPr>
        <w:t>等标准化债权类资产、非标准化债权类资产以及资产管理产品等资产。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widowControl/>
        <w:adjustRightInd w:val="0"/>
        <w:snapToGrid w:val="0"/>
        <w:spacing w:line="276" w:lineRule="auto"/>
        <w:ind w:firstLine="482" w:firstLineChars="200"/>
        <w:contextualSpacing/>
        <w:rPr>
          <w:rFonts w:ascii="Times New Roman" w:hAnsi="Times New Roman" w:eastAsia="黑体" w:cs="Times New Roman"/>
          <w:b/>
          <w:bCs/>
          <w:kern w:val="0"/>
          <w:sz w:val="24"/>
        </w:rPr>
      </w:pPr>
      <w:r>
        <w:rPr>
          <w:rFonts w:ascii="Times New Roman" w:hAnsi="Times New Roman" w:eastAsia="黑体" w:cs="Times New Roman"/>
          <w:b/>
          <w:bCs/>
          <w:kern w:val="0"/>
          <w:sz w:val="24"/>
        </w:rPr>
        <w:t>在本</w:t>
      </w:r>
      <w:r>
        <w:rPr>
          <w:rFonts w:hint="default" w:ascii="Times New Roman" w:hAnsi="Times New Roman" w:eastAsia="黑体" w:cs="Times New Roman"/>
          <w:b/>
          <w:bCs/>
          <w:kern w:val="0"/>
          <w:sz w:val="24"/>
        </w:rPr>
        <w:t>理财</w:t>
      </w:r>
      <w:r>
        <w:rPr>
          <w:rFonts w:ascii="Times New Roman" w:hAnsi="Times New Roman" w:eastAsia="黑体" w:cs="Times New Roman"/>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default" w:ascii="Times New Roman" w:hAnsi="Times New Roman" w:eastAsia="黑体" w:cs="Times New Roman"/>
          <w:b/>
          <w:bCs/>
          <w:kern w:val="0"/>
          <w:sz w:val="24"/>
        </w:rPr>
        <w:t>华夏理财有限责任公司官方网站（www.hxwm.com.cn）、</w:t>
      </w:r>
      <w:r>
        <w:rPr>
          <w:rFonts w:ascii="Times New Roman" w:hAnsi="Times New Roman" w:eastAsia="黑体" w:cs="Times New Roman"/>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03BF"/>
    <w:rsid w:val="000431D6"/>
    <w:rsid w:val="00056226"/>
    <w:rsid w:val="00063AA0"/>
    <w:rsid w:val="00066824"/>
    <w:rsid w:val="00096678"/>
    <w:rsid w:val="000A088E"/>
    <w:rsid w:val="000B0F79"/>
    <w:rsid w:val="000C03A9"/>
    <w:rsid w:val="000C784C"/>
    <w:rsid w:val="000D0355"/>
    <w:rsid w:val="000E7B01"/>
    <w:rsid w:val="000F06E2"/>
    <w:rsid w:val="000F0814"/>
    <w:rsid w:val="000F42B8"/>
    <w:rsid w:val="00103712"/>
    <w:rsid w:val="00133FA8"/>
    <w:rsid w:val="0013677C"/>
    <w:rsid w:val="0016435C"/>
    <w:rsid w:val="00165B63"/>
    <w:rsid w:val="0017498E"/>
    <w:rsid w:val="0017523A"/>
    <w:rsid w:val="00186079"/>
    <w:rsid w:val="00190BB4"/>
    <w:rsid w:val="0019200F"/>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E31EA"/>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E3068"/>
    <w:rsid w:val="003F0CFC"/>
    <w:rsid w:val="00400CDC"/>
    <w:rsid w:val="004128C5"/>
    <w:rsid w:val="00420E68"/>
    <w:rsid w:val="00443D10"/>
    <w:rsid w:val="00452B0F"/>
    <w:rsid w:val="00482583"/>
    <w:rsid w:val="0048600F"/>
    <w:rsid w:val="00493909"/>
    <w:rsid w:val="004A2CEA"/>
    <w:rsid w:val="004B3C7D"/>
    <w:rsid w:val="004C7E7D"/>
    <w:rsid w:val="004D72E5"/>
    <w:rsid w:val="004E0739"/>
    <w:rsid w:val="004E4564"/>
    <w:rsid w:val="004E46BF"/>
    <w:rsid w:val="004E7458"/>
    <w:rsid w:val="004F3054"/>
    <w:rsid w:val="00511A6C"/>
    <w:rsid w:val="00511F92"/>
    <w:rsid w:val="0051737C"/>
    <w:rsid w:val="005228EC"/>
    <w:rsid w:val="0053489D"/>
    <w:rsid w:val="00541B21"/>
    <w:rsid w:val="005622E8"/>
    <w:rsid w:val="00562D74"/>
    <w:rsid w:val="0058195A"/>
    <w:rsid w:val="00587F99"/>
    <w:rsid w:val="005902F0"/>
    <w:rsid w:val="005A1AD3"/>
    <w:rsid w:val="005B0C42"/>
    <w:rsid w:val="005B5A4F"/>
    <w:rsid w:val="005B7E09"/>
    <w:rsid w:val="005D1B39"/>
    <w:rsid w:val="005D5825"/>
    <w:rsid w:val="005E4F8D"/>
    <w:rsid w:val="006030F8"/>
    <w:rsid w:val="00603823"/>
    <w:rsid w:val="00617D1F"/>
    <w:rsid w:val="00623292"/>
    <w:rsid w:val="006309B4"/>
    <w:rsid w:val="0064430D"/>
    <w:rsid w:val="006609EB"/>
    <w:rsid w:val="00661DAE"/>
    <w:rsid w:val="00664F8D"/>
    <w:rsid w:val="00665902"/>
    <w:rsid w:val="00665BDD"/>
    <w:rsid w:val="006714E1"/>
    <w:rsid w:val="0069687B"/>
    <w:rsid w:val="00697279"/>
    <w:rsid w:val="006A3BD2"/>
    <w:rsid w:val="006B7A12"/>
    <w:rsid w:val="006D1929"/>
    <w:rsid w:val="006D5CC0"/>
    <w:rsid w:val="006D61F9"/>
    <w:rsid w:val="006D7545"/>
    <w:rsid w:val="006E465C"/>
    <w:rsid w:val="006E5108"/>
    <w:rsid w:val="006F108E"/>
    <w:rsid w:val="0070057F"/>
    <w:rsid w:val="00712D65"/>
    <w:rsid w:val="00714FA0"/>
    <w:rsid w:val="0075453D"/>
    <w:rsid w:val="00755C63"/>
    <w:rsid w:val="00757C4D"/>
    <w:rsid w:val="007660D1"/>
    <w:rsid w:val="0077151B"/>
    <w:rsid w:val="0078428F"/>
    <w:rsid w:val="00784B05"/>
    <w:rsid w:val="00794BCC"/>
    <w:rsid w:val="007A782E"/>
    <w:rsid w:val="007B16C0"/>
    <w:rsid w:val="007D7E45"/>
    <w:rsid w:val="007E5064"/>
    <w:rsid w:val="007E69F8"/>
    <w:rsid w:val="007F34D2"/>
    <w:rsid w:val="008111D2"/>
    <w:rsid w:val="00812191"/>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948CB"/>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939A8"/>
    <w:rsid w:val="009A1572"/>
    <w:rsid w:val="009B40CA"/>
    <w:rsid w:val="009B5749"/>
    <w:rsid w:val="009B654D"/>
    <w:rsid w:val="009C25C2"/>
    <w:rsid w:val="009E64E1"/>
    <w:rsid w:val="009F3291"/>
    <w:rsid w:val="00A10AA6"/>
    <w:rsid w:val="00A23D14"/>
    <w:rsid w:val="00A40B5C"/>
    <w:rsid w:val="00A55BA0"/>
    <w:rsid w:val="00A762A9"/>
    <w:rsid w:val="00AA20BC"/>
    <w:rsid w:val="00AB6C5C"/>
    <w:rsid w:val="00AC051A"/>
    <w:rsid w:val="00AC0C84"/>
    <w:rsid w:val="00AC28C2"/>
    <w:rsid w:val="00AC616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5723B"/>
    <w:rsid w:val="00B64A10"/>
    <w:rsid w:val="00B7068C"/>
    <w:rsid w:val="00B835AA"/>
    <w:rsid w:val="00B86087"/>
    <w:rsid w:val="00B90CDB"/>
    <w:rsid w:val="00B960A6"/>
    <w:rsid w:val="00B97A5C"/>
    <w:rsid w:val="00BB69FA"/>
    <w:rsid w:val="00BD4C6B"/>
    <w:rsid w:val="00BE1009"/>
    <w:rsid w:val="00BE486A"/>
    <w:rsid w:val="00BF783F"/>
    <w:rsid w:val="00C2501F"/>
    <w:rsid w:val="00C26621"/>
    <w:rsid w:val="00C31A7D"/>
    <w:rsid w:val="00C34C70"/>
    <w:rsid w:val="00C416E7"/>
    <w:rsid w:val="00C7590C"/>
    <w:rsid w:val="00C831E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3CC1"/>
    <w:rsid w:val="00D96806"/>
    <w:rsid w:val="00DA1051"/>
    <w:rsid w:val="00DB3201"/>
    <w:rsid w:val="00DB6A3F"/>
    <w:rsid w:val="00DC5F87"/>
    <w:rsid w:val="00DE1803"/>
    <w:rsid w:val="00DE7DB8"/>
    <w:rsid w:val="00DF01F0"/>
    <w:rsid w:val="00E01C5E"/>
    <w:rsid w:val="00E02F1C"/>
    <w:rsid w:val="00E0346B"/>
    <w:rsid w:val="00E064E3"/>
    <w:rsid w:val="00E254D4"/>
    <w:rsid w:val="00E32C0D"/>
    <w:rsid w:val="00E53D13"/>
    <w:rsid w:val="00E62046"/>
    <w:rsid w:val="00E65F0B"/>
    <w:rsid w:val="00E8067C"/>
    <w:rsid w:val="00E86945"/>
    <w:rsid w:val="00E91719"/>
    <w:rsid w:val="00E93A95"/>
    <w:rsid w:val="00EA4EFE"/>
    <w:rsid w:val="00EC1941"/>
    <w:rsid w:val="00ED0B33"/>
    <w:rsid w:val="00ED51B9"/>
    <w:rsid w:val="00ED5CA8"/>
    <w:rsid w:val="00EE0EFC"/>
    <w:rsid w:val="00EE4B28"/>
    <w:rsid w:val="00EE5ED9"/>
    <w:rsid w:val="00EF0103"/>
    <w:rsid w:val="00F02D76"/>
    <w:rsid w:val="00F045C3"/>
    <w:rsid w:val="00F05127"/>
    <w:rsid w:val="00F208BA"/>
    <w:rsid w:val="00F512E9"/>
    <w:rsid w:val="00F54606"/>
    <w:rsid w:val="00F67A6A"/>
    <w:rsid w:val="00F67A9C"/>
    <w:rsid w:val="00F72DB1"/>
    <w:rsid w:val="00F77DC9"/>
    <w:rsid w:val="00F82368"/>
    <w:rsid w:val="00F86ADB"/>
    <w:rsid w:val="00FA60B8"/>
    <w:rsid w:val="00FA70D5"/>
    <w:rsid w:val="00FB10EC"/>
    <w:rsid w:val="00FC0983"/>
    <w:rsid w:val="00FC21F8"/>
    <w:rsid w:val="00FC6689"/>
    <w:rsid w:val="00FC72F2"/>
    <w:rsid w:val="00FF1A4F"/>
    <w:rsid w:val="00FF5911"/>
    <w:rsid w:val="015E11C2"/>
    <w:rsid w:val="020F48EF"/>
    <w:rsid w:val="02140C0E"/>
    <w:rsid w:val="02361A79"/>
    <w:rsid w:val="02417756"/>
    <w:rsid w:val="02E40AD0"/>
    <w:rsid w:val="02F3137F"/>
    <w:rsid w:val="033A4D39"/>
    <w:rsid w:val="034644C7"/>
    <w:rsid w:val="03D27357"/>
    <w:rsid w:val="03F04D33"/>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A05DB9"/>
    <w:rsid w:val="09B80512"/>
    <w:rsid w:val="0A01440A"/>
    <w:rsid w:val="0A513B0D"/>
    <w:rsid w:val="0A5478A3"/>
    <w:rsid w:val="0B2D658F"/>
    <w:rsid w:val="0CF0675C"/>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585397"/>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C01B0"/>
    <w:rsid w:val="1584793E"/>
    <w:rsid w:val="15874EAA"/>
    <w:rsid w:val="15C47445"/>
    <w:rsid w:val="15DF45C9"/>
    <w:rsid w:val="15E41B70"/>
    <w:rsid w:val="162E0DFB"/>
    <w:rsid w:val="16440A35"/>
    <w:rsid w:val="16577530"/>
    <w:rsid w:val="167255CF"/>
    <w:rsid w:val="16840173"/>
    <w:rsid w:val="16FB6F37"/>
    <w:rsid w:val="172042C3"/>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4E59B7"/>
    <w:rsid w:val="1DE516B8"/>
    <w:rsid w:val="1E047274"/>
    <w:rsid w:val="1E1667E8"/>
    <w:rsid w:val="1E433C85"/>
    <w:rsid w:val="1ED877DF"/>
    <w:rsid w:val="1F0B3DFE"/>
    <w:rsid w:val="1F5522A7"/>
    <w:rsid w:val="1FD45CE1"/>
    <w:rsid w:val="1FE8677E"/>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265A8E"/>
    <w:rsid w:val="294C4E21"/>
    <w:rsid w:val="296D4B02"/>
    <w:rsid w:val="2A103412"/>
    <w:rsid w:val="2A1E1418"/>
    <w:rsid w:val="2A770C99"/>
    <w:rsid w:val="2ADA635E"/>
    <w:rsid w:val="2B2942A8"/>
    <w:rsid w:val="2BBB2833"/>
    <w:rsid w:val="2BC42334"/>
    <w:rsid w:val="2C1011CD"/>
    <w:rsid w:val="2C40390A"/>
    <w:rsid w:val="2C4C703B"/>
    <w:rsid w:val="2D241337"/>
    <w:rsid w:val="2D753D30"/>
    <w:rsid w:val="2DC02129"/>
    <w:rsid w:val="2E010168"/>
    <w:rsid w:val="2E6A7D66"/>
    <w:rsid w:val="2E8A1F67"/>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596CA9"/>
    <w:rsid w:val="3A9D0C11"/>
    <w:rsid w:val="3B4C73CF"/>
    <w:rsid w:val="3BC55932"/>
    <w:rsid w:val="3C7826C2"/>
    <w:rsid w:val="3C8F2051"/>
    <w:rsid w:val="3CD87A38"/>
    <w:rsid w:val="3D83215E"/>
    <w:rsid w:val="3DF76443"/>
    <w:rsid w:val="3DFF3A1A"/>
    <w:rsid w:val="3EA946F7"/>
    <w:rsid w:val="3ED4630A"/>
    <w:rsid w:val="3ED615CF"/>
    <w:rsid w:val="3EEC674A"/>
    <w:rsid w:val="3EFB10C1"/>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6E93EA5"/>
    <w:rsid w:val="476049FD"/>
    <w:rsid w:val="47802A85"/>
    <w:rsid w:val="47E65D23"/>
    <w:rsid w:val="47F6480D"/>
    <w:rsid w:val="4801691C"/>
    <w:rsid w:val="482B788B"/>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4F8F4B84"/>
    <w:rsid w:val="500C5A60"/>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DA21DF4"/>
    <w:rsid w:val="5E3B759B"/>
    <w:rsid w:val="5E501568"/>
    <w:rsid w:val="5E50611E"/>
    <w:rsid w:val="5E544DB8"/>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2F77E6A"/>
    <w:rsid w:val="63554C8E"/>
    <w:rsid w:val="63890B77"/>
    <w:rsid w:val="63970830"/>
    <w:rsid w:val="639D1EC4"/>
    <w:rsid w:val="63A13700"/>
    <w:rsid w:val="63DA03E2"/>
    <w:rsid w:val="64541B77"/>
    <w:rsid w:val="64667487"/>
    <w:rsid w:val="64E9282A"/>
    <w:rsid w:val="651B0E07"/>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9F515BE"/>
    <w:rsid w:val="6A557981"/>
    <w:rsid w:val="6A5B0FA5"/>
    <w:rsid w:val="6A983C35"/>
    <w:rsid w:val="6AA26D33"/>
    <w:rsid w:val="6AAC3F8C"/>
    <w:rsid w:val="6AFD414A"/>
    <w:rsid w:val="6B4C2F45"/>
    <w:rsid w:val="6B6E4269"/>
    <w:rsid w:val="6B961612"/>
    <w:rsid w:val="6B966680"/>
    <w:rsid w:val="6C161AD0"/>
    <w:rsid w:val="6C2C0297"/>
    <w:rsid w:val="6D157AE9"/>
    <w:rsid w:val="6D275220"/>
    <w:rsid w:val="6D2E7D50"/>
    <w:rsid w:val="6DD90E21"/>
    <w:rsid w:val="6DE0162F"/>
    <w:rsid w:val="6DFA3383"/>
    <w:rsid w:val="6E1A49C5"/>
    <w:rsid w:val="6E254EA7"/>
    <w:rsid w:val="6E4B2AEB"/>
    <w:rsid w:val="6EBB30B7"/>
    <w:rsid w:val="6F0D185D"/>
    <w:rsid w:val="6F786BDA"/>
    <w:rsid w:val="6FA9351C"/>
    <w:rsid w:val="705816D9"/>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6550E"/>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7874D9"/>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0">
    <w:name w:val="Normal Table"/>
    <w:unhideWhenUsed/>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3"/>
    <w:qFormat/>
    <w:uiPriority w:val="0"/>
    <w:rPr>
      <w:b/>
      <w:bCs/>
    </w:rPr>
  </w:style>
  <w:style w:type="paragraph" w:styleId="3">
    <w:name w:val="annotation text"/>
    <w:basedOn w:val="1"/>
    <w:link w:val="12"/>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3"/>
    <w:qFormat/>
    <w:uiPriority w:val="0"/>
    <w:rPr>
      <w:kern w:val="2"/>
      <w:sz w:val="21"/>
      <w:szCs w:val="24"/>
    </w:rPr>
  </w:style>
  <w:style w:type="character" w:customStyle="1" w:styleId="13">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15106</Words>
  <Characters>15542</Characters>
  <Lines>114</Lines>
  <Paragraphs>32</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2023-04-19T07:33:00Z</dcterms:created>
  <dc:creator>ylh</dc:creator>
  <cp:keywords>久期匹配策略</cp:keywords>
  <cp:lastModifiedBy>RORO</cp:lastModifiedBy>
  <cp:lastPrinted>2021-07-21T07:06:00Z</cp:lastPrinted>
  <dcterms:modified xsi:type="dcterms:W3CDTF">2023-06-09T03:03:53Z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