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华夏理财固定收益债权型封闭式理财产品1</w:t>
      </w:r>
      <w:r>
        <w:rPr>
          <w:rFonts w:hint="eastAsia" w:eastAsia="黑体"/>
          <w:bCs/>
          <w:sz w:val="36"/>
          <w:szCs w:val="36"/>
          <w:lang w:val="en-US" w:eastAsia="zh-CN"/>
        </w:rPr>
        <w:t>40</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华夏理财固定收益债权型封闭式理财产品1</w:t>
            </w:r>
            <w:r>
              <w:rPr>
                <w:rFonts w:hint="eastAsia" w:ascii="仿宋" w:hAnsi="仿宋" w:eastAsia="仿宋"/>
                <w:b/>
                <w:bCs/>
                <w:szCs w:val="21"/>
                <w:lang w:val="en-US" w:eastAsia="zh-CN"/>
              </w:rPr>
              <w:t>40</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产品</w:t>
            </w:r>
            <w:r>
              <w:rPr>
                <w:rFonts w:hint="eastAsia" w:ascii="仿宋" w:hAnsi="仿宋" w:eastAsia="仿宋"/>
                <w:b/>
                <w:bCs/>
                <w:szCs w:val="21"/>
              </w:rPr>
              <w:t>简称：“华夏理财固收债权封闭</w:t>
            </w:r>
            <w:r>
              <w:rPr>
                <w:rFonts w:hint="eastAsia" w:ascii="仿宋" w:hAnsi="仿宋" w:eastAsia="仿宋"/>
                <w:b/>
                <w:bCs/>
                <w:szCs w:val="21"/>
                <w:lang w:val="en-US" w:eastAsia="zh-CN"/>
              </w:rPr>
              <w:t>式</w:t>
            </w:r>
            <w:r>
              <w:rPr>
                <w:rFonts w:hint="eastAsia" w:ascii="仿宋" w:hAnsi="仿宋" w:eastAsia="仿宋"/>
                <w:b/>
                <w:bCs/>
                <w:szCs w:val="21"/>
              </w:rPr>
              <w:t>1</w:t>
            </w:r>
            <w:r>
              <w:rPr>
                <w:rFonts w:hint="eastAsia" w:ascii="仿宋" w:hAnsi="仿宋" w:eastAsia="仿宋"/>
                <w:b/>
                <w:bCs/>
                <w:szCs w:val="21"/>
                <w:lang w:val="en-US" w:eastAsia="zh-CN"/>
              </w:rPr>
              <w:t>40</w:t>
            </w:r>
            <w:r>
              <w:rPr>
                <w:rFonts w:hint="eastAsia" w:ascii="仿宋" w:hAnsi="仿宋" w:eastAsia="仿宋"/>
                <w:b/>
                <w:bCs/>
                <w:szCs w:val="21"/>
              </w:rPr>
              <w:t>号</w:t>
            </w:r>
            <w:r>
              <w:rPr>
                <w:rFonts w:hint="eastAsia" w:ascii="仿宋" w:hAnsi="仿宋" w:eastAsia="仿宋"/>
                <w:b/>
                <w:bCs/>
                <w:szCs w:val="21"/>
                <w:lang w:val="en-US" w:eastAsia="zh-CN"/>
              </w:rPr>
              <w:t>482</w:t>
            </w:r>
            <w:r>
              <w:rPr>
                <w:rFonts w:hint="eastAsia" w:ascii="仿宋" w:hAnsi="仿宋" w:eastAsia="仿宋"/>
                <w:b/>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231211</w:t>
            </w:r>
            <w:r>
              <w:rPr>
                <w:rFonts w:hint="eastAsia" w:ascii="仿宋" w:hAnsi="仿宋" w:eastAsia="仿宋"/>
                <w:bCs/>
                <w:szCs w:val="21"/>
                <w:lang w:val="en-US" w:eastAsia="zh-CN"/>
              </w:rPr>
              <w:t>40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w:t>
            </w:r>
            <w:r>
              <w:rPr>
                <w:rFonts w:hint="eastAsia" w:ascii="仿宋" w:hAnsi="仿宋" w:eastAsia="仿宋"/>
                <w:bCs/>
                <w:szCs w:val="21"/>
                <w:lang w:val="en-US" w:eastAsia="zh-CN"/>
              </w:rPr>
              <w:t>93</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业绩比较基准为</w:t>
            </w:r>
            <w:r>
              <w:rPr>
                <w:rFonts w:hint="eastAsia" w:ascii="仿宋" w:hAnsi="仿宋" w:eastAsia="仿宋" w:cs="Cambria"/>
                <w:bCs/>
                <w:szCs w:val="21"/>
                <w:lang w:val="en-US" w:eastAsia="zh-CN"/>
              </w:rPr>
              <w:t>3.90%</w:t>
            </w:r>
            <w:r>
              <w:rPr>
                <w:rFonts w:hint="eastAsia" w:ascii="仿宋" w:hAnsi="仿宋" w:eastAsia="仿宋" w:cs="Cambria"/>
                <w:bCs/>
                <w:szCs w:val="21"/>
              </w:rPr>
              <w:t>（年化）。以产品投资债券类资产仓位55%-100%，非标债权类资产仓位0-45%，组合杠杆率100%-140%为例，参考久期匹配的目标债券到期收益率、非标债权类资产目标收益率，结合产品久期匹配投资策略并扣除各项费用后，综合测算得出上述业绩比较基准</w:t>
            </w:r>
            <w:r>
              <w:rPr>
                <w:rFonts w:hint="eastAsia" w:ascii="仿宋" w:hAnsi="仿宋" w:eastAsia="仿宋" w:cs="Cambria"/>
                <w:bCs/>
                <w:i w:val="0"/>
                <w:iCs w:val="0"/>
                <w:szCs w:val="21"/>
                <w:highlight w:val="none"/>
              </w:rPr>
              <w:t>。测算示例仅供参考，具体资产投资比例可根据各类资产的收益水平、流动性特征、信用风险等因素动态调整。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12</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18</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19</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482</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2024年</w:t>
            </w:r>
            <w:r>
              <w:rPr>
                <w:rFonts w:hint="eastAsia" w:ascii="仿宋" w:hAnsi="仿宋" w:eastAsia="仿宋"/>
                <w:bCs/>
                <w:szCs w:val="21"/>
                <w:lang w:val="en-US" w:eastAsia="zh-CN"/>
              </w:rPr>
              <w:t>11</w:t>
            </w:r>
            <w:r>
              <w:rPr>
                <w:rFonts w:hint="eastAsia" w:ascii="仿宋" w:hAnsi="仿宋" w:eastAsia="仿宋"/>
                <w:bCs/>
                <w:szCs w:val="21"/>
              </w:rPr>
              <w:t>月</w:t>
            </w:r>
            <w:r>
              <w:rPr>
                <w:rFonts w:hint="eastAsia" w:ascii="仿宋" w:hAnsi="仿宋" w:eastAsia="仿宋"/>
                <w:bCs/>
                <w:szCs w:val="21"/>
                <w:lang w:val="en-US" w:eastAsia="zh-CN"/>
              </w:rPr>
              <w:t>12</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lang w:val="en-US" w:eastAsia="zh-CN"/>
              </w:rPr>
              <w:t>全国</w:t>
            </w:r>
            <w:r>
              <w:rPr>
                <w:rFonts w:hint="eastAsia" w:ascii="仿宋" w:hAnsi="仿宋" w:eastAsia="仿宋"/>
                <w:bCs/>
                <w:szCs w:val="21"/>
              </w:rPr>
              <w:t>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15</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ascii="仿宋" w:hAnsi="仿宋" w:eastAsia="仿宋"/>
                <w:bCs/>
                <w:szCs w:val="21"/>
              </w:rPr>
              <w:t>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05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w:t>
            </w:r>
            <w:r>
              <w:rPr>
                <w:rFonts w:hint="eastAsia" w:ascii="仿宋" w:hAnsi="仿宋" w:eastAsia="仿宋"/>
                <w:b/>
                <w:szCs w:val="21"/>
                <w:lang w:val="en-US" w:eastAsia="zh-CN"/>
              </w:rPr>
              <w:t>0.05%</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05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05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超额管理费计提基准为</w:t>
            </w:r>
            <w:r>
              <w:rPr>
                <w:rFonts w:hint="eastAsia" w:ascii="仿宋" w:hAnsi="仿宋" w:eastAsia="仿宋" w:cs="Cambria"/>
                <w:b/>
                <w:szCs w:val="21"/>
                <w:lang w:val="en-US" w:eastAsia="zh-CN"/>
              </w:rPr>
              <w:t>3.90</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bookmarkStart w:id="6" w:name="_GoBack"/>
      <w:bookmarkEnd w:id="6"/>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1FB5C4F"/>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A7B7656"/>
    <w:rsid w:val="0A983E05"/>
    <w:rsid w:val="0D3600BA"/>
    <w:rsid w:val="0D6C5F44"/>
    <w:rsid w:val="0DD32259"/>
    <w:rsid w:val="0E73282A"/>
    <w:rsid w:val="0EF43DB9"/>
    <w:rsid w:val="0F850895"/>
    <w:rsid w:val="102F133E"/>
    <w:rsid w:val="10510955"/>
    <w:rsid w:val="10987645"/>
    <w:rsid w:val="10B272CB"/>
    <w:rsid w:val="10ED247D"/>
    <w:rsid w:val="110764BF"/>
    <w:rsid w:val="113A6DA1"/>
    <w:rsid w:val="113D243D"/>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3575D5"/>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0662A6"/>
    <w:rsid w:val="1D104FDC"/>
    <w:rsid w:val="1D117096"/>
    <w:rsid w:val="1DE516B8"/>
    <w:rsid w:val="1E047274"/>
    <w:rsid w:val="1E2F7887"/>
    <w:rsid w:val="1E433C85"/>
    <w:rsid w:val="1ED877DF"/>
    <w:rsid w:val="1F0B3DFE"/>
    <w:rsid w:val="1F3F7DEB"/>
    <w:rsid w:val="1F5522A7"/>
    <w:rsid w:val="1FD45CE1"/>
    <w:rsid w:val="1FF41399"/>
    <w:rsid w:val="21433609"/>
    <w:rsid w:val="214D162F"/>
    <w:rsid w:val="21DE0D16"/>
    <w:rsid w:val="21F47A91"/>
    <w:rsid w:val="22171129"/>
    <w:rsid w:val="222D0D62"/>
    <w:rsid w:val="22347560"/>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0E5AEA"/>
    <w:rsid w:val="26103F21"/>
    <w:rsid w:val="27914154"/>
    <w:rsid w:val="27C604DA"/>
    <w:rsid w:val="27EA63D1"/>
    <w:rsid w:val="287A5D0E"/>
    <w:rsid w:val="28B05EE9"/>
    <w:rsid w:val="28D30187"/>
    <w:rsid w:val="28D53151"/>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403612"/>
    <w:rsid w:val="326170B4"/>
    <w:rsid w:val="328F3B54"/>
    <w:rsid w:val="329A11A0"/>
    <w:rsid w:val="32FF7EB7"/>
    <w:rsid w:val="33424079"/>
    <w:rsid w:val="33BA6589"/>
    <w:rsid w:val="34126396"/>
    <w:rsid w:val="345E593B"/>
    <w:rsid w:val="34605A84"/>
    <w:rsid w:val="346C230B"/>
    <w:rsid w:val="35034F52"/>
    <w:rsid w:val="352C602C"/>
    <w:rsid w:val="35B16527"/>
    <w:rsid w:val="36B76A85"/>
    <w:rsid w:val="36B82ADE"/>
    <w:rsid w:val="36D84DBF"/>
    <w:rsid w:val="376879F0"/>
    <w:rsid w:val="378F057D"/>
    <w:rsid w:val="37EC4B4C"/>
    <w:rsid w:val="387B665C"/>
    <w:rsid w:val="39690814"/>
    <w:rsid w:val="39B76C90"/>
    <w:rsid w:val="39C37A55"/>
    <w:rsid w:val="39C53B44"/>
    <w:rsid w:val="39EF00EC"/>
    <w:rsid w:val="39EF39C3"/>
    <w:rsid w:val="3A021304"/>
    <w:rsid w:val="3A23092B"/>
    <w:rsid w:val="3A35598B"/>
    <w:rsid w:val="3A595F4B"/>
    <w:rsid w:val="3A9D0C11"/>
    <w:rsid w:val="3B4C73CF"/>
    <w:rsid w:val="3BC55932"/>
    <w:rsid w:val="3C2D51C9"/>
    <w:rsid w:val="3C7826C2"/>
    <w:rsid w:val="3C8F2051"/>
    <w:rsid w:val="3CD87A38"/>
    <w:rsid w:val="3D4B33F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36006"/>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DB6D4B"/>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4D03ED"/>
    <w:rsid w:val="4EDD4EDE"/>
    <w:rsid w:val="4EE45C33"/>
    <w:rsid w:val="4EED4C04"/>
    <w:rsid w:val="4F323CFA"/>
    <w:rsid w:val="4FC908A2"/>
    <w:rsid w:val="50081263"/>
    <w:rsid w:val="500C5A60"/>
    <w:rsid w:val="50461117"/>
    <w:rsid w:val="509A5F14"/>
    <w:rsid w:val="512E02BD"/>
    <w:rsid w:val="51844BB9"/>
    <w:rsid w:val="51954E8A"/>
    <w:rsid w:val="519B5496"/>
    <w:rsid w:val="52667895"/>
    <w:rsid w:val="52B20439"/>
    <w:rsid w:val="52B95D52"/>
    <w:rsid w:val="5341023D"/>
    <w:rsid w:val="53735224"/>
    <w:rsid w:val="537D24F6"/>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9A631A"/>
    <w:rsid w:val="5AA97C90"/>
    <w:rsid w:val="5AE4319D"/>
    <w:rsid w:val="5B2B6EDA"/>
    <w:rsid w:val="5C7E5C8C"/>
    <w:rsid w:val="5CE90207"/>
    <w:rsid w:val="5CEA4265"/>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3B625A"/>
    <w:rsid w:val="7443680B"/>
    <w:rsid w:val="745500EB"/>
    <w:rsid w:val="74A805D6"/>
    <w:rsid w:val="74A870B6"/>
    <w:rsid w:val="74EC6D1E"/>
    <w:rsid w:val="74FA0674"/>
    <w:rsid w:val="75385547"/>
    <w:rsid w:val="754F1383"/>
    <w:rsid w:val="75DC198B"/>
    <w:rsid w:val="75E25A77"/>
    <w:rsid w:val="762A07F6"/>
    <w:rsid w:val="764A2B58"/>
    <w:rsid w:val="76661B90"/>
    <w:rsid w:val="77307E87"/>
    <w:rsid w:val="77731DCC"/>
    <w:rsid w:val="77B301A9"/>
    <w:rsid w:val="77BE7190"/>
    <w:rsid w:val="77D83AB0"/>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Autospacing="1" w:afterAutospacing="1"/>
      <w:jc w:val="left"/>
    </w:pPr>
    <w:rPr>
      <w:kern w:val="0"/>
      <w:sz w:val="24"/>
    </w:rPr>
  </w:style>
  <w:style w:type="character" w:styleId="10">
    <w:name w:val="FollowedHyperlink"/>
    <w:qFormat/>
    <w:uiPriority w:val="0"/>
    <w:rPr>
      <w:color w:val="000000"/>
      <w:u w:val="none"/>
    </w:rPr>
  </w:style>
  <w:style w:type="character" w:styleId="11">
    <w:name w:val="Hyperlink"/>
    <w:qFormat/>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2377</Words>
  <Characters>13550</Characters>
  <Lines>112</Lines>
  <Paragraphs>31</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RORO</cp:lastModifiedBy>
  <cp:lastPrinted>2021-07-21T07:06:00Z</cp:lastPrinted>
  <dcterms:modified xsi:type="dcterms:W3CDTF">2023-07-06T03:28:58Z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