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华夏理财现金管理类理财产品</w:t>
      </w:r>
      <w:r>
        <w:rPr>
          <w:rFonts w:hint="eastAsia" w:eastAsia="黑体"/>
          <w:bCs/>
          <w:kern w:val="2"/>
          <w:sz w:val="36"/>
          <w:szCs w:val="36"/>
          <w:lang w:val="en-US" w:eastAsia="zh-CN"/>
        </w:rPr>
        <w:t>49号</w:t>
      </w:r>
      <w:r>
        <w:rPr>
          <w:rFonts w:hint="eastAsia" w:eastAsia="黑体"/>
          <w:bCs/>
          <w:kern w:val="2"/>
          <w:sz w:val="36"/>
          <w:szCs w:val="36"/>
        </w:rPr>
        <w:t>说明书</w:t>
      </w:r>
    </w:p>
    <w:tbl>
      <w:tblPr>
        <w:tblStyle w:val="12"/>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请详细阅读本产品说明书第六部分风险揭示内容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理财产品的资金投资方向、风险类型及预</w:t>
            </w:r>
            <w:r>
              <w:rPr>
                <w:rFonts w:hint="eastAsia" w:ascii="黑体" w:hAnsi="黑体" w:eastAsia="黑体"/>
                <w:b/>
                <w:sz w:val="28"/>
                <w:szCs w:val="28"/>
                <w:u w:val="single"/>
              </w:rPr>
              <w:t>计</w:t>
            </w:r>
            <w:r>
              <w:rPr>
                <w:rFonts w:ascii="黑体" w:hAnsi="黑体" w:eastAsia="黑体"/>
                <w:b/>
                <w:sz w:val="28"/>
                <w:szCs w:val="28"/>
                <w:u w:val="single"/>
              </w:rPr>
              <w:t>收益等基本情况，在慎重考虑后自行决定购买与自身风险承受能力和资产管理需求匹配的理财产品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7"/>
        <w:adjustRightInd w:val="0"/>
        <w:snapToGrid w:val="0"/>
        <w:spacing w:line="400" w:lineRule="exact"/>
        <w:ind w:firstLine="0"/>
        <w:jc w:val="center"/>
        <w:rPr>
          <w:rFonts w:eastAsia="黑体"/>
          <w:bCs/>
          <w:kern w:val="2"/>
          <w:sz w:val="36"/>
          <w:szCs w:val="36"/>
        </w:rPr>
      </w:pPr>
    </w:p>
    <w:p>
      <w:pPr>
        <w:pStyle w:val="7"/>
        <w:adjustRightInd w:val="0"/>
        <w:snapToGrid w:val="0"/>
        <w:spacing w:line="400" w:lineRule="exact"/>
        <w:ind w:firstLine="0"/>
        <w:jc w:val="center"/>
        <w:rPr>
          <w:rFonts w:eastAsia="黑体"/>
          <w:bCs/>
          <w:kern w:val="2"/>
          <w:sz w:val="36"/>
          <w:szCs w:val="36"/>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val="0"/>
                <w:szCs w:val="21"/>
              </w:rPr>
              <w:t>华夏理财现金管理类理财产品</w:t>
            </w:r>
            <w:r>
              <w:rPr>
                <w:rFonts w:hint="eastAsia" w:ascii="仿宋" w:hAnsi="仿宋" w:eastAsia="仿宋"/>
                <w:b/>
                <w:bCs w:val="0"/>
                <w:szCs w:val="21"/>
                <w:lang w:val="en-US" w:eastAsia="zh-CN"/>
              </w:rPr>
              <w:t>49号</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rPr>
              <w:t>A份额简称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华夏理财现金49号</w:t>
            </w:r>
            <w:r>
              <w:rPr>
                <w:rFonts w:hint="eastAsia" w:ascii="仿宋" w:hAnsi="仿宋" w:eastAsia="仿宋"/>
                <w:b/>
                <w:bCs w:val="0"/>
                <w:szCs w:val="21"/>
              </w:rPr>
              <w:t>A</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B</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华夏理财现金49号</w:t>
            </w:r>
            <w:r>
              <w:rPr>
                <w:rFonts w:hint="eastAsia" w:ascii="仿宋" w:hAnsi="仿宋" w:eastAsia="仿宋"/>
                <w:b/>
                <w:bCs w:val="0"/>
                <w:szCs w:val="21"/>
                <w:lang w:val="en-US" w:eastAsia="zh-CN"/>
              </w:rPr>
              <w:t>B</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C</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华夏理财现金49号</w:t>
            </w:r>
            <w:r>
              <w:rPr>
                <w:rFonts w:hint="eastAsia" w:ascii="仿宋" w:hAnsi="仿宋" w:eastAsia="仿宋"/>
                <w:b/>
                <w:bCs w:val="0"/>
                <w:szCs w:val="21"/>
                <w:lang w:val="en-US" w:eastAsia="zh-CN"/>
              </w:rPr>
              <w:t>C</w:t>
            </w:r>
            <w:r>
              <w:rPr>
                <w:rFonts w:ascii="仿宋" w:hAnsi="仿宋" w:eastAsia="仿宋"/>
                <w:b/>
                <w:bCs w:val="0"/>
                <w:szCs w:val="21"/>
              </w:rPr>
              <w:t>”</w:t>
            </w:r>
          </w:p>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szCs w:val="21"/>
                <w:lang w:val="en-US" w:eastAsia="zh-CN"/>
              </w:rPr>
              <w:t>D</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华夏理财现金49号</w:t>
            </w:r>
            <w:r>
              <w:rPr>
                <w:rFonts w:hint="eastAsia" w:ascii="仿宋" w:hAnsi="仿宋" w:eastAsia="仿宋"/>
                <w:b/>
                <w:bCs w:val="0"/>
                <w:szCs w:val="21"/>
                <w:lang w:val="en-US" w:eastAsia="zh-CN"/>
              </w:rPr>
              <w:t>D</w:t>
            </w:r>
            <w:r>
              <w:rPr>
                <w:rFonts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lang w:val="en-US" w:eastAsia="zh-CN"/>
              </w:rPr>
              <w:t>24012049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A份额代码：</w:t>
            </w:r>
            <w:r>
              <w:rPr>
                <w:rFonts w:hint="eastAsia" w:ascii="仿宋" w:hAnsi="仿宋" w:eastAsia="仿宋"/>
                <w:bCs/>
                <w:szCs w:val="21"/>
                <w:lang w:eastAsia="zh-CN"/>
              </w:rPr>
              <w:t>24012049</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B</w:t>
            </w:r>
            <w:r>
              <w:rPr>
                <w:rFonts w:hint="eastAsia" w:ascii="仿宋" w:hAnsi="仿宋" w:eastAsia="仿宋"/>
                <w:bCs/>
                <w:szCs w:val="21"/>
              </w:rPr>
              <w:t>份额代码：</w:t>
            </w:r>
            <w:r>
              <w:rPr>
                <w:rFonts w:hint="eastAsia" w:ascii="仿宋" w:hAnsi="仿宋" w:eastAsia="仿宋"/>
                <w:bCs/>
                <w:szCs w:val="21"/>
                <w:lang w:eastAsia="zh-CN"/>
              </w:rPr>
              <w:t>24012049</w:t>
            </w:r>
            <w:r>
              <w:rPr>
                <w:rFonts w:hint="eastAsia" w:ascii="仿宋" w:hAnsi="仿宋" w:eastAsia="仿宋"/>
                <w:bCs/>
                <w:szCs w:val="21"/>
                <w:lang w:val="en-US" w:eastAsia="zh-CN"/>
              </w:rPr>
              <w:t>B</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w:t>
            </w:r>
            <w:r>
              <w:rPr>
                <w:rFonts w:hint="eastAsia" w:ascii="仿宋" w:hAnsi="仿宋" w:eastAsia="仿宋"/>
                <w:bCs/>
                <w:szCs w:val="21"/>
              </w:rPr>
              <w:t>份额代码：</w:t>
            </w:r>
            <w:r>
              <w:rPr>
                <w:rFonts w:hint="eastAsia" w:ascii="仿宋" w:hAnsi="仿宋" w:eastAsia="仿宋"/>
                <w:bCs/>
                <w:szCs w:val="21"/>
                <w:lang w:eastAsia="zh-CN"/>
              </w:rPr>
              <w:t>24012049</w:t>
            </w:r>
            <w:r>
              <w:rPr>
                <w:rFonts w:hint="eastAsia" w:ascii="仿宋" w:hAnsi="仿宋" w:eastAsia="仿宋"/>
                <w:bCs/>
                <w:szCs w:val="21"/>
                <w:lang w:val="en-US" w:eastAsia="zh-CN"/>
              </w:rPr>
              <w:t>C</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D</w:t>
            </w:r>
            <w:r>
              <w:rPr>
                <w:rFonts w:hint="eastAsia" w:ascii="仿宋" w:hAnsi="仿宋" w:eastAsia="仿宋"/>
                <w:bCs/>
                <w:szCs w:val="21"/>
              </w:rPr>
              <w:t>份额代码：</w:t>
            </w:r>
            <w:r>
              <w:rPr>
                <w:rFonts w:hint="eastAsia" w:ascii="仿宋" w:hAnsi="仿宋" w:eastAsia="仿宋"/>
                <w:bCs/>
                <w:szCs w:val="21"/>
                <w:lang w:eastAsia="zh-CN"/>
              </w:rPr>
              <w:t>24012049</w:t>
            </w:r>
            <w:r>
              <w:rPr>
                <w:rFonts w:hint="eastAsia" w:ascii="仿宋" w:hAnsi="仿宋" w:eastAsia="仿宋"/>
                <w:bCs/>
                <w:szCs w:val="21"/>
                <w:lang w:val="en-US" w:eastAsia="zh-CN"/>
              </w:rPr>
              <w:t>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rPr>
              <w:t>Z7003924000094</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PR1级（低风险）</w:t>
            </w:r>
            <w:r>
              <w:rPr>
                <w:rFonts w:ascii="仿宋" w:hAnsi="仿宋" w:eastAsia="仿宋"/>
                <w:bCs/>
                <w:szCs w:val="21"/>
                <w:u w:val="single"/>
              </w:rPr>
              <w:t xml:space="preserve"> </w:t>
            </w:r>
            <w:r>
              <w:rPr>
                <w:rFonts w:ascii="仿宋" w:hAnsi="仿宋" w:eastAsia="仿宋"/>
                <w:bCs/>
                <w:szCs w:val="21"/>
              </w:rPr>
              <w:t>理财产品。</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szCs w:val="21"/>
              </w:rPr>
              <w:t>本理财产品无业绩比较基准。</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7</w:t>
            </w:r>
            <w:r>
              <w:rPr>
                <w:rFonts w:ascii="仿宋" w:hAnsi="仿宋" w:eastAsia="仿宋"/>
                <w:bCs/>
                <w:szCs w:val="21"/>
              </w:rPr>
              <w:t>日－</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7</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w:t>
            </w:r>
            <w:r>
              <w:rPr>
                <w:rFonts w:hint="eastAsia" w:ascii="仿宋" w:hAnsi="仿宋" w:eastAsia="仿宋"/>
                <w:bCs/>
                <w:szCs w:val="21"/>
                <w:lang w:val="en-US"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8</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lang w:eastAsia="zh-CN"/>
              </w:rPr>
            </w:pPr>
            <w:r>
              <w:rPr>
                <w:rFonts w:hint="eastAsia" w:ascii="仿宋" w:hAnsi="仿宋" w:eastAsia="仿宋"/>
                <w:bCs/>
                <w:szCs w:val="21"/>
              </w:rPr>
              <w:t>本理财产品不设置封闭期</w:t>
            </w:r>
            <w:r>
              <w:rPr>
                <w:rFonts w:hint="eastAsia" w:ascii="仿宋" w:hAnsi="仿宋" w:eastAsia="仿宋"/>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A份额：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B</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C</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D</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ascii="仿宋" w:hAnsi="仿宋" w:eastAsia="仿宋"/>
                <w:bCs/>
                <w:szCs w:val="21"/>
              </w:rPr>
              <w:t>理财账户</w:t>
            </w: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highlight w:val="none"/>
              </w:rPr>
              <w:t>最高持有限额要求：</w:t>
            </w:r>
            <w:r>
              <w:rPr>
                <w:rFonts w:hint="eastAsia" w:ascii="仿宋" w:hAnsi="仿宋" w:eastAsia="仿宋"/>
                <w:bCs/>
                <w:szCs w:val="21"/>
                <w:highlight w:val="none"/>
                <w:lang w:val="en-US" w:eastAsia="zh-CN"/>
              </w:rPr>
              <w:t>单一</w:t>
            </w:r>
            <w:r>
              <w:rPr>
                <w:rFonts w:hint="eastAsia" w:ascii="仿宋" w:hAnsi="仿宋" w:eastAsia="仿宋"/>
                <w:bCs/>
                <w:szCs w:val="21"/>
                <w:highlight w:val="none"/>
              </w:rPr>
              <w:t>投资者持有本产品份额数不得超过20亿元</w:t>
            </w:r>
            <w:r>
              <w:rPr>
                <w:rFonts w:hint="eastAsia" w:ascii="仿宋" w:hAnsi="仿宋" w:eastAsia="仿宋"/>
                <w:bCs/>
                <w:szCs w:val="21"/>
                <w:highlight w:val="none"/>
                <w:lang w:eastAsia="zh-CN"/>
              </w:rPr>
              <w:t>，</w:t>
            </w:r>
            <w:r>
              <w:rPr>
                <w:rFonts w:hint="eastAsia" w:ascii="仿宋" w:hAnsi="仿宋" w:eastAsia="仿宋"/>
                <w:bCs/>
                <w:szCs w:val="21"/>
                <w:highlight w:val="none"/>
                <w:lang w:val="en-US" w:eastAsia="zh-CN"/>
              </w:rPr>
              <w:t>并</w:t>
            </w:r>
            <w:r>
              <w:rPr>
                <w:rFonts w:ascii="仿宋" w:hAnsi="仿宋" w:eastAsia="仿宋"/>
                <w:bCs/>
                <w:szCs w:val="21"/>
              </w:rPr>
              <w:t>不得超过</w:t>
            </w:r>
            <w:r>
              <w:rPr>
                <w:rFonts w:hint="eastAsia" w:ascii="仿宋" w:hAnsi="仿宋" w:eastAsia="仿宋"/>
                <w:bCs/>
                <w:szCs w:val="21"/>
              </w:rPr>
              <w:t>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采用1.00元固定份额净值交易方式，自产品成立日起每个开放日将实现的产品净收益（或净损失）分配给理财产品持有人，并将该部分收益（或损失）按日结转到客户理财账户，使产品份额净值始终保持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认购份额=认购金额/1元，认购份额保留到小数点后2位，小数点后第3位舍去。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w:t>
            </w:r>
            <w:r>
              <w:rPr>
                <w:rFonts w:hint="eastAsia" w:ascii="仿宋" w:hAnsi="仿宋" w:eastAsia="仿宋"/>
                <w:bCs/>
                <w:szCs w:val="21"/>
              </w:rPr>
              <w:t>1元，申购份额保留到小数点后2位，小数点后第3位舍去。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556"/>
              </w:tabs>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w:t>
            </w:r>
            <w:r>
              <w:rPr>
                <w:rFonts w:hint="eastAsia" w:ascii="仿宋" w:hAnsi="仿宋" w:eastAsia="仿宋"/>
                <w:bCs/>
                <w:szCs w:val="21"/>
                <w:lang w:val="en-US" w:eastAsia="zh-CN"/>
              </w:rPr>
              <w:t>成立日</w:t>
            </w:r>
            <w:r>
              <w:rPr>
                <w:rFonts w:hint="eastAsia" w:ascii="仿宋" w:hAnsi="仿宋" w:eastAsia="仿宋"/>
                <w:bCs/>
                <w:szCs w:val="21"/>
              </w:rPr>
              <w:t>后每个工作日，开放日如遇非工作日则顺延至下一个工作日。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non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rPr>
                    <w:t>投资者可于开放日T日的开放时间内发起申购，T日非开放时间提交的申购申请等同于下一开放日提交的申购申请。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non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投资者可于开放日的开放时间内发起普通赎回，T日非开放时间提交的普通赎回申请等同于下一开放日提交的普通赎回申请。</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华夏理财有权调整按上述规则确定的开放日及开放时间，并在调整之前3个工作日公告。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；T日非开放时间申购，等同在下一开放日开放时间内提交的申购申请。</w:t>
            </w:r>
            <w:r>
              <w:rPr>
                <w:rFonts w:ascii="仿宋" w:hAnsi="仿宋" w:eastAsia="仿宋"/>
                <w:bCs/>
                <w:szCs w:val="21"/>
              </w:rPr>
              <w:t>T日为开放日。</w:t>
            </w:r>
            <w:r>
              <w:rPr>
                <w:rFonts w:hint="eastAsia" w:ascii="仿宋" w:hAnsi="仿宋" w:eastAsia="仿宋"/>
                <w:bCs/>
                <w:szCs w:val="21"/>
              </w:rPr>
              <w:t>通过华夏理财购买的，按理财产品销售协议的规则扣款；通过华夏银行购买的，</w:t>
            </w:r>
            <w:r>
              <w:rPr>
                <w:rFonts w:ascii="仿宋" w:hAnsi="仿宋" w:eastAsia="仿宋"/>
                <w:bCs/>
                <w:szCs w:val="21"/>
              </w:rPr>
              <w:t>T日</w:t>
            </w:r>
            <w:r>
              <w:rPr>
                <w:rFonts w:hint="eastAsia" w:ascii="仿宋" w:hAnsi="仿宋" w:eastAsia="仿宋"/>
                <w:bCs/>
                <w:szCs w:val="21"/>
              </w:rPr>
              <w:t>扣款；通过其他代销机构购买的，扣款规则以代销机构规定为准。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r>
              <w:rPr>
                <w:rFonts w:hint="eastAsia" w:ascii="仿宋" w:hAnsi="仿宋" w:eastAsia="仿宋"/>
                <w:bCs/>
                <w:szCs w:val="21"/>
              </w:rPr>
              <w:t>及资金到账</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开放时间提交普通</w:t>
            </w:r>
            <w:r>
              <w:rPr>
                <w:rFonts w:ascii="仿宋" w:hAnsi="仿宋" w:eastAsia="仿宋"/>
                <w:bCs/>
                <w:szCs w:val="21"/>
              </w:rPr>
              <w:t>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；T日非开放时间提交普通赎回，等同在下一开放日开放时间内提交的赎回申请。</w:t>
            </w:r>
            <w:r>
              <w:rPr>
                <w:rFonts w:ascii="仿宋" w:hAnsi="仿宋" w:eastAsia="仿宋"/>
                <w:bCs/>
                <w:szCs w:val="21"/>
              </w:rPr>
              <w:t>T日为开放日</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通过华夏理财提交普通赎回申请的，投资者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；通过华夏银行提交普通赎回申请的，投资者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快速赎回相关约定见本说明书“四</w:t>
            </w:r>
            <w:r>
              <w:rPr>
                <w:rFonts w:ascii="仿宋" w:hAnsi="仿宋" w:eastAsia="仿宋"/>
                <w:bCs/>
                <w:szCs w:val="21"/>
              </w:rPr>
              <w:t>、认购</w:t>
            </w:r>
            <w:r>
              <w:rPr>
                <w:rFonts w:hint="eastAsia" w:ascii="仿宋" w:hAnsi="仿宋" w:eastAsia="仿宋"/>
                <w:bCs/>
                <w:szCs w:val="21"/>
              </w:rPr>
              <w:t>、申购、赎回”约定。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w:t>
            </w:r>
            <w:r>
              <w:rPr>
                <w:rFonts w:hint="eastAsia" w:ascii="仿宋" w:hAnsi="仿宋" w:eastAsia="仿宋"/>
                <w:bCs/>
                <w:szCs w:val="21"/>
              </w:rPr>
              <w:t>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到期/提前终止</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到期/终止日至资金实际到账日之间，客户资金不计</w:t>
            </w:r>
            <w:r>
              <w:rPr>
                <w:rFonts w:hint="eastAsia" w:ascii="仿宋" w:hAnsi="仿宋" w:eastAsia="仿宋" w:cs="宋体"/>
                <w:kern w:val="0"/>
                <w:szCs w:val="21"/>
              </w:rPr>
              <w:t>存款利息及理财收益</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 xml:space="preserve"> </w:t>
            </w:r>
            <w:r>
              <w:rPr>
                <w:rFonts w:hint="eastAsia" w:ascii="仿宋" w:hAnsi="仿宋" w:eastAsia="仿宋"/>
                <w:bCs/>
                <w:szCs w:val="21"/>
                <w:u w:val="single"/>
              </w:rPr>
              <w:t xml:space="preserve">10 </w:t>
            </w:r>
            <w:r>
              <w:rPr>
                <w:rFonts w:ascii="仿宋" w:hAnsi="仿宋" w:eastAsia="仿宋"/>
                <w:bCs/>
                <w:szCs w:val="21"/>
              </w:rPr>
              <w:t>%</w:t>
            </w:r>
            <w:r>
              <w:rPr>
                <w:rFonts w:hint="eastAsia" w:ascii="仿宋" w:hAnsi="仿宋" w:eastAsia="仿宋"/>
                <w:bCs/>
                <w:szCs w:val="21"/>
              </w:rPr>
              <w:t xml:space="preserve"> </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r>
              <w:rPr>
                <w:rFonts w:hint="eastAsia" w:ascii="仿宋" w:hAnsi="仿宋" w:eastAsia="仿宋"/>
                <w:bCs/>
                <w:szCs w:val="21"/>
              </w:rPr>
              <w:t>连续2个以上开放日发生巨额赎回时，对于已经接受的赎回申请，</w:t>
            </w:r>
            <w:r>
              <w:rPr>
                <w:rFonts w:ascii="仿宋" w:hAnsi="仿宋" w:eastAsia="仿宋"/>
                <w:bCs/>
                <w:szCs w:val="21"/>
              </w:rPr>
              <w:t>管理人</w:t>
            </w:r>
            <w:r>
              <w:rPr>
                <w:rFonts w:hint="eastAsia" w:ascii="仿宋" w:hAnsi="仿宋" w:eastAsia="仿宋"/>
                <w:bCs/>
                <w:szCs w:val="21"/>
              </w:rPr>
              <w:t>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2．开放日申购、普通赎回撤销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投资者可于开放日开放时间内撤销当日已提交的申购、普通赎回申请（仅可全额撤销），具体规定如下：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bCs/>
                <w:szCs w:val="21"/>
                <w:u w:val="single"/>
                <w:lang w:val="en-US"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u w:val="single"/>
                <w:lang w:val="en-US"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3．快速</w:t>
            </w:r>
            <w:r>
              <w:rPr>
                <w:rFonts w:ascii="仿宋" w:hAnsi="仿宋" w:eastAsia="仿宋"/>
                <w:bCs/>
                <w:szCs w:val="21"/>
              </w:rPr>
              <w:t>赎回</w:t>
            </w:r>
            <w:r>
              <w:rPr>
                <w:rFonts w:hint="eastAsia" w:ascii="仿宋" w:hAnsi="仿宋" w:eastAsia="仿宋"/>
                <w:bCs/>
                <w:szCs w:val="21"/>
              </w:rPr>
              <w:t>交易不能</w:t>
            </w:r>
            <w:r>
              <w:rPr>
                <w:rFonts w:ascii="仿宋" w:hAnsi="仿宋" w:eastAsia="仿宋"/>
                <w:bCs/>
                <w:szCs w:val="21"/>
              </w:rPr>
              <w:t>撤销</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强制赎回费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除</w:t>
            </w:r>
            <w:r>
              <w:rPr>
                <w:rFonts w:hint="eastAsia" w:ascii="仿宋" w:hAnsi="仿宋" w:eastAsia="仿宋"/>
                <w:b/>
                <w:bCs w:val="0"/>
                <w:szCs w:val="21"/>
                <w:lang w:val="en-US" w:eastAsia="zh-CN"/>
              </w:rPr>
              <w:t>监管机构</w:t>
            </w:r>
            <w:r>
              <w:rPr>
                <w:rFonts w:hint="eastAsia" w:ascii="仿宋" w:hAnsi="仿宋" w:eastAsia="仿宋"/>
                <w:b/>
                <w:bCs w:val="0"/>
                <w:szCs w:val="21"/>
              </w:rPr>
              <w:t>认定的特殊情形外，如发生下述情形之一，管理人将对当日单个投资者申请赎回份额超过产品总份额1%以上的赎回申请征收1%的强制赎回费用：</w:t>
            </w:r>
          </w:p>
          <w:p>
            <w:pPr>
              <w:adjustRightInd w:val="0"/>
              <w:snapToGrid w:val="0"/>
              <w:spacing w:line="240" w:lineRule="atLeast"/>
              <w:ind w:firstLine="420"/>
              <w:rPr>
                <w:rFonts w:ascii="仿宋" w:hAnsi="仿宋" w:eastAsia="仿宋"/>
                <w:b/>
                <w:bCs w:val="0"/>
                <w:szCs w:val="21"/>
              </w:rPr>
            </w:pPr>
            <w:r>
              <w:rPr>
                <w:rFonts w:ascii="仿宋" w:hAnsi="仿宋" w:eastAsia="仿宋"/>
                <w:b/>
                <w:bCs w:val="0"/>
                <w:szCs w:val="21"/>
              </w:rPr>
              <w:t>1</w:t>
            </w:r>
            <w:r>
              <w:rPr>
                <w:rFonts w:hint="eastAsia" w:ascii="仿宋" w:hAnsi="仿宋" w:eastAsia="仿宋"/>
                <w:b/>
                <w:bCs w:val="0"/>
                <w:szCs w:val="21"/>
              </w:rPr>
              <w:t>．发生本产品持有的现金、国债、中央银行票据、政策性金融债券以及5个交易日内到期的其他金融工具占产品资产净值的比例合计低于5%且偏离度为负的情形时（管理人与托管机构协商确认上述做法无益于理财产品利益最大化的情形除外。）；</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2．发生本产品前10名投资者的持有份额合计超过产品总份额的50%，且本产品投资组合中现金、国债、中央银行票据、政策性金融债券以及5个交易日内到期的其他金融工具占产品资产净值的比例合计低于10%且偏离度为负的情形时。</w:t>
            </w:r>
          </w:p>
          <w:p>
            <w:pPr>
              <w:adjustRightInd w:val="0"/>
              <w:snapToGrid w:val="0"/>
              <w:spacing w:line="240" w:lineRule="atLeast"/>
              <w:ind w:firstLine="420"/>
              <w:rPr>
                <w:rFonts w:ascii="仿宋" w:hAnsi="仿宋" w:eastAsia="仿宋"/>
                <w:b/>
                <w:bCs w:val="0"/>
                <w:szCs w:val="21"/>
              </w:rPr>
            </w:pPr>
            <w:r>
              <w:rPr>
                <w:rFonts w:hint="eastAsia" w:ascii="仿宋" w:hAnsi="仿宋" w:eastAsia="仿宋"/>
                <w:b/>
                <w:szCs w:val="21"/>
              </w:rPr>
              <w:t>上述赎回费用全额计入产品财产。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A份额：0.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B</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C</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D</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2</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2</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每万份理财产品份额已实现收益</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当日每万份理财产品份额已实现收益=当日理财产品份额已实现收益/当日理财产品份额×10</w:t>
            </w:r>
            <w:r>
              <w:rPr>
                <w:rFonts w:ascii="仿宋" w:hAnsi="仿宋" w:eastAsia="仿宋"/>
                <w:bCs/>
                <w:szCs w:val="21"/>
              </w:rPr>
              <w:t>,</w:t>
            </w:r>
            <w:r>
              <w:rPr>
                <w:rFonts w:hint="eastAsia" w:ascii="仿宋" w:hAnsi="仿宋" w:eastAsia="仿宋"/>
                <w:bCs/>
                <w:szCs w:val="21"/>
              </w:rPr>
              <w:t>000，计算结果保留到小数点后4位，小数点后5位以后的部分四舍五入。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七日年化收益率</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本理财产品最近七日（含节假日）收益率所折算的产品年收益率</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Cs/>
                <w:szCs w:val="21"/>
              </w:rPr>
              <w:t>不足七日时，则采取实际日收益率折算为年化收益率的方式计算。</w:t>
            </w:r>
          </w:p>
          <w:p>
            <w:pPr>
              <w:pStyle w:val="6"/>
              <w:spacing w:line="240" w:lineRule="atLeast"/>
              <w:ind w:firstLine="420" w:firstLineChars="200"/>
              <w:rPr>
                <w:rFonts w:ascii="仿宋" w:hAnsi="仿宋" w:eastAsia="仿宋"/>
                <w:szCs w:val="21"/>
              </w:rPr>
            </w:pPr>
            <w:r>
              <w:rPr>
                <w:rFonts w:hint="eastAsia" w:ascii="仿宋" w:hAnsi="仿宋" w:eastAsia="仿宋"/>
                <w:szCs w:val="21"/>
              </w:rPr>
              <w:t xml:space="preserve">七日年化收益率（%）= </w:t>
            </w:r>
            <w:r>
              <w:rPr>
                <w:rFonts w:ascii="仿宋" w:hAnsi="仿宋" w:eastAsia="仿宋" w:cs="Times New Roman"/>
                <w:kern w:val="2"/>
                <w:sz w:val="21"/>
                <w:szCs w:val="21"/>
                <w:lang w:val="en-US" w:eastAsia="zh-CN" w:bidi="ar-SA"/>
              </w:rPr>
              <w:drawing>
                <wp:inline distT="0" distB="0" distL="114300" distR="114300">
                  <wp:extent cx="1879600" cy="321945"/>
                  <wp:effectExtent l="0" t="0" r="635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clrChange>
                              <a:clrFrom>
                                <a:srgbClr val="FFFFFF"/>
                              </a:clrFrom>
                              <a:clrTo>
                                <a:srgbClr val="FFFFFF">
                                  <a:alpha val="0"/>
                                </a:srgbClr>
                              </a:clrTo>
                            </a:clrChange>
                            <a:lum/>
                          </a:blip>
                          <a:stretch>
                            <a:fillRect/>
                          </a:stretch>
                        </pic:blipFill>
                        <pic:spPr>
                          <a:xfrm>
                            <a:off x="0" y="0"/>
                            <a:ext cx="1879600" cy="321945"/>
                          </a:xfrm>
                          <a:prstGeom prst="rect">
                            <a:avLst/>
                          </a:prstGeom>
                          <a:noFill/>
                          <a:ln>
                            <a:noFill/>
                          </a:ln>
                        </pic:spPr>
                      </pic:pic>
                    </a:graphicData>
                  </a:graphic>
                </wp:inline>
              </w:drawing>
            </w:r>
            <w:r>
              <w:rPr>
                <w:rFonts w:hint="eastAsia" w:ascii="仿宋" w:hAnsi="仿宋" w:eastAsia="仿宋"/>
                <w:szCs w:val="21"/>
              </w:rPr>
              <w:t xml:space="preserve"> </w:t>
            </w:r>
          </w:p>
          <w:p>
            <w:pPr>
              <w:adjustRightInd w:val="0"/>
              <w:snapToGrid w:val="0"/>
              <w:spacing w:line="276" w:lineRule="auto"/>
              <w:ind w:firstLine="420" w:firstLineChars="200"/>
              <w:jc w:val="left"/>
            </w:pPr>
            <w:r>
              <w:rPr>
                <w:rFonts w:hint="eastAsia" w:ascii="仿宋" w:hAnsi="仿宋" w:eastAsia="仿宋"/>
                <w:bCs/>
                <w:szCs w:val="21"/>
              </w:rPr>
              <w:t>其中，Ri为最近第i个自然日（包括计算当日）的每万份理财产品份额已实现收益。计算结果保留到小数点后4位，小数点后5位以后的部分四舍五入。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估值日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产品存续期内，</w:t>
            </w:r>
            <w:r>
              <w:rPr>
                <w:rFonts w:hint="eastAsia" w:ascii="仿宋" w:hAnsi="仿宋" w:eastAsia="仿宋"/>
                <w:bCs/>
                <w:szCs w:val="21"/>
              </w:rPr>
              <w:t>华夏理财</w:t>
            </w:r>
            <w:r>
              <w:rPr>
                <w:rFonts w:ascii="仿宋" w:hAnsi="仿宋" w:eastAsia="仿宋"/>
                <w:bCs/>
                <w:szCs w:val="21"/>
              </w:rPr>
              <w:t>于每个</w:t>
            </w:r>
            <w:r>
              <w:rPr>
                <w:rFonts w:hint="eastAsia" w:ascii="仿宋" w:hAnsi="仿宋" w:eastAsia="仿宋"/>
                <w:bCs/>
                <w:szCs w:val="21"/>
              </w:rPr>
              <w:t>开放</w:t>
            </w:r>
            <w:r>
              <w:rPr>
                <w:rFonts w:ascii="仿宋" w:hAnsi="仿宋" w:eastAsia="仿宋"/>
                <w:bCs/>
                <w:szCs w:val="21"/>
              </w:rPr>
              <w:t>日计算</w:t>
            </w:r>
            <w:r>
              <w:rPr>
                <w:rFonts w:hint="eastAsia" w:ascii="仿宋" w:hAnsi="仿宋" w:eastAsia="仿宋"/>
                <w:bCs/>
                <w:szCs w:val="21"/>
              </w:rPr>
              <w:t>每万份理财产品份额已实现收益和七日年化收益率，并</w:t>
            </w:r>
            <w:r>
              <w:rPr>
                <w:rFonts w:ascii="仿宋" w:hAnsi="仿宋" w:eastAsia="仿宋"/>
                <w:bCs/>
                <w:szCs w:val="21"/>
              </w:rPr>
              <w:t>于该</w:t>
            </w:r>
            <w:r>
              <w:rPr>
                <w:rFonts w:hint="eastAsia" w:ascii="仿宋" w:hAnsi="仿宋" w:eastAsia="仿宋"/>
                <w:bCs/>
                <w:szCs w:val="21"/>
              </w:rPr>
              <w:t>开放日下一工作日</w:t>
            </w:r>
            <w:r>
              <w:rPr>
                <w:rFonts w:ascii="仿宋" w:hAnsi="仿宋" w:eastAsia="仿宋"/>
                <w:bCs/>
                <w:szCs w:val="21"/>
              </w:rPr>
              <w:t>公布</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收益分配方式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根据每日理财产品收益情况，以每万份理财产品份额已实现收益为基准，为客户每日计算当日收益，并将该收益结转为产品份额。投资者自认/申购份额确认日当日开始享有收益分配权益；自赎回份额确认日当日起不再享有收益分配权益，快速赎回另行约定。</w:t>
            </w:r>
          </w:p>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理财产品份额保留到小数点后</w:t>
            </w:r>
            <w:r>
              <w:rPr>
                <w:rFonts w:ascii="仿宋" w:hAnsi="仿宋" w:eastAsia="仿宋"/>
                <w:bCs/>
                <w:szCs w:val="21"/>
              </w:rPr>
              <w:t xml:space="preserve"> 2 </w:t>
            </w:r>
            <w:r>
              <w:rPr>
                <w:rFonts w:hint="eastAsia" w:ascii="仿宋" w:hAnsi="仿宋" w:eastAsia="仿宋"/>
                <w:bCs/>
                <w:szCs w:val="21"/>
              </w:rPr>
              <w:t xml:space="preserve">位，小数点后 </w:t>
            </w:r>
            <w:r>
              <w:rPr>
                <w:rFonts w:ascii="仿宋" w:hAnsi="仿宋" w:eastAsia="仿宋"/>
                <w:bCs/>
                <w:szCs w:val="21"/>
              </w:rPr>
              <w:t xml:space="preserve">2 </w:t>
            </w:r>
            <w:r>
              <w:rPr>
                <w:rFonts w:hint="eastAsia" w:ascii="仿宋" w:hAnsi="仿宋" w:eastAsia="仿宋"/>
                <w:bCs/>
                <w:szCs w:val="21"/>
              </w:rPr>
              <w:t>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。除本产品说明书第八节所列情形外，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当本理财产品份额低于0.01份时；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2" w:firstLineChars="200"/>
              <w:rPr>
                <w:rFonts w:ascii="仿宋" w:hAnsi="仿宋" w:eastAsia="仿宋" w:cs="宋体"/>
                <w:kern w:val="0"/>
                <w:szCs w:val="21"/>
              </w:rPr>
            </w:pPr>
            <w:r>
              <w:rPr>
                <w:rFonts w:ascii="仿宋" w:hAnsi="仿宋" w:eastAsia="仿宋" w:cs="宋体"/>
                <w:b/>
                <w:bCs/>
                <w:kern w:val="0"/>
                <w:szCs w:val="21"/>
              </w:rPr>
              <w:t>（4</w:t>
            </w:r>
            <w:r>
              <w:rPr>
                <w:rFonts w:hint="eastAsia" w:ascii="仿宋" w:hAnsi="仿宋" w:eastAsia="仿宋" w:cs="宋体"/>
                <w:b/>
                <w:bCs/>
                <w:kern w:val="0"/>
                <w:szCs w:val="21"/>
              </w:rPr>
              <w:t>）客户持有份额较低时，由于本理财产品估值方式/收益结转规则等原因可能导致客户无法获取理财收益。</w:t>
            </w:r>
          </w:p>
        </w:tc>
      </w:tr>
    </w:tbl>
    <w:p>
      <w:pPr>
        <w:pStyle w:val="17"/>
        <w:snapToGrid w:val="0"/>
        <w:spacing w:after="156" w:afterLines="50" w:line="400" w:lineRule="exact"/>
        <w:ind w:firstLine="482" w:firstLineChars="200"/>
        <w:jc w:val="both"/>
        <w:rPr>
          <w:rFonts w:ascii="Times New Roman" w:eastAsia="黑体" w:cs="Times New Roman"/>
          <w:b/>
          <w:color w:val="auto"/>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运作</w:t>
      </w:r>
    </w:p>
    <w:p>
      <w:pPr>
        <w:widowControl/>
        <w:adjustRightInd w:val="0"/>
        <w:snapToGrid w:val="0"/>
        <w:spacing w:line="276" w:lineRule="auto"/>
        <w:ind w:left="482"/>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（一）投资范围及比例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本理财产品募集的理财资金将直接或间接投资于以下金融工具：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1．现金；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．期限在1年以内（含1年）的银行存款、债券回购、中央银行票据、同业存单；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．剩余期限在397天以内（含397天）的债券、在银行间市场和证券交易所市场发行的资产支持证券；</w:t>
      </w:r>
    </w:p>
    <w:p>
      <w:pPr>
        <w:widowControl/>
        <w:adjustRightInd w:val="0"/>
        <w:snapToGrid w:val="0"/>
        <w:spacing w:line="276" w:lineRule="auto"/>
        <w:ind w:left="482"/>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认可的其他具有良好流动性的货币市场工具。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本产品的杠杆水平不超过120%，但发生巨额赎回、连续3个交易日累计赎回20%以上或者连续5个交易日累计赎回30%以上的情形除外。</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left="482"/>
        <w:contextualSpacing/>
        <w:rPr>
          <w:rFonts w:ascii="仿宋" w:hAnsi="仿宋" w:eastAsia="仿宋" w:cs="宋体"/>
          <w:kern w:val="0"/>
          <w:sz w:val="24"/>
        </w:rPr>
      </w:pPr>
      <w:r>
        <w:rPr>
          <w:rFonts w:hint="eastAsia" w:ascii="仿宋" w:hAnsi="仿宋" w:eastAsia="仿宋" w:cs="宋体"/>
          <w:b/>
          <w:bCs/>
          <w:color w:val="000000"/>
          <w:kern w:val="0"/>
          <w:sz w:val="24"/>
        </w:rPr>
        <w:t>（二）投资限制</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本产品不得直接或间接投资于以下金融工具：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股票；</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hint="eastAsia" w:ascii="仿宋" w:hAnsi="仿宋" w:eastAsia="仿宋" w:cs="宋体"/>
          <w:kern w:val="0"/>
          <w:sz w:val="24"/>
        </w:rPr>
        <w:t>可转换债券、可交换债券；</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w:t>
      </w:r>
      <w:r>
        <w:rPr>
          <w:rFonts w:hint="eastAsia" w:ascii="仿宋" w:hAnsi="仿宋" w:eastAsia="仿宋" w:cs="宋体"/>
          <w:kern w:val="0"/>
          <w:sz w:val="24"/>
        </w:rPr>
        <w:t>以定期存款利率为基准利率的浮动利率债券，已进入最后一个利率调整期的除外；</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kern w:val="0"/>
          <w:sz w:val="24"/>
        </w:rPr>
        <w:t>信用等级在AA+以下的债券、资产支持证券；</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w:t>
      </w:r>
      <w:r>
        <w:rPr>
          <w:rFonts w:hint="eastAsia" w:ascii="仿宋" w:hAnsi="仿宋" w:eastAsia="仿宋" w:cs="宋体"/>
          <w:kern w:val="0"/>
          <w:sz w:val="24"/>
          <w:lang w:val="en-US" w:eastAsia="zh-CN"/>
        </w:rPr>
        <w:t>监管机构</w:t>
      </w:r>
      <w:r>
        <w:rPr>
          <w:rFonts w:hint="eastAsia" w:ascii="仿宋" w:hAnsi="仿宋" w:eastAsia="仿宋" w:cs="宋体"/>
          <w:kern w:val="0"/>
          <w:sz w:val="24"/>
        </w:rPr>
        <w:t>禁止投资的其他金融工具。</w:t>
      </w:r>
    </w:p>
    <w:p>
      <w:pPr>
        <w:widowControl/>
        <w:adjustRightInd w:val="0"/>
        <w:snapToGrid w:val="0"/>
        <w:spacing w:line="276" w:lineRule="auto"/>
        <w:ind w:firstLine="480" w:firstLineChars="200"/>
        <w:contextualSpacing/>
        <w:jc w:val="left"/>
        <w:rPr>
          <w:rFonts w:ascii="仿宋" w:hAnsi="仿宋" w:eastAsia="仿宋" w:cs="宋体"/>
          <w:kern w:val="0"/>
          <w:sz w:val="24"/>
        </w:rPr>
      </w:pP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管理人对本产品的投资者集中度实施管理，并根据投资者集中度情况对投资组合实施调整：</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1.当前10名投资者的持有份额合计超过本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当前10名投资者的持有份额合计超过本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szCs w:val="20"/>
        </w:rPr>
        <w:t>非主观因素导致突破前款各项比例限制的，管理人将在10个工作日内调整至符合要求，</w:t>
      </w:r>
      <w:r>
        <w:rPr>
          <w:rFonts w:hint="eastAsia" w:ascii="仿宋" w:hAnsi="仿宋" w:eastAsia="仿宋" w:cs="宋体"/>
          <w:color w:val="000000"/>
          <w:kern w:val="0"/>
          <w:sz w:val="24"/>
          <w:szCs w:val="20"/>
          <w:lang w:val="en-US" w:eastAsia="zh-CN"/>
        </w:rPr>
        <w:t>监管机构</w:t>
      </w:r>
      <w:r>
        <w:rPr>
          <w:rFonts w:hint="eastAsia" w:ascii="仿宋" w:hAnsi="仿宋" w:eastAsia="仿宋" w:cs="宋体"/>
          <w:color w:val="000000"/>
          <w:kern w:val="0"/>
          <w:sz w:val="24"/>
          <w:szCs w:val="20"/>
        </w:rPr>
        <w:t>规定的特殊情形除外。</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如投资范围及比例、投资限制等发生调整，管理人将于调整事项生效前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三、理财产品管理人及托管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w:t>
      </w:r>
      <w:r>
        <w:rPr>
          <w:rFonts w:hint="eastAsia" w:ascii="仿宋" w:hAnsi="仿宋" w:eastAsia="仿宋" w:cs="宋体"/>
          <w:color w:val="000000"/>
          <w:kern w:val="0"/>
          <w:sz w:val="24"/>
        </w:rPr>
        <w:t>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7"/>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可通过</w:t>
      </w:r>
      <w:r>
        <w:rPr>
          <w:rFonts w:hint="eastAsia" w:ascii="仿宋" w:hAnsi="仿宋" w:eastAsia="仿宋" w:cs="宋体"/>
          <w:kern w:val="0"/>
          <w:sz w:val="24"/>
        </w:rPr>
        <w:t>华夏银行柜台、手机银行、网上银行等渠道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7．当影子定价确定的产品资产净值与摊余成本法计算的产品资产净值正偏离度绝对值达到0.5%时的情形。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w:t>
      </w:r>
      <w:r>
        <w:rPr>
          <w:rFonts w:hint="eastAsia" w:ascii="仿宋" w:hAnsi="仿宋" w:eastAsia="仿宋" w:cs="宋体"/>
          <w:color w:val="000000"/>
          <w:kern w:val="0"/>
          <w:sz w:val="24"/>
        </w:rPr>
        <w:t>．</w:t>
      </w:r>
      <w:r>
        <w:rPr>
          <w:rFonts w:hint="eastAsia" w:ascii="仿宋" w:hAnsi="仿宋" w:eastAsia="仿宋"/>
          <w:bCs/>
          <w:color w:val="000000"/>
          <w:sz w:val="24"/>
        </w:rPr>
        <w:t>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7．单个投资者在单个开放日申请赎回份额超过该产品总份额10%的。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8．当影子定价确定的产品资产净值与摊余成本法计算的产品资产净值负偏离度绝对值连续两个交易日超过0.5%时。</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9．法律法规规定或监管机构认定的其他情形。</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单个投资者在单个开放日申请赎回的理财产品份额，超过本理财产品上一日总份额的10%时，管理人有权采取延期办理部分赎回申请或者延缓支付赎回款项的措施，延缓支付赎回款项的延缓期限不超过20个工作日。</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（四）</w:t>
      </w:r>
      <w:r>
        <w:rPr>
          <w:rFonts w:ascii="仿宋" w:hAnsi="仿宋" w:eastAsia="仿宋" w:cs="宋体"/>
          <w:color w:val="000000"/>
          <w:kern w:val="0"/>
          <w:sz w:val="24"/>
        </w:rPr>
        <w:t>快速赎回</w:t>
      </w:r>
      <w:r>
        <w:rPr>
          <w:rFonts w:hint="eastAsia" w:ascii="仿宋" w:hAnsi="仿宋" w:eastAsia="仿宋" w:cs="宋体"/>
          <w:color w:val="000000"/>
          <w:kern w:val="0"/>
          <w:sz w:val="24"/>
        </w:rPr>
        <w:t>增值服务</w:t>
      </w:r>
    </w:p>
    <w:p>
      <w:pPr>
        <w:pStyle w:val="17"/>
        <w:snapToGrid w:val="0"/>
        <w:spacing w:after="156" w:afterLines="50" w:line="400" w:lineRule="exact"/>
        <w:ind w:firstLine="480" w:firstLineChars="200"/>
        <w:jc w:val="both"/>
        <w:rPr>
          <w:rFonts w:ascii="Times New Roman" w:eastAsia="黑体" w:cs="Times New Roman"/>
          <w:b/>
          <w:color w:val="auto"/>
        </w:rPr>
      </w:pPr>
      <w:r>
        <w:rPr>
          <w:rFonts w:ascii="仿宋" w:hAnsi="仿宋" w:eastAsia="仿宋"/>
        </w:rPr>
        <w:t>“快速赎回”</w:t>
      </w:r>
      <w:r>
        <w:rPr>
          <w:rFonts w:hint="eastAsia" w:ascii="仿宋" w:hAnsi="仿宋" w:eastAsia="仿宋"/>
        </w:rPr>
        <w:t>非法定义务，为本理财产品的</w:t>
      </w:r>
      <w:r>
        <w:rPr>
          <w:rFonts w:ascii="仿宋" w:hAnsi="仿宋" w:eastAsia="仿宋"/>
        </w:rPr>
        <w:t>增值服务</w:t>
      </w:r>
      <w:r>
        <w:rPr>
          <w:rFonts w:hint="eastAsia" w:ascii="仿宋" w:hAnsi="仿宋" w:eastAsia="仿宋"/>
        </w:rPr>
        <w:t>，</w:t>
      </w:r>
      <w:r>
        <w:rPr>
          <w:rFonts w:ascii="仿宋" w:hAnsi="仿宋" w:eastAsia="仿宋"/>
        </w:rPr>
        <w:t>具体</w:t>
      </w:r>
      <w:r>
        <w:rPr>
          <w:rFonts w:hint="eastAsia" w:ascii="仿宋" w:hAnsi="仿宋" w:eastAsia="仿宋"/>
        </w:rPr>
        <w:t>业务处理原则以</w:t>
      </w:r>
      <w:r>
        <w:rPr>
          <w:rFonts w:ascii="仿宋" w:hAnsi="仿宋" w:eastAsia="仿宋"/>
        </w:rPr>
        <w:t>快速赎回服务协议</w:t>
      </w:r>
      <w:r>
        <w:rPr>
          <w:rFonts w:hint="eastAsia" w:ascii="仿宋" w:hAnsi="仿宋" w:eastAsia="仿宋"/>
        </w:rPr>
        <w:t>约定为准</w:t>
      </w:r>
      <w:r>
        <w:rPr>
          <w:rFonts w:ascii="仿宋" w:hAnsi="仿宋" w:eastAsia="仿宋"/>
        </w:rPr>
        <w:t>。管理人将根据快速赎回服务协议的约定，履行份额快速过户及理财份额收益划付等职责。</w:t>
      </w:r>
      <w:r>
        <w:rPr>
          <w:rFonts w:hint="eastAsia" w:ascii="仿宋" w:hAnsi="仿宋" w:eastAsia="仿宋"/>
        </w:rPr>
        <w:t>关于快速赎回事宜管理人/销售机构将通过本产品说明书约定的信息披露渠道另行公告。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（一）估值日</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产品存续期内，华夏理财于每个开放日计算每万份理财产品份额已实现收益和七日年化收益率，并于该开放日下一工作日公布，节假日期间万份收益和七日年化收益率于节假日后首个开放日公布。</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（二）估值对象</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本产品所投资的货币市场工具、债券类资产以及资产管理产品等。</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（三）估值原则</w:t>
      </w:r>
    </w:p>
    <w:p>
      <w:pPr>
        <w:pStyle w:val="17"/>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（四）估值方法</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本理财产品估值采用摊余成本法，即计价对象以买入成本列示，按票面利率或协议利率并考虑其买入时的溢价与折价，在其剩余期限内按照实际利率法进行摊销，每日计提损益。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1、债券、同业存单、资产支持证券等固定收益类资产，以买入成本列示，按票面利率或商定利率并考虑其买入时的溢价与折价，在其剩余期限内按实际利率法进行摊销，每日计提</w:t>
      </w:r>
      <w:r>
        <w:rPr>
          <w:rFonts w:hint="eastAsia" w:ascii="仿宋" w:hAnsi="仿宋" w:eastAsia="仿宋"/>
          <w:color w:val="auto"/>
        </w:rPr>
        <w:t>损</w:t>
      </w:r>
      <w:r>
        <w:rPr>
          <w:rFonts w:ascii="仿宋" w:hAnsi="仿宋" w:eastAsia="仿宋"/>
          <w:color w:val="auto"/>
        </w:rPr>
        <w:t>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2、银行存款：按照约定利率在持有期内逐日计提应收利息，在利息到账日以实收利息入账。</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3、债券回购：持有的回购协议以本金列示，按商定利率在实际持有期间内逐日计提利息。</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4、投资于信托计划、资产管理计划、基金等资产的</w:t>
      </w:r>
      <w:r>
        <w:rPr>
          <w:rFonts w:hint="eastAsia" w:ascii="仿宋" w:hAnsi="仿宋" w:eastAsia="仿宋"/>
          <w:color w:val="auto"/>
        </w:rPr>
        <w:t>，</w:t>
      </w:r>
      <w:r>
        <w:rPr>
          <w:rFonts w:ascii="仿宋" w:hAnsi="仿宋" w:eastAsia="仿宋"/>
          <w:color w:val="auto"/>
        </w:rPr>
        <w:t>按合同约定的估值方案，以信托计划的受托人、资产管理计划或基金的管理人等和资产托管人共同确认的净值或投资收益情况进行估值。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w:t>
      </w:r>
      <w:r>
        <w:rPr>
          <w:rFonts w:ascii="仿宋" w:hAnsi="仿宋" w:eastAsia="仿宋"/>
          <w:color w:val="auto"/>
        </w:rPr>
        <w:t>、其他资产：采用理财产品管理人和理财产品托管人共同认可的方法估值。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w:t>
      </w:r>
      <w:r>
        <w:rPr>
          <w:rFonts w:ascii="仿宋" w:hAnsi="仿宋" w:eastAsia="仿宋"/>
          <w:color w:val="auto"/>
        </w:rPr>
        <w:t>、国家有最新规定的，按其规定进行估值。</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不采用市场利率和上市交易的债券和票据的市价计算理财产品资产净值。为了避免采用摊余成本法计算的理财产品资产净值与按市场利率和交易市价计算的理财产品资产净值发生重大偏离，从而对理财产品持有人的利益产生稀释或其他不公平的结果，理财产品管理人于每一计价日，采用估值技术，对理财产品持有的计价对象进行重新评估，即“影子定价”。</w:t>
      </w:r>
    </w:p>
    <w:p>
      <w:pPr>
        <w:pStyle w:val="17"/>
        <w:snapToGrid w:val="0"/>
        <w:spacing w:line="276" w:lineRule="auto"/>
        <w:ind w:firstLine="482" w:firstLineChars="200"/>
        <w:contextualSpacing/>
        <w:rPr>
          <w:rFonts w:ascii="仿宋" w:hAnsi="仿宋" w:eastAsia="仿宋"/>
          <w:color w:val="auto"/>
        </w:rPr>
      </w:pPr>
      <w:r>
        <w:rPr>
          <w:rFonts w:ascii="仿宋" w:hAnsi="仿宋" w:eastAsia="仿宋"/>
          <w:b/>
          <w:bCs/>
          <w:color w:val="auto"/>
        </w:rPr>
        <w:t>当影子定价确定的产品资产净值与摊余成本法计算的产品资产净值正偏离度绝对值达到0.5%时，管理人将暂停接受</w:t>
      </w:r>
      <w:r>
        <w:rPr>
          <w:rFonts w:hint="eastAsia" w:ascii="仿宋" w:hAnsi="仿宋" w:eastAsia="仿宋"/>
          <w:b/>
          <w:bCs/>
          <w:color w:val="auto"/>
        </w:rPr>
        <w:t>申</w:t>
      </w:r>
      <w:r>
        <w:rPr>
          <w:rFonts w:ascii="仿宋" w:hAnsi="仿宋" w:eastAsia="仿宋"/>
          <w:b/>
          <w:bCs/>
          <w:color w:val="auto"/>
        </w:rPr>
        <w:t>购并在5个交易日内将正偏离度绝对值调整到0.5%以内。</w:t>
      </w:r>
      <w:r>
        <w:rPr>
          <w:rFonts w:ascii="仿宋" w:hAnsi="仿宋" w:eastAsia="仿宋"/>
          <w:color w:val="auto"/>
        </w:rPr>
        <w:t>当负偏离度绝对值达到0.25%时，管理人将在5个交易日内将负偏离度绝对值调整到0.25%以内。当负偏离度绝对值达到0.5%时，管理人将采取相应措施，将负偏离度绝对值控制在0.5%以内。</w:t>
      </w:r>
      <w:r>
        <w:rPr>
          <w:rFonts w:ascii="仿宋" w:hAnsi="仿宋" w:eastAsia="仿宋"/>
          <w:b/>
          <w:bCs/>
          <w:color w:val="auto"/>
        </w:rPr>
        <w:t>当负偏离度绝对值连续两个交易日超过0.5%时，管理人将采用公允价值估值方法对持有投资组合的账面价值进行调整，或者</w:t>
      </w:r>
      <w:r>
        <w:rPr>
          <w:rFonts w:hint="eastAsia" w:ascii="仿宋" w:hAnsi="仿宋" w:eastAsia="仿宋"/>
          <w:b/>
          <w:bCs/>
          <w:color w:val="auto"/>
        </w:rPr>
        <w:t>有权</w:t>
      </w:r>
      <w:r>
        <w:rPr>
          <w:rFonts w:ascii="仿宋" w:hAnsi="仿宋" w:eastAsia="仿宋"/>
          <w:b/>
          <w:bCs/>
          <w:color w:val="auto"/>
        </w:rPr>
        <w:t>采取暂停接受所有赎回申请并终止产品合同进行财产清算等措施。</w:t>
      </w:r>
    </w:p>
    <w:p>
      <w:pPr>
        <w:pStyle w:val="17"/>
        <w:snapToGrid w:val="0"/>
        <w:spacing w:line="276" w:lineRule="auto"/>
        <w:ind w:firstLine="480" w:firstLineChars="200"/>
        <w:contextualSpacing/>
        <w:rPr>
          <w:rFonts w:ascii="仿宋" w:hAnsi="仿宋" w:eastAsia="仿宋"/>
        </w:rPr>
      </w:pPr>
      <w:r>
        <w:rPr>
          <w:rFonts w:ascii="仿宋" w:hAnsi="仿宋" w:eastAsia="仿宋"/>
          <w:color w:val="auto"/>
        </w:rPr>
        <w:t>影子定价与摊余成本法确定的产品资产净值的偏离度＝（NAVs-NAVa）/NAVa。其中，NAVs为影子定价确定的产品资产净值，NAVa为摊余成本法确定的产品资产净值。）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相关法律法规以及监管部门有强制规定的，从其规定。如有新增事项或变更事项，依法按最新规定计算。没有相关规定的，由产品管理人与托管人协商确定计算方法。</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7"/>
        <w:snapToGrid w:val="0"/>
        <w:spacing w:line="276" w:lineRule="auto"/>
        <w:ind w:firstLine="482" w:firstLineChars="200"/>
        <w:contextualSpacing/>
        <w:rPr>
          <w:rFonts w:ascii="仿宋" w:hAnsi="仿宋" w:eastAsia="仿宋"/>
          <w:b/>
          <w:bCs/>
        </w:rPr>
      </w:pPr>
    </w:p>
    <w:p>
      <w:pPr>
        <w:pStyle w:val="17"/>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7"/>
        <w:ind w:left="480"/>
        <w:contextualSpacing/>
        <w:rPr>
          <w:rFonts w:ascii="仿宋" w:hAnsi="仿宋" w:eastAsia="仿宋"/>
        </w:rPr>
      </w:pPr>
      <w:r>
        <w:rPr>
          <w:rFonts w:hint="eastAsia" w:ascii="仿宋" w:hAnsi="仿宋" w:eastAsia="仿宋"/>
        </w:rPr>
        <w:t>（五）暂停</w:t>
      </w:r>
      <w:r>
        <w:rPr>
          <w:rFonts w:ascii="仿宋" w:hAnsi="仿宋" w:eastAsia="仿宋"/>
        </w:rPr>
        <w:t>估值</w:t>
      </w:r>
    </w:p>
    <w:p>
      <w:pPr>
        <w:pStyle w:val="17"/>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3.占前一估值日产品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（六）</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7"/>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万份收益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风险揭示</w:t>
      </w:r>
    </w:p>
    <w:p>
      <w:pPr>
        <w:pStyle w:val="17"/>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资产管理计划管理人、债务人、担保人（如有）等相关主体发生违约，可能导致无法按时支付本金及理财收益，进而导致本理财产品收益为零甚至本金遭受损失。</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w:t>
      </w:r>
      <w:r>
        <w:rPr>
          <w:rFonts w:hint="eastAsia" w:ascii="Times New Roman" w:eastAsia="黑体" w:cs="Times New Roman"/>
          <w:b/>
        </w:rPr>
        <w:t>资产</w:t>
      </w:r>
      <w:r>
        <w:rPr>
          <w:rFonts w:ascii="Times New Roman" w:eastAsia="黑体" w:cs="Times New Roman"/>
          <w:b/>
        </w:rPr>
        <w:t>净值遭受损失的可能。</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w:t>
      </w:r>
      <w:r>
        <w:rPr>
          <w:rFonts w:eastAsia="黑体"/>
          <w:b/>
        </w:rPr>
        <w:t>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7"/>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二）或有风险：本理财产品根据每日理财产品收益情况，以每万份理财产品份额已实现收益为基准，为客户每日计算当日收益，并将该收益结转为产品份额。因此，当客户持有份额较低时，由于本理财产品估值方式/收益结转规则等原因可能导致客户无法获取理财收益。</w:t>
      </w:r>
    </w:p>
    <w:p>
      <w:pPr>
        <w:pStyle w:val="17"/>
        <w:snapToGrid w:val="0"/>
        <w:spacing w:line="276" w:lineRule="auto"/>
        <w:ind w:firstLine="482"/>
        <w:contextualSpacing/>
        <w:jc w:val="both"/>
        <w:rPr>
          <w:rFonts w:ascii="Times New Roman" w:eastAsia="黑体" w:cs="Times New Roman"/>
          <w:b/>
          <w:color w:val="auto"/>
        </w:rPr>
      </w:pPr>
      <w:r>
        <w:rPr>
          <w:rFonts w:hint="eastAsia" w:ascii="Times New Roman" w:eastAsia="黑体" w:cs="Times New Roman"/>
          <w:b/>
        </w:rPr>
        <w:t>（十三）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资产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（十四）拟投资市场及资产的流动性风险评估</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17"/>
        <w:snapToGrid w:val="0"/>
        <w:spacing w:line="276" w:lineRule="auto"/>
        <w:ind w:firstLine="482" w:firstLineChars="200"/>
        <w:contextualSpacing/>
        <w:jc w:val="both"/>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（十五）流动性应对措施及对投资者的潜在影响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1．认（申）购风险应对措施及对投资者的潜在影响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2．赎回风险应对措施及对投资者的潜在影响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以及监管机构规定的其他风险应对措施。具体详见本理财产品说明书“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7"/>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（十七）</w:t>
      </w:r>
      <w:r>
        <w:rPr>
          <w:rFonts w:hint="eastAsia" w:ascii="Times New Roman" w:eastAsia="黑体" w:cs="Times New Roman"/>
          <w:b/>
          <w:color w:val="auto"/>
        </w:rPr>
        <w:t>本产品特有风险说明</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eastAsia="黑体" w:cs="Times New Roman"/>
          <w:b/>
          <w:color w:val="auto"/>
        </w:rPr>
        <w:t xml:space="preserve">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3.投资于存款类资产的可能风险：本产品拟投资的存款类资产在极端情况下可能面临被拒绝支取、因提前支取而被收取罚息等费用的风险，从而影响投资者收益，甚至使本产品本金遭受损失。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4.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理财产品半年和年度报告中披露报告期末本产品前10名投资者的类别、持有份额及占总份额的比例等信息。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仿宋"/>
          <w:kern w:val="0"/>
          <w:sz w:val="24"/>
        </w:rPr>
        <w:t>除</w:t>
      </w:r>
      <w:r>
        <w:rPr>
          <w:rFonts w:hint="eastAsia" w:ascii="仿宋" w:hAnsi="仿宋" w:eastAsia="仿宋" w:cs="仿宋"/>
          <w:kern w:val="0"/>
          <w:sz w:val="24"/>
          <w:lang w:val="en-US" w:eastAsia="zh-CN"/>
        </w:rPr>
        <w:t>监管机构</w:t>
      </w:r>
      <w:r>
        <w:rPr>
          <w:rFonts w:hint="eastAsia" w:ascii="仿宋" w:hAnsi="仿宋" w:eastAsia="仿宋" w:cs="仿宋"/>
          <w:kern w:val="0"/>
          <w:sz w:val="24"/>
        </w:rPr>
        <w:t>认定的特殊情形外，如出现单一投资者持有本产品份额达到或者超过产品总份额20%的情形，为保障其他投资者的权益，</w:t>
      </w:r>
      <w:r>
        <w:rPr>
          <w:rFonts w:hint="eastAsia" w:ascii="仿宋" w:hAnsi="仿宋" w:eastAsia="仿宋" w:cs="宋体"/>
          <w:color w:val="000000"/>
          <w:kern w:val="0"/>
          <w:sz w:val="24"/>
        </w:rPr>
        <w:t>管理人将</w:t>
      </w:r>
      <w:r>
        <w:rPr>
          <w:rFonts w:hint="eastAsia" w:ascii="仿宋" w:hAnsi="仿宋" w:eastAsia="仿宋" w:cs="仿宋"/>
          <w:kern w:val="0"/>
          <w:sz w:val="24"/>
        </w:rPr>
        <w:t>在定期报告中披露该投资者的类别、持有份额及占比、持有份额变化情况及产品风险等信息</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“估值日”</w:t>
      </w:r>
      <w:r>
        <w:rPr>
          <w:rFonts w:ascii="仿宋" w:hAnsi="仿宋" w:eastAsia="仿宋" w:cs="宋体"/>
          <w:kern w:val="0"/>
          <w:sz w:val="24"/>
        </w:rPr>
        <w:t>约定披露</w:t>
      </w:r>
      <w:r>
        <w:rPr>
          <w:rFonts w:hint="eastAsia" w:ascii="仿宋" w:hAnsi="仿宋" w:eastAsia="仿宋" w:cs="宋体"/>
          <w:kern w:val="0"/>
          <w:sz w:val="24"/>
        </w:rPr>
        <w:t>每万份理财产品份额已实现收益和七日年化收益率。</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6BFD"/>
    <w:multiLevelType w:val="singleLevel"/>
    <w:tmpl w:val="64D36BFD"/>
    <w:lvl w:ilvl="0" w:tentative="0">
      <w:start w:val="1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4B9"/>
    <w:rsid w:val="00020F81"/>
    <w:rsid w:val="0004485A"/>
    <w:rsid w:val="00044B7F"/>
    <w:rsid w:val="0004783E"/>
    <w:rsid w:val="00053731"/>
    <w:rsid w:val="00063561"/>
    <w:rsid w:val="00070A84"/>
    <w:rsid w:val="000713E1"/>
    <w:rsid w:val="000805E4"/>
    <w:rsid w:val="00085777"/>
    <w:rsid w:val="00092E28"/>
    <w:rsid w:val="000932F8"/>
    <w:rsid w:val="000973A7"/>
    <w:rsid w:val="000A2EE9"/>
    <w:rsid w:val="000A356B"/>
    <w:rsid w:val="000A3C07"/>
    <w:rsid w:val="000B2154"/>
    <w:rsid w:val="000B32CF"/>
    <w:rsid w:val="000D002A"/>
    <w:rsid w:val="000D7DE2"/>
    <w:rsid w:val="000E195A"/>
    <w:rsid w:val="000E7B82"/>
    <w:rsid w:val="001021A5"/>
    <w:rsid w:val="001074ED"/>
    <w:rsid w:val="00111BDB"/>
    <w:rsid w:val="0011683A"/>
    <w:rsid w:val="00116BE4"/>
    <w:rsid w:val="001260F4"/>
    <w:rsid w:val="001318D7"/>
    <w:rsid w:val="001352EF"/>
    <w:rsid w:val="00141481"/>
    <w:rsid w:val="001423F3"/>
    <w:rsid w:val="00142652"/>
    <w:rsid w:val="00146323"/>
    <w:rsid w:val="00167A6E"/>
    <w:rsid w:val="00170760"/>
    <w:rsid w:val="00172A27"/>
    <w:rsid w:val="001B29E5"/>
    <w:rsid w:val="001B2C46"/>
    <w:rsid w:val="001B41BF"/>
    <w:rsid w:val="001E4307"/>
    <w:rsid w:val="001E47F0"/>
    <w:rsid w:val="001F21AD"/>
    <w:rsid w:val="001F4C9F"/>
    <w:rsid w:val="002027A2"/>
    <w:rsid w:val="00203B96"/>
    <w:rsid w:val="00214B23"/>
    <w:rsid w:val="00216CAD"/>
    <w:rsid w:val="00216FDC"/>
    <w:rsid w:val="002473CD"/>
    <w:rsid w:val="002543A9"/>
    <w:rsid w:val="00265998"/>
    <w:rsid w:val="00293AA7"/>
    <w:rsid w:val="00294355"/>
    <w:rsid w:val="002A2967"/>
    <w:rsid w:val="002A2FEF"/>
    <w:rsid w:val="002A6B8E"/>
    <w:rsid w:val="002A7531"/>
    <w:rsid w:val="002C78F6"/>
    <w:rsid w:val="002C7F16"/>
    <w:rsid w:val="002D651D"/>
    <w:rsid w:val="002E5919"/>
    <w:rsid w:val="002E6556"/>
    <w:rsid w:val="002E7501"/>
    <w:rsid w:val="002E7F9D"/>
    <w:rsid w:val="002F54CD"/>
    <w:rsid w:val="003056DE"/>
    <w:rsid w:val="00311EF5"/>
    <w:rsid w:val="003248AF"/>
    <w:rsid w:val="00341E51"/>
    <w:rsid w:val="00351C38"/>
    <w:rsid w:val="003522B1"/>
    <w:rsid w:val="00365E5C"/>
    <w:rsid w:val="00367563"/>
    <w:rsid w:val="003923B3"/>
    <w:rsid w:val="003B43C0"/>
    <w:rsid w:val="003C0388"/>
    <w:rsid w:val="003C51E8"/>
    <w:rsid w:val="003D55AF"/>
    <w:rsid w:val="003D5897"/>
    <w:rsid w:val="003D65A8"/>
    <w:rsid w:val="003D741B"/>
    <w:rsid w:val="003E4BEB"/>
    <w:rsid w:val="003F5AF4"/>
    <w:rsid w:val="003F6114"/>
    <w:rsid w:val="004021F4"/>
    <w:rsid w:val="004179AE"/>
    <w:rsid w:val="0042748A"/>
    <w:rsid w:val="004335E1"/>
    <w:rsid w:val="0043490E"/>
    <w:rsid w:val="00440CBD"/>
    <w:rsid w:val="004418AF"/>
    <w:rsid w:val="00442C87"/>
    <w:rsid w:val="0045546E"/>
    <w:rsid w:val="00462536"/>
    <w:rsid w:val="004734C8"/>
    <w:rsid w:val="00474458"/>
    <w:rsid w:val="004826D2"/>
    <w:rsid w:val="00484075"/>
    <w:rsid w:val="00494748"/>
    <w:rsid w:val="004B06AD"/>
    <w:rsid w:val="004B07F8"/>
    <w:rsid w:val="004C1CD0"/>
    <w:rsid w:val="004C4084"/>
    <w:rsid w:val="004C6D16"/>
    <w:rsid w:val="004C6E9C"/>
    <w:rsid w:val="004D4B19"/>
    <w:rsid w:val="004D51DC"/>
    <w:rsid w:val="004E7D97"/>
    <w:rsid w:val="004F0884"/>
    <w:rsid w:val="004F4E81"/>
    <w:rsid w:val="004F648F"/>
    <w:rsid w:val="00501BB4"/>
    <w:rsid w:val="0050363E"/>
    <w:rsid w:val="005114E6"/>
    <w:rsid w:val="00512B7C"/>
    <w:rsid w:val="005238C8"/>
    <w:rsid w:val="00524B47"/>
    <w:rsid w:val="005272F0"/>
    <w:rsid w:val="00532BEE"/>
    <w:rsid w:val="00554B78"/>
    <w:rsid w:val="005604F6"/>
    <w:rsid w:val="00560CC1"/>
    <w:rsid w:val="005727C8"/>
    <w:rsid w:val="005738F5"/>
    <w:rsid w:val="00575B6E"/>
    <w:rsid w:val="00576EC5"/>
    <w:rsid w:val="005835EB"/>
    <w:rsid w:val="0058669B"/>
    <w:rsid w:val="005B536D"/>
    <w:rsid w:val="005C08EC"/>
    <w:rsid w:val="005C120E"/>
    <w:rsid w:val="005C1CE0"/>
    <w:rsid w:val="005D18AA"/>
    <w:rsid w:val="005D3AAF"/>
    <w:rsid w:val="005E2B0F"/>
    <w:rsid w:val="005E4DED"/>
    <w:rsid w:val="005F0094"/>
    <w:rsid w:val="005F45E5"/>
    <w:rsid w:val="005F66E4"/>
    <w:rsid w:val="005F6DC4"/>
    <w:rsid w:val="005F7E82"/>
    <w:rsid w:val="00602ED4"/>
    <w:rsid w:val="00603144"/>
    <w:rsid w:val="006075D0"/>
    <w:rsid w:val="00613BD1"/>
    <w:rsid w:val="00637FF9"/>
    <w:rsid w:val="00656FE9"/>
    <w:rsid w:val="00664059"/>
    <w:rsid w:val="00670595"/>
    <w:rsid w:val="00677437"/>
    <w:rsid w:val="00681E3A"/>
    <w:rsid w:val="0068328B"/>
    <w:rsid w:val="006860DD"/>
    <w:rsid w:val="0069073D"/>
    <w:rsid w:val="006915E0"/>
    <w:rsid w:val="0069363A"/>
    <w:rsid w:val="00697979"/>
    <w:rsid w:val="006D3A14"/>
    <w:rsid w:val="006E0E9D"/>
    <w:rsid w:val="006E742E"/>
    <w:rsid w:val="006F119A"/>
    <w:rsid w:val="006F2EAC"/>
    <w:rsid w:val="006F3678"/>
    <w:rsid w:val="006F50CA"/>
    <w:rsid w:val="00712CC7"/>
    <w:rsid w:val="00734D46"/>
    <w:rsid w:val="007400C3"/>
    <w:rsid w:val="00741B26"/>
    <w:rsid w:val="0076343F"/>
    <w:rsid w:val="00765DA1"/>
    <w:rsid w:val="0076606B"/>
    <w:rsid w:val="00774B07"/>
    <w:rsid w:val="00777429"/>
    <w:rsid w:val="00777976"/>
    <w:rsid w:val="007815CF"/>
    <w:rsid w:val="00785CAB"/>
    <w:rsid w:val="00792744"/>
    <w:rsid w:val="007A054C"/>
    <w:rsid w:val="007A0CFA"/>
    <w:rsid w:val="007B389C"/>
    <w:rsid w:val="007B48AD"/>
    <w:rsid w:val="007B5822"/>
    <w:rsid w:val="007D22F9"/>
    <w:rsid w:val="007E6FA9"/>
    <w:rsid w:val="007F32C1"/>
    <w:rsid w:val="008137C7"/>
    <w:rsid w:val="008277B6"/>
    <w:rsid w:val="00833D92"/>
    <w:rsid w:val="00836548"/>
    <w:rsid w:val="0083661A"/>
    <w:rsid w:val="00836CF0"/>
    <w:rsid w:val="00843345"/>
    <w:rsid w:val="00846F1F"/>
    <w:rsid w:val="00852D93"/>
    <w:rsid w:val="00863612"/>
    <w:rsid w:val="00864B44"/>
    <w:rsid w:val="00870823"/>
    <w:rsid w:val="00874410"/>
    <w:rsid w:val="00887E73"/>
    <w:rsid w:val="0089364D"/>
    <w:rsid w:val="008A01E9"/>
    <w:rsid w:val="008A17A7"/>
    <w:rsid w:val="008A4738"/>
    <w:rsid w:val="008D0FA3"/>
    <w:rsid w:val="008D19F3"/>
    <w:rsid w:val="008D5335"/>
    <w:rsid w:val="008D5F85"/>
    <w:rsid w:val="008E0C40"/>
    <w:rsid w:val="008F6891"/>
    <w:rsid w:val="00902123"/>
    <w:rsid w:val="0091493F"/>
    <w:rsid w:val="00916782"/>
    <w:rsid w:val="009267C7"/>
    <w:rsid w:val="00944E6A"/>
    <w:rsid w:val="00971A91"/>
    <w:rsid w:val="00972105"/>
    <w:rsid w:val="0097734D"/>
    <w:rsid w:val="00991FA8"/>
    <w:rsid w:val="009941FD"/>
    <w:rsid w:val="009A3572"/>
    <w:rsid w:val="009A3901"/>
    <w:rsid w:val="009A4903"/>
    <w:rsid w:val="009A5350"/>
    <w:rsid w:val="009B3182"/>
    <w:rsid w:val="009B7074"/>
    <w:rsid w:val="009C0A85"/>
    <w:rsid w:val="009C16E3"/>
    <w:rsid w:val="009C4B76"/>
    <w:rsid w:val="009C5840"/>
    <w:rsid w:val="009E6D89"/>
    <w:rsid w:val="009F0D25"/>
    <w:rsid w:val="009F1CB5"/>
    <w:rsid w:val="00A25440"/>
    <w:rsid w:val="00A33474"/>
    <w:rsid w:val="00A35F83"/>
    <w:rsid w:val="00A375DD"/>
    <w:rsid w:val="00A51A90"/>
    <w:rsid w:val="00A547BE"/>
    <w:rsid w:val="00A55E93"/>
    <w:rsid w:val="00A87692"/>
    <w:rsid w:val="00A92C8C"/>
    <w:rsid w:val="00A93593"/>
    <w:rsid w:val="00A95EB7"/>
    <w:rsid w:val="00A978E7"/>
    <w:rsid w:val="00AA7D8A"/>
    <w:rsid w:val="00AC3282"/>
    <w:rsid w:val="00AD7FE0"/>
    <w:rsid w:val="00AE1B0B"/>
    <w:rsid w:val="00AF3F07"/>
    <w:rsid w:val="00B0003E"/>
    <w:rsid w:val="00B2620A"/>
    <w:rsid w:val="00B27136"/>
    <w:rsid w:val="00B47C68"/>
    <w:rsid w:val="00B5695A"/>
    <w:rsid w:val="00B72B76"/>
    <w:rsid w:val="00B72DAB"/>
    <w:rsid w:val="00BA7546"/>
    <w:rsid w:val="00BA77A8"/>
    <w:rsid w:val="00BB4269"/>
    <w:rsid w:val="00BC4B7F"/>
    <w:rsid w:val="00BE076D"/>
    <w:rsid w:val="00BE1EBE"/>
    <w:rsid w:val="00BE4A47"/>
    <w:rsid w:val="00BF19EC"/>
    <w:rsid w:val="00BF32DC"/>
    <w:rsid w:val="00BF3BE3"/>
    <w:rsid w:val="00C0523A"/>
    <w:rsid w:val="00C052EB"/>
    <w:rsid w:val="00C07293"/>
    <w:rsid w:val="00C15888"/>
    <w:rsid w:val="00C33E4C"/>
    <w:rsid w:val="00C43092"/>
    <w:rsid w:val="00C77B92"/>
    <w:rsid w:val="00C83009"/>
    <w:rsid w:val="00CA7549"/>
    <w:rsid w:val="00CC1EEF"/>
    <w:rsid w:val="00CD2B51"/>
    <w:rsid w:val="00CE0ED7"/>
    <w:rsid w:val="00CF6CE2"/>
    <w:rsid w:val="00D04582"/>
    <w:rsid w:val="00D06C20"/>
    <w:rsid w:val="00D10349"/>
    <w:rsid w:val="00D20170"/>
    <w:rsid w:val="00D31F9E"/>
    <w:rsid w:val="00D323E8"/>
    <w:rsid w:val="00D3392B"/>
    <w:rsid w:val="00D34745"/>
    <w:rsid w:val="00D429BD"/>
    <w:rsid w:val="00D5340A"/>
    <w:rsid w:val="00D65353"/>
    <w:rsid w:val="00D7479E"/>
    <w:rsid w:val="00D75020"/>
    <w:rsid w:val="00D87E03"/>
    <w:rsid w:val="00D919BF"/>
    <w:rsid w:val="00DA36BD"/>
    <w:rsid w:val="00DB3260"/>
    <w:rsid w:val="00DC3F67"/>
    <w:rsid w:val="00DC602D"/>
    <w:rsid w:val="00DE1921"/>
    <w:rsid w:val="00DE2987"/>
    <w:rsid w:val="00DF0967"/>
    <w:rsid w:val="00E407A1"/>
    <w:rsid w:val="00E44569"/>
    <w:rsid w:val="00E4493B"/>
    <w:rsid w:val="00E46D53"/>
    <w:rsid w:val="00E64B82"/>
    <w:rsid w:val="00E64E9C"/>
    <w:rsid w:val="00E816F5"/>
    <w:rsid w:val="00E879FF"/>
    <w:rsid w:val="00E93B13"/>
    <w:rsid w:val="00E95A0F"/>
    <w:rsid w:val="00EB07F6"/>
    <w:rsid w:val="00EB0C68"/>
    <w:rsid w:val="00EE1D7F"/>
    <w:rsid w:val="00EE7A2F"/>
    <w:rsid w:val="00F05AEA"/>
    <w:rsid w:val="00F1161D"/>
    <w:rsid w:val="00F1550F"/>
    <w:rsid w:val="00F15940"/>
    <w:rsid w:val="00F31A37"/>
    <w:rsid w:val="00F36652"/>
    <w:rsid w:val="00F37C88"/>
    <w:rsid w:val="00F40BCA"/>
    <w:rsid w:val="00F444A8"/>
    <w:rsid w:val="00F5167D"/>
    <w:rsid w:val="00F56D69"/>
    <w:rsid w:val="00F76F4B"/>
    <w:rsid w:val="00F9415B"/>
    <w:rsid w:val="00F96177"/>
    <w:rsid w:val="00FB4D82"/>
    <w:rsid w:val="00FC161C"/>
    <w:rsid w:val="00FC1677"/>
    <w:rsid w:val="00FD2903"/>
    <w:rsid w:val="00FE1291"/>
    <w:rsid w:val="00FE482B"/>
    <w:rsid w:val="00FF56AD"/>
    <w:rsid w:val="00FF7933"/>
    <w:rsid w:val="017424F2"/>
    <w:rsid w:val="017F1A2D"/>
    <w:rsid w:val="018D5F51"/>
    <w:rsid w:val="01E20B3F"/>
    <w:rsid w:val="01EB6FEC"/>
    <w:rsid w:val="01FE5EB7"/>
    <w:rsid w:val="02186B3E"/>
    <w:rsid w:val="02377743"/>
    <w:rsid w:val="02A409C3"/>
    <w:rsid w:val="02D7075A"/>
    <w:rsid w:val="03204429"/>
    <w:rsid w:val="03580B6D"/>
    <w:rsid w:val="035F3318"/>
    <w:rsid w:val="03675632"/>
    <w:rsid w:val="03772BBD"/>
    <w:rsid w:val="03DB06FE"/>
    <w:rsid w:val="03FB2A50"/>
    <w:rsid w:val="04B16B62"/>
    <w:rsid w:val="05215177"/>
    <w:rsid w:val="054A5192"/>
    <w:rsid w:val="05546830"/>
    <w:rsid w:val="05BB571F"/>
    <w:rsid w:val="05EA782D"/>
    <w:rsid w:val="061B47CC"/>
    <w:rsid w:val="062067C9"/>
    <w:rsid w:val="06666BF6"/>
    <w:rsid w:val="06824DAB"/>
    <w:rsid w:val="06A06E27"/>
    <w:rsid w:val="06F9619C"/>
    <w:rsid w:val="072E0D88"/>
    <w:rsid w:val="081C2041"/>
    <w:rsid w:val="08417372"/>
    <w:rsid w:val="08497BE8"/>
    <w:rsid w:val="087A37FC"/>
    <w:rsid w:val="087A4BE9"/>
    <w:rsid w:val="08871BED"/>
    <w:rsid w:val="08961A5A"/>
    <w:rsid w:val="08A96CC2"/>
    <w:rsid w:val="08F619C1"/>
    <w:rsid w:val="093F17D6"/>
    <w:rsid w:val="095345F4"/>
    <w:rsid w:val="0A0F44CD"/>
    <w:rsid w:val="0A2F0E4D"/>
    <w:rsid w:val="0AA97A8C"/>
    <w:rsid w:val="0AAD0691"/>
    <w:rsid w:val="0AE87BC0"/>
    <w:rsid w:val="0AF36C07"/>
    <w:rsid w:val="0B047D48"/>
    <w:rsid w:val="0B9C5D9B"/>
    <w:rsid w:val="0BA27F6B"/>
    <w:rsid w:val="0BBD1B53"/>
    <w:rsid w:val="0BDC0D35"/>
    <w:rsid w:val="0C4909B7"/>
    <w:rsid w:val="0C490CC3"/>
    <w:rsid w:val="0C510FA4"/>
    <w:rsid w:val="0C9E5955"/>
    <w:rsid w:val="0CD83226"/>
    <w:rsid w:val="0CE572CD"/>
    <w:rsid w:val="0CE67036"/>
    <w:rsid w:val="0CEB478F"/>
    <w:rsid w:val="0D1B0D60"/>
    <w:rsid w:val="0D286D0A"/>
    <w:rsid w:val="0D3379D2"/>
    <w:rsid w:val="0D511F69"/>
    <w:rsid w:val="0D591559"/>
    <w:rsid w:val="0DC52C23"/>
    <w:rsid w:val="0DC653B7"/>
    <w:rsid w:val="0DD56DF0"/>
    <w:rsid w:val="0DE54F1B"/>
    <w:rsid w:val="0DF70178"/>
    <w:rsid w:val="0E051537"/>
    <w:rsid w:val="0E247DD8"/>
    <w:rsid w:val="0E3C3C0F"/>
    <w:rsid w:val="0E453D26"/>
    <w:rsid w:val="0E541AF6"/>
    <w:rsid w:val="0E6A767E"/>
    <w:rsid w:val="0E8143FC"/>
    <w:rsid w:val="0E8D60ED"/>
    <w:rsid w:val="0EBE477B"/>
    <w:rsid w:val="0EEC778C"/>
    <w:rsid w:val="0F2862EC"/>
    <w:rsid w:val="0FD53E86"/>
    <w:rsid w:val="0FE53808"/>
    <w:rsid w:val="0FF521BC"/>
    <w:rsid w:val="106632AE"/>
    <w:rsid w:val="117C0D4E"/>
    <w:rsid w:val="11972A15"/>
    <w:rsid w:val="11B162FD"/>
    <w:rsid w:val="11BB3DB9"/>
    <w:rsid w:val="11CB222C"/>
    <w:rsid w:val="11D21B30"/>
    <w:rsid w:val="11F421AE"/>
    <w:rsid w:val="121940A5"/>
    <w:rsid w:val="123B658C"/>
    <w:rsid w:val="124D59B1"/>
    <w:rsid w:val="12756877"/>
    <w:rsid w:val="12B32FBA"/>
    <w:rsid w:val="12C14CAB"/>
    <w:rsid w:val="12CD421A"/>
    <w:rsid w:val="12CD4972"/>
    <w:rsid w:val="12FA2A1E"/>
    <w:rsid w:val="12FB08EA"/>
    <w:rsid w:val="13457262"/>
    <w:rsid w:val="13BB706F"/>
    <w:rsid w:val="13E25BD9"/>
    <w:rsid w:val="142741A0"/>
    <w:rsid w:val="14346DEC"/>
    <w:rsid w:val="144B618F"/>
    <w:rsid w:val="145A1EF2"/>
    <w:rsid w:val="1469754C"/>
    <w:rsid w:val="14915148"/>
    <w:rsid w:val="149C2737"/>
    <w:rsid w:val="149E1BBB"/>
    <w:rsid w:val="14F71E23"/>
    <w:rsid w:val="14FD2EFF"/>
    <w:rsid w:val="15290B88"/>
    <w:rsid w:val="152A1DB0"/>
    <w:rsid w:val="152F250E"/>
    <w:rsid w:val="155D4436"/>
    <w:rsid w:val="15663833"/>
    <w:rsid w:val="15DA3B37"/>
    <w:rsid w:val="16002490"/>
    <w:rsid w:val="16457F02"/>
    <w:rsid w:val="16800450"/>
    <w:rsid w:val="168D6A39"/>
    <w:rsid w:val="169510B8"/>
    <w:rsid w:val="16DD4AF1"/>
    <w:rsid w:val="170A0D35"/>
    <w:rsid w:val="17322FFC"/>
    <w:rsid w:val="17387E5D"/>
    <w:rsid w:val="174C5C47"/>
    <w:rsid w:val="175B52A0"/>
    <w:rsid w:val="178D27B4"/>
    <w:rsid w:val="17CE27A3"/>
    <w:rsid w:val="17E14A76"/>
    <w:rsid w:val="182014A2"/>
    <w:rsid w:val="18294E04"/>
    <w:rsid w:val="182A4C9A"/>
    <w:rsid w:val="1885242E"/>
    <w:rsid w:val="1892050E"/>
    <w:rsid w:val="18D80C51"/>
    <w:rsid w:val="18EE0BF6"/>
    <w:rsid w:val="192B2275"/>
    <w:rsid w:val="195E43A9"/>
    <w:rsid w:val="19835E95"/>
    <w:rsid w:val="19854B76"/>
    <w:rsid w:val="198557BA"/>
    <w:rsid w:val="19997290"/>
    <w:rsid w:val="19B17BB1"/>
    <w:rsid w:val="19D84AF5"/>
    <w:rsid w:val="1A0C2276"/>
    <w:rsid w:val="1A287FEA"/>
    <w:rsid w:val="1A542352"/>
    <w:rsid w:val="1A707A6D"/>
    <w:rsid w:val="1A7D6D25"/>
    <w:rsid w:val="1A816486"/>
    <w:rsid w:val="1A893942"/>
    <w:rsid w:val="1A907FA2"/>
    <w:rsid w:val="1AA37FD6"/>
    <w:rsid w:val="1AD533CC"/>
    <w:rsid w:val="1B2A72DF"/>
    <w:rsid w:val="1B70123A"/>
    <w:rsid w:val="1BA64FD1"/>
    <w:rsid w:val="1BBC5A18"/>
    <w:rsid w:val="1BC93F0E"/>
    <w:rsid w:val="1BE97487"/>
    <w:rsid w:val="1BF32374"/>
    <w:rsid w:val="1C0776AF"/>
    <w:rsid w:val="1C2F5121"/>
    <w:rsid w:val="1C3E4461"/>
    <w:rsid w:val="1C6357AF"/>
    <w:rsid w:val="1CAC5E2B"/>
    <w:rsid w:val="1CB30F21"/>
    <w:rsid w:val="1CC71CB2"/>
    <w:rsid w:val="1CDF5587"/>
    <w:rsid w:val="1CFC6808"/>
    <w:rsid w:val="1D023468"/>
    <w:rsid w:val="1D21524E"/>
    <w:rsid w:val="1D795BF8"/>
    <w:rsid w:val="1D880488"/>
    <w:rsid w:val="1D941E49"/>
    <w:rsid w:val="1D964AA9"/>
    <w:rsid w:val="1DD036B2"/>
    <w:rsid w:val="1DD4275F"/>
    <w:rsid w:val="1E2D2CD3"/>
    <w:rsid w:val="1E356AFA"/>
    <w:rsid w:val="1E667538"/>
    <w:rsid w:val="1E724912"/>
    <w:rsid w:val="1F05126A"/>
    <w:rsid w:val="1F0F560D"/>
    <w:rsid w:val="1F485A62"/>
    <w:rsid w:val="1F4C4E6D"/>
    <w:rsid w:val="1F772D2E"/>
    <w:rsid w:val="1F816CB6"/>
    <w:rsid w:val="1F83473D"/>
    <w:rsid w:val="1FC2672F"/>
    <w:rsid w:val="1FDF1459"/>
    <w:rsid w:val="2005103A"/>
    <w:rsid w:val="201D0297"/>
    <w:rsid w:val="204A0870"/>
    <w:rsid w:val="20815EF5"/>
    <w:rsid w:val="20867430"/>
    <w:rsid w:val="20C822D8"/>
    <w:rsid w:val="213965CD"/>
    <w:rsid w:val="22086EAE"/>
    <w:rsid w:val="220D5EC8"/>
    <w:rsid w:val="223431B1"/>
    <w:rsid w:val="2237702E"/>
    <w:rsid w:val="22856903"/>
    <w:rsid w:val="22C149FC"/>
    <w:rsid w:val="22F1518B"/>
    <w:rsid w:val="23491522"/>
    <w:rsid w:val="235848D4"/>
    <w:rsid w:val="238C25BD"/>
    <w:rsid w:val="242A57D7"/>
    <w:rsid w:val="243715D9"/>
    <w:rsid w:val="247E15E7"/>
    <w:rsid w:val="24905AFE"/>
    <w:rsid w:val="24A55EAE"/>
    <w:rsid w:val="24A713B1"/>
    <w:rsid w:val="24A91031"/>
    <w:rsid w:val="24B96681"/>
    <w:rsid w:val="24BD22AA"/>
    <w:rsid w:val="25152CD3"/>
    <w:rsid w:val="251F6054"/>
    <w:rsid w:val="25393374"/>
    <w:rsid w:val="256817FD"/>
    <w:rsid w:val="25E06B30"/>
    <w:rsid w:val="25E72FA7"/>
    <w:rsid w:val="260555E3"/>
    <w:rsid w:val="264432C1"/>
    <w:rsid w:val="2644611B"/>
    <w:rsid w:val="264F5910"/>
    <w:rsid w:val="269E4826"/>
    <w:rsid w:val="26C402B0"/>
    <w:rsid w:val="26D15FFB"/>
    <w:rsid w:val="26D43DEA"/>
    <w:rsid w:val="27015D0E"/>
    <w:rsid w:val="273147E4"/>
    <w:rsid w:val="27487015"/>
    <w:rsid w:val="277314C4"/>
    <w:rsid w:val="278E64B4"/>
    <w:rsid w:val="27A84C42"/>
    <w:rsid w:val="27AA14A2"/>
    <w:rsid w:val="27FE4411"/>
    <w:rsid w:val="281C44D0"/>
    <w:rsid w:val="28231557"/>
    <w:rsid w:val="28347384"/>
    <w:rsid w:val="287A4275"/>
    <w:rsid w:val="288D0D17"/>
    <w:rsid w:val="288D4437"/>
    <w:rsid w:val="289E0FB2"/>
    <w:rsid w:val="28A05AF6"/>
    <w:rsid w:val="28B6434B"/>
    <w:rsid w:val="28B70DC9"/>
    <w:rsid w:val="28FD484F"/>
    <w:rsid w:val="294E550A"/>
    <w:rsid w:val="29711978"/>
    <w:rsid w:val="298634AE"/>
    <w:rsid w:val="29A17B31"/>
    <w:rsid w:val="29C25891"/>
    <w:rsid w:val="29D607E3"/>
    <w:rsid w:val="29D954B6"/>
    <w:rsid w:val="2A3F789A"/>
    <w:rsid w:val="2A4B1A28"/>
    <w:rsid w:val="2A5316BD"/>
    <w:rsid w:val="2A567387"/>
    <w:rsid w:val="2A66542F"/>
    <w:rsid w:val="2AA77AF3"/>
    <w:rsid w:val="2B3649F4"/>
    <w:rsid w:val="2B4136CC"/>
    <w:rsid w:val="2B4675FA"/>
    <w:rsid w:val="2BB602C5"/>
    <w:rsid w:val="2BD85FC4"/>
    <w:rsid w:val="2BE937E9"/>
    <w:rsid w:val="2BF50AB4"/>
    <w:rsid w:val="2BFA0E70"/>
    <w:rsid w:val="2C1A0883"/>
    <w:rsid w:val="2CBE178B"/>
    <w:rsid w:val="2CDB2A6D"/>
    <w:rsid w:val="2CDB7E63"/>
    <w:rsid w:val="2CF84C77"/>
    <w:rsid w:val="2D434FF8"/>
    <w:rsid w:val="2D5678E7"/>
    <w:rsid w:val="2D567A0C"/>
    <w:rsid w:val="2D711E9B"/>
    <w:rsid w:val="2DA05DCE"/>
    <w:rsid w:val="2DE230E2"/>
    <w:rsid w:val="2E280CE0"/>
    <w:rsid w:val="2EB70711"/>
    <w:rsid w:val="2EC208DF"/>
    <w:rsid w:val="2EFB2BF8"/>
    <w:rsid w:val="2F223C18"/>
    <w:rsid w:val="2F401A95"/>
    <w:rsid w:val="2F517C68"/>
    <w:rsid w:val="2F5716BB"/>
    <w:rsid w:val="2F6F3E0B"/>
    <w:rsid w:val="2F776CD8"/>
    <w:rsid w:val="2F797671"/>
    <w:rsid w:val="2F854CC7"/>
    <w:rsid w:val="2F9C3AD1"/>
    <w:rsid w:val="2FDD2BC4"/>
    <w:rsid w:val="2FF679D7"/>
    <w:rsid w:val="2FFE38B8"/>
    <w:rsid w:val="30372F83"/>
    <w:rsid w:val="30653C55"/>
    <w:rsid w:val="307C6D47"/>
    <w:rsid w:val="30970336"/>
    <w:rsid w:val="30B93C1E"/>
    <w:rsid w:val="30C952F8"/>
    <w:rsid w:val="30DB5390"/>
    <w:rsid w:val="30FB34C3"/>
    <w:rsid w:val="3118389A"/>
    <w:rsid w:val="31481E6B"/>
    <w:rsid w:val="3166520A"/>
    <w:rsid w:val="31A367EC"/>
    <w:rsid w:val="31AC410D"/>
    <w:rsid w:val="31C13694"/>
    <w:rsid w:val="31CF5586"/>
    <w:rsid w:val="31F15941"/>
    <w:rsid w:val="32066AC4"/>
    <w:rsid w:val="320C78A0"/>
    <w:rsid w:val="322814D9"/>
    <w:rsid w:val="322E3BBE"/>
    <w:rsid w:val="3232204B"/>
    <w:rsid w:val="323649A0"/>
    <w:rsid w:val="323C48F6"/>
    <w:rsid w:val="3244761B"/>
    <w:rsid w:val="329A0B6A"/>
    <w:rsid w:val="32C642E9"/>
    <w:rsid w:val="32F51B26"/>
    <w:rsid w:val="332573C9"/>
    <w:rsid w:val="33413346"/>
    <w:rsid w:val="338406B7"/>
    <w:rsid w:val="33D00590"/>
    <w:rsid w:val="33DE2570"/>
    <w:rsid w:val="342C7624"/>
    <w:rsid w:val="343321EB"/>
    <w:rsid w:val="34477241"/>
    <w:rsid w:val="34632B4A"/>
    <w:rsid w:val="34854AB1"/>
    <w:rsid w:val="34A63F82"/>
    <w:rsid w:val="34D81416"/>
    <w:rsid w:val="350A7012"/>
    <w:rsid w:val="3549364E"/>
    <w:rsid w:val="3561294B"/>
    <w:rsid w:val="35632366"/>
    <w:rsid w:val="35706816"/>
    <w:rsid w:val="36003080"/>
    <w:rsid w:val="360161F0"/>
    <w:rsid w:val="36050641"/>
    <w:rsid w:val="36086F35"/>
    <w:rsid w:val="36347F8D"/>
    <w:rsid w:val="36365F0F"/>
    <w:rsid w:val="368A5EEE"/>
    <w:rsid w:val="36BD4906"/>
    <w:rsid w:val="372651A6"/>
    <w:rsid w:val="375515EF"/>
    <w:rsid w:val="37607611"/>
    <w:rsid w:val="37854D30"/>
    <w:rsid w:val="37A63971"/>
    <w:rsid w:val="37A91B2F"/>
    <w:rsid w:val="37FE632C"/>
    <w:rsid w:val="381E7A1B"/>
    <w:rsid w:val="382265A3"/>
    <w:rsid w:val="3829650F"/>
    <w:rsid w:val="384A684E"/>
    <w:rsid w:val="384D71FD"/>
    <w:rsid w:val="3858386F"/>
    <w:rsid w:val="386B45BC"/>
    <w:rsid w:val="388A594F"/>
    <w:rsid w:val="38A13376"/>
    <w:rsid w:val="38B20142"/>
    <w:rsid w:val="38DB1CEB"/>
    <w:rsid w:val="39006650"/>
    <w:rsid w:val="39223F50"/>
    <w:rsid w:val="39915230"/>
    <w:rsid w:val="39B533F4"/>
    <w:rsid w:val="39F77D8B"/>
    <w:rsid w:val="3A0C5E4C"/>
    <w:rsid w:val="3A106854"/>
    <w:rsid w:val="3A166DB1"/>
    <w:rsid w:val="3A1E7C06"/>
    <w:rsid w:val="3A242CB1"/>
    <w:rsid w:val="3A3D41CD"/>
    <w:rsid w:val="3A476F2A"/>
    <w:rsid w:val="3A637C30"/>
    <w:rsid w:val="3A6464DA"/>
    <w:rsid w:val="3A8D0AE7"/>
    <w:rsid w:val="3A8D59FD"/>
    <w:rsid w:val="3AB61CC0"/>
    <w:rsid w:val="3AB67D23"/>
    <w:rsid w:val="3AED76F3"/>
    <w:rsid w:val="3B025489"/>
    <w:rsid w:val="3B35691C"/>
    <w:rsid w:val="3B507595"/>
    <w:rsid w:val="3B586C51"/>
    <w:rsid w:val="3B586E2D"/>
    <w:rsid w:val="3BF602C6"/>
    <w:rsid w:val="3BFC5A26"/>
    <w:rsid w:val="3C691FB2"/>
    <w:rsid w:val="3CC37C27"/>
    <w:rsid w:val="3D212EDB"/>
    <w:rsid w:val="3D2A5959"/>
    <w:rsid w:val="3D3B3330"/>
    <w:rsid w:val="3D3E51D5"/>
    <w:rsid w:val="3D527E27"/>
    <w:rsid w:val="3D7470CD"/>
    <w:rsid w:val="3E9E74E5"/>
    <w:rsid w:val="3EA05215"/>
    <w:rsid w:val="3F1E5AF3"/>
    <w:rsid w:val="3F615A66"/>
    <w:rsid w:val="3F857305"/>
    <w:rsid w:val="3F9148EF"/>
    <w:rsid w:val="3F996600"/>
    <w:rsid w:val="3FC170E1"/>
    <w:rsid w:val="40424F16"/>
    <w:rsid w:val="4071483C"/>
    <w:rsid w:val="40897331"/>
    <w:rsid w:val="40A300AE"/>
    <w:rsid w:val="40DD3147"/>
    <w:rsid w:val="41450ED1"/>
    <w:rsid w:val="419803FF"/>
    <w:rsid w:val="41A75327"/>
    <w:rsid w:val="41C9127A"/>
    <w:rsid w:val="41D03DB3"/>
    <w:rsid w:val="41DE07D6"/>
    <w:rsid w:val="41F9503A"/>
    <w:rsid w:val="422B389D"/>
    <w:rsid w:val="42482E3A"/>
    <w:rsid w:val="425932C8"/>
    <w:rsid w:val="426C0C5A"/>
    <w:rsid w:val="42726493"/>
    <w:rsid w:val="4295623C"/>
    <w:rsid w:val="434F08E3"/>
    <w:rsid w:val="436469F4"/>
    <w:rsid w:val="43BE323F"/>
    <w:rsid w:val="43F037FF"/>
    <w:rsid w:val="44181054"/>
    <w:rsid w:val="4436230D"/>
    <w:rsid w:val="44513CC6"/>
    <w:rsid w:val="446902B0"/>
    <w:rsid w:val="447D2EE6"/>
    <w:rsid w:val="44B23C7E"/>
    <w:rsid w:val="44B3664E"/>
    <w:rsid w:val="44C2436C"/>
    <w:rsid w:val="44C3352A"/>
    <w:rsid w:val="44D90650"/>
    <w:rsid w:val="44E71197"/>
    <w:rsid w:val="45225B34"/>
    <w:rsid w:val="454247FC"/>
    <w:rsid w:val="45C2437E"/>
    <w:rsid w:val="45D022A1"/>
    <w:rsid w:val="46250637"/>
    <w:rsid w:val="464740FB"/>
    <w:rsid w:val="464C0E67"/>
    <w:rsid w:val="46513A30"/>
    <w:rsid w:val="46945BA3"/>
    <w:rsid w:val="469C1860"/>
    <w:rsid w:val="46EB55F0"/>
    <w:rsid w:val="46FD2B36"/>
    <w:rsid w:val="47194283"/>
    <w:rsid w:val="47195210"/>
    <w:rsid w:val="47213040"/>
    <w:rsid w:val="475F6725"/>
    <w:rsid w:val="477E7CE9"/>
    <w:rsid w:val="479D2431"/>
    <w:rsid w:val="47D04269"/>
    <w:rsid w:val="48100387"/>
    <w:rsid w:val="486825DE"/>
    <w:rsid w:val="486C54E8"/>
    <w:rsid w:val="488F143A"/>
    <w:rsid w:val="489F1960"/>
    <w:rsid w:val="48A26DA2"/>
    <w:rsid w:val="48A8042C"/>
    <w:rsid w:val="490948E6"/>
    <w:rsid w:val="492F3120"/>
    <w:rsid w:val="493D4634"/>
    <w:rsid w:val="495C1F8D"/>
    <w:rsid w:val="49F87C40"/>
    <w:rsid w:val="4A03697C"/>
    <w:rsid w:val="4A646C71"/>
    <w:rsid w:val="4A8F19BE"/>
    <w:rsid w:val="4A974BFD"/>
    <w:rsid w:val="4AB02150"/>
    <w:rsid w:val="4AB7027F"/>
    <w:rsid w:val="4AC53274"/>
    <w:rsid w:val="4AEA55F5"/>
    <w:rsid w:val="4B06606B"/>
    <w:rsid w:val="4B23478E"/>
    <w:rsid w:val="4B29022A"/>
    <w:rsid w:val="4B353D3D"/>
    <w:rsid w:val="4B35458C"/>
    <w:rsid w:val="4B3D2C38"/>
    <w:rsid w:val="4B5C5551"/>
    <w:rsid w:val="4B635568"/>
    <w:rsid w:val="4B9A6CD9"/>
    <w:rsid w:val="4BBA2E9C"/>
    <w:rsid w:val="4BCC0D7F"/>
    <w:rsid w:val="4BDE415D"/>
    <w:rsid w:val="4C35736E"/>
    <w:rsid w:val="4C550775"/>
    <w:rsid w:val="4C6E51A1"/>
    <w:rsid w:val="4C7C2E04"/>
    <w:rsid w:val="4CC42E4B"/>
    <w:rsid w:val="4CD85E6F"/>
    <w:rsid w:val="4DA84AC9"/>
    <w:rsid w:val="4DCD58EF"/>
    <w:rsid w:val="4E006899"/>
    <w:rsid w:val="4E411F26"/>
    <w:rsid w:val="4E4604CC"/>
    <w:rsid w:val="4E473098"/>
    <w:rsid w:val="4E645C2C"/>
    <w:rsid w:val="4E6B607B"/>
    <w:rsid w:val="4E700033"/>
    <w:rsid w:val="4E712B50"/>
    <w:rsid w:val="4E7E67D5"/>
    <w:rsid w:val="4EE704C2"/>
    <w:rsid w:val="4F4F2A69"/>
    <w:rsid w:val="4F6E3CC3"/>
    <w:rsid w:val="4FAC2EBB"/>
    <w:rsid w:val="4FF37847"/>
    <w:rsid w:val="4FF8765E"/>
    <w:rsid w:val="500E49CD"/>
    <w:rsid w:val="500F1CD5"/>
    <w:rsid w:val="5019557F"/>
    <w:rsid w:val="506B6199"/>
    <w:rsid w:val="50B70C85"/>
    <w:rsid w:val="50FA2C7C"/>
    <w:rsid w:val="510B3421"/>
    <w:rsid w:val="511D25A1"/>
    <w:rsid w:val="511D4C1C"/>
    <w:rsid w:val="51210E5D"/>
    <w:rsid w:val="515D35E9"/>
    <w:rsid w:val="51713776"/>
    <w:rsid w:val="517B49F0"/>
    <w:rsid w:val="51A36407"/>
    <w:rsid w:val="51C86B56"/>
    <w:rsid w:val="51D60B75"/>
    <w:rsid w:val="51D91B25"/>
    <w:rsid w:val="51FA42D4"/>
    <w:rsid w:val="5202225E"/>
    <w:rsid w:val="522A5C96"/>
    <w:rsid w:val="522E237C"/>
    <w:rsid w:val="525913AD"/>
    <w:rsid w:val="52822633"/>
    <w:rsid w:val="5286182F"/>
    <w:rsid w:val="52C77658"/>
    <w:rsid w:val="531700D4"/>
    <w:rsid w:val="53252219"/>
    <w:rsid w:val="534357AA"/>
    <w:rsid w:val="53B84021"/>
    <w:rsid w:val="53BF0718"/>
    <w:rsid w:val="541B571E"/>
    <w:rsid w:val="541C548D"/>
    <w:rsid w:val="542947A2"/>
    <w:rsid w:val="542D096E"/>
    <w:rsid w:val="54791FA3"/>
    <w:rsid w:val="554E45B1"/>
    <w:rsid w:val="55506D90"/>
    <w:rsid w:val="55CD3CF2"/>
    <w:rsid w:val="55D11ABD"/>
    <w:rsid w:val="5604752C"/>
    <w:rsid w:val="56102D7C"/>
    <w:rsid w:val="56306E56"/>
    <w:rsid w:val="56444969"/>
    <w:rsid w:val="568B1E1E"/>
    <w:rsid w:val="56DA628A"/>
    <w:rsid w:val="56EF0D8E"/>
    <w:rsid w:val="56EF513F"/>
    <w:rsid w:val="57350F22"/>
    <w:rsid w:val="57BB0DFB"/>
    <w:rsid w:val="57C82F28"/>
    <w:rsid w:val="57E45843"/>
    <w:rsid w:val="57F70DED"/>
    <w:rsid w:val="57F7259D"/>
    <w:rsid w:val="58083A83"/>
    <w:rsid w:val="58153E5A"/>
    <w:rsid w:val="581B10FA"/>
    <w:rsid w:val="582156EE"/>
    <w:rsid w:val="58427747"/>
    <w:rsid w:val="584369EC"/>
    <w:rsid w:val="586B5983"/>
    <w:rsid w:val="58B673DD"/>
    <w:rsid w:val="58BB4CDB"/>
    <w:rsid w:val="58BF6E68"/>
    <w:rsid w:val="58E03A83"/>
    <w:rsid w:val="58F96B51"/>
    <w:rsid w:val="59185B61"/>
    <w:rsid w:val="596A4423"/>
    <w:rsid w:val="59AD702D"/>
    <w:rsid w:val="59D14CC4"/>
    <w:rsid w:val="59E7688C"/>
    <w:rsid w:val="59FF73A2"/>
    <w:rsid w:val="5A685562"/>
    <w:rsid w:val="5A943DA1"/>
    <w:rsid w:val="5A945937"/>
    <w:rsid w:val="5AA340C2"/>
    <w:rsid w:val="5AB6501F"/>
    <w:rsid w:val="5AD44891"/>
    <w:rsid w:val="5B410790"/>
    <w:rsid w:val="5B4E2982"/>
    <w:rsid w:val="5B7422F1"/>
    <w:rsid w:val="5B991157"/>
    <w:rsid w:val="5B9E1D5B"/>
    <w:rsid w:val="5BA64252"/>
    <w:rsid w:val="5BCB323C"/>
    <w:rsid w:val="5C27611C"/>
    <w:rsid w:val="5C416085"/>
    <w:rsid w:val="5C7344DB"/>
    <w:rsid w:val="5D2D627A"/>
    <w:rsid w:val="5D7F7D07"/>
    <w:rsid w:val="5DC63A4E"/>
    <w:rsid w:val="5DED53D1"/>
    <w:rsid w:val="5E063E78"/>
    <w:rsid w:val="5E1B7959"/>
    <w:rsid w:val="5E9129EA"/>
    <w:rsid w:val="5EAD142E"/>
    <w:rsid w:val="5EC40C1A"/>
    <w:rsid w:val="5EC730D1"/>
    <w:rsid w:val="5EE56740"/>
    <w:rsid w:val="5F2611BE"/>
    <w:rsid w:val="5F3F3BFD"/>
    <w:rsid w:val="5F7071A8"/>
    <w:rsid w:val="5F733E07"/>
    <w:rsid w:val="5FD06C0F"/>
    <w:rsid w:val="5FF330F1"/>
    <w:rsid w:val="6084617C"/>
    <w:rsid w:val="60AD60FD"/>
    <w:rsid w:val="60DD087F"/>
    <w:rsid w:val="60E079C6"/>
    <w:rsid w:val="60F20BC5"/>
    <w:rsid w:val="60F30A15"/>
    <w:rsid w:val="610C5CC5"/>
    <w:rsid w:val="613053AA"/>
    <w:rsid w:val="61343606"/>
    <w:rsid w:val="6162645C"/>
    <w:rsid w:val="619C1D31"/>
    <w:rsid w:val="61A7112B"/>
    <w:rsid w:val="61F1030C"/>
    <w:rsid w:val="6210426E"/>
    <w:rsid w:val="624547FD"/>
    <w:rsid w:val="625C0D00"/>
    <w:rsid w:val="62832265"/>
    <w:rsid w:val="62A63D1C"/>
    <w:rsid w:val="62AD0C74"/>
    <w:rsid w:val="62B00797"/>
    <w:rsid w:val="62CA41E4"/>
    <w:rsid w:val="62E37EC1"/>
    <w:rsid w:val="6317277D"/>
    <w:rsid w:val="63216D47"/>
    <w:rsid w:val="63510BEE"/>
    <w:rsid w:val="638119A8"/>
    <w:rsid w:val="63B13819"/>
    <w:rsid w:val="642D51FD"/>
    <w:rsid w:val="642E3652"/>
    <w:rsid w:val="644E4B1D"/>
    <w:rsid w:val="64651B49"/>
    <w:rsid w:val="65015925"/>
    <w:rsid w:val="650C1105"/>
    <w:rsid w:val="65107CC1"/>
    <w:rsid w:val="651D3A26"/>
    <w:rsid w:val="652C5EC9"/>
    <w:rsid w:val="65353764"/>
    <w:rsid w:val="654E5628"/>
    <w:rsid w:val="65630C3D"/>
    <w:rsid w:val="656477F9"/>
    <w:rsid w:val="656726A3"/>
    <w:rsid w:val="657C7424"/>
    <w:rsid w:val="65997C05"/>
    <w:rsid w:val="65B930E8"/>
    <w:rsid w:val="65C41835"/>
    <w:rsid w:val="65E17EE5"/>
    <w:rsid w:val="65EC5F0A"/>
    <w:rsid w:val="65F01CCB"/>
    <w:rsid w:val="665B546D"/>
    <w:rsid w:val="6666090E"/>
    <w:rsid w:val="66B87515"/>
    <w:rsid w:val="66EC4D96"/>
    <w:rsid w:val="6736101B"/>
    <w:rsid w:val="675B739B"/>
    <w:rsid w:val="678C7FB4"/>
    <w:rsid w:val="67987A7C"/>
    <w:rsid w:val="67D94CE3"/>
    <w:rsid w:val="68281E82"/>
    <w:rsid w:val="68370CCC"/>
    <w:rsid w:val="684D7DEF"/>
    <w:rsid w:val="685C0CFB"/>
    <w:rsid w:val="691C5F40"/>
    <w:rsid w:val="69205264"/>
    <w:rsid w:val="695217DC"/>
    <w:rsid w:val="69943146"/>
    <w:rsid w:val="69C37032"/>
    <w:rsid w:val="6A536743"/>
    <w:rsid w:val="6A6F13E3"/>
    <w:rsid w:val="6AA70573"/>
    <w:rsid w:val="6AF542A4"/>
    <w:rsid w:val="6B133F88"/>
    <w:rsid w:val="6B832B04"/>
    <w:rsid w:val="6BD916EE"/>
    <w:rsid w:val="6C194573"/>
    <w:rsid w:val="6C1F5F35"/>
    <w:rsid w:val="6C3A2EE4"/>
    <w:rsid w:val="6C5A4BD3"/>
    <w:rsid w:val="6C993CF9"/>
    <w:rsid w:val="6CA7260D"/>
    <w:rsid w:val="6CCA1A7F"/>
    <w:rsid w:val="6D2E7B33"/>
    <w:rsid w:val="6D947DD3"/>
    <w:rsid w:val="6DB23107"/>
    <w:rsid w:val="6DB25C0A"/>
    <w:rsid w:val="6DD805CD"/>
    <w:rsid w:val="6DF16476"/>
    <w:rsid w:val="6E035291"/>
    <w:rsid w:val="6E1206A4"/>
    <w:rsid w:val="6E306FE2"/>
    <w:rsid w:val="6E4213B4"/>
    <w:rsid w:val="6E5A3D7E"/>
    <w:rsid w:val="6E8D70AB"/>
    <w:rsid w:val="6E8F6840"/>
    <w:rsid w:val="6EBA7775"/>
    <w:rsid w:val="6F795870"/>
    <w:rsid w:val="6F992C36"/>
    <w:rsid w:val="6FB82117"/>
    <w:rsid w:val="6FC81560"/>
    <w:rsid w:val="70313F1E"/>
    <w:rsid w:val="703933A1"/>
    <w:rsid w:val="704E185C"/>
    <w:rsid w:val="70A96777"/>
    <w:rsid w:val="70AA0758"/>
    <w:rsid w:val="70B61502"/>
    <w:rsid w:val="70CE17C7"/>
    <w:rsid w:val="70D87BB9"/>
    <w:rsid w:val="70E575E5"/>
    <w:rsid w:val="70F5166C"/>
    <w:rsid w:val="712B74F8"/>
    <w:rsid w:val="715C11EA"/>
    <w:rsid w:val="716176FB"/>
    <w:rsid w:val="719D02BE"/>
    <w:rsid w:val="71BE45D9"/>
    <w:rsid w:val="71C94C51"/>
    <w:rsid w:val="71EF5ACB"/>
    <w:rsid w:val="723B233B"/>
    <w:rsid w:val="724F5D5C"/>
    <w:rsid w:val="72560D51"/>
    <w:rsid w:val="7256226D"/>
    <w:rsid w:val="728E0A16"/>
    <w:rsid w:val="729371FE"/>
    <w:rsid w:val="72E929DE"/>
    <w:rsid w:val="72EF2B1D"/>
    <w:rsid w:val="734664DC"/>
    <w:rsid w:val="7350794B"/>
    <w:rsid w:val="738D015F"/>
    <w:rsid w:val="738E5F0E"/>
    <w:rsid w:val="73F31890"/>
    <w:rsid w:val="745751F5"/>
    <w:rsid w:val="74892FD1"/>
    <w:rsid w:val="748A5E0B"/>
    <w:rsid w:val="74FB18F9"/>
    <w:rsid w:val="75012916"/>
    <w:rsid w:val="751B2B76"/>
    <w:rsid w:val="75283028"/>
    <w:rsid w:val="75616560"/>
    <w:rsid w:val="75F80517"/>
    <w:rsid w:val="75F95482"/>
    <w:rsid w:val="7633094E"/>
    <w:rsid w:val="763D3893"/>
    <w:rsid w:val="766248A9"/>
    <w:rsid w:val="76865869"/>
    <w:rsid w:val="76C57715"/>
    <w:rsid w:val="76D0751B"/>
    <w:rsid w:val="76E27EE7"/>
    <w:rsid w:val="76E6192C"/>
    <w:rsid w:val="771479EA"/>
    <w:rsid w:val="77180DE8"/>
    <w:rsid w:val="771C35A1"/>
    <w:rsid w:val="7729161C"/>
    <w:rsid w:val="77A03719"/>
    <w:rsid w:val="77D57B60"/>
    <w:rsid w:val="77E12509"/>
    <w:rsid w:val="78210BD0"/>
    <w:rsid w:val="78280CD8"/>
    <w:rsid w:val="78547476"/>
    <w:rsid w:val="78645569"/>
    <w:rsid w:val="78A4259B"/>
    <w:rsid w:val="78BD34B1"/>
    <w:rsid w:val="78C31CAF"/>
    <w:rsid w:val="78C43EAD"/>
    <w:rsid w:val="78C86D36"/>
    <w:rsid w:val="78CE6E70"/>
    <w:rsid w:val="795B3486"/>
    <w:rsid w:val="79694230"/>
    <w:rsid w:val="796D68C4"/>
    <w:rsid w:val="79926F39"/>
    <w:rsid w:val="79A017CE"/>
    <w:rsid w:val="79E45FD6"/>
    <w:rsid w:val="79E62B1F"/>
    <w:rsid w:val="7A6337FF"/>
    <w:rsid w:val="7A6B0D66"/>
    <w:rsid w:val="7A7B389C"/>
    <w:rsid w:val="7A7C1996"/>
    <w:rsid w:val="7A893B99"/>
    <w:rsid w:val="7AAA40CE"/>
    <w:rsid w:val="7ACE5BF3"/>
    <w:rsid w:val="7AD0105B"/>
    <w:rsid w:val="7AD2618C"/>
    <w:rsid w:val="7AF15CEC"/>
    <w:rsid w:val="7AF35B82"/>
    <w:rsid w:val="7AF64073"/>
    <w:rsid w:val="7AF92581"/>
    <w:rsid w:val="7B044A15"/>
    <w:rsid w:val="7B0F3A72"/>
    <w:rsid w:val="7B170E00"/>
    <w:rsid w:val="7B3057E8"/>
    <w:rsid w:val="7B487EA2"/>
    <w:rsid w:val="7B501604"/>
    <w:rsid w:val="7B571C68"/>
    <w:rsid w:val="7B646664"/>
    <w:rsid w:val="7B6B2BD8"/>
    <w:rsid w:val="7B8F70F0"/>
    <w:rsid w:val="7C157916"/>
    <w:rsid w:val="7C210437"/>
    <w:rsid w:val="7C4B2499"/>
    <w:rsid w:val="7C691A6C"/>
    <w:rsid w:val="7C721F5F"/>
    <w:rsid w:val="7C7D36C4"/>
    <w:rsid w:val="7C8662B0"/>
    <w:rsid w:val="7CBC3AA3"/>
    <w:rsid w:val="7CC9531F"/>
    <w:rsid w:val="7D2221D8"/>
    <w:rsid w:val="7D5A6C81"/>
    <w:rsid w:val="7DAD733C"/>
    <w:rsid w:val="7DE61A21"/>
    <w:rsid w:val="7E431677"/>
    <w:rsid w:val="7E5572E2"/>
    <w:rsid w:val="7E871182"/>
    <w:rsid w:val="7E9D3347"/>
    <w:rsid w:val="7EA13F24"/>
    <w:rsid w:val="7EC24E42"/>
    <w:rsid w:val="7ED67996"/>
    <w:rsid w:val="7EE208F1"/>
    <w:rsid w:val="7EFE58EB"/>
    <w:rsid w:val="7F116F65"/>
    <w:rsid w:val="7F516160"/>
    <w:rsid w:val="7FD45F92"/>
    <w:rsid w:val="7FFA5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25"/>
    <w:qFormat/>
    <w:uiPriority w:val="0"/>
    <w:pPr>
      <w:spacing w:after="120"/>
    </w:pPr>
  </w:style>
  <w:style w:type="paragraph" w:styleId="7">
    <w:name w:val="Body Text Indent"/>
    <w:basedOn w:val="1"/>
    <w:unhideWhenUsed/>
    <w:qFormat/>
    <w:uiPriority w:val="0"/>
    <w:pPr>
      <w:ind w:firstLine="630"/>
    </w:pPr>
    <w:rPr>
      <w:kern w:val="0"/>
      <w:sz w:val="24"/>
    </w:rPr>
  </w:style>
  <w:style w:type="paragraph" w:styleId="8">
    <w:name w:val="Body Text Indent 2"/>
    <w:basedOn w:val="1"/>
    <w:unhideWhenUsed/>
    <w:qFormat/>
    <w:uiPriority w:val="0"/>
    <w:pPr>
      <w:ind w:firstLine="600"/>
    </w:pPr>
    <w:rPr>
      <w:kern w:val="0"/>
      <w:sz w:val="24"/>
    </w:rPr>
  </w:style>
  <w:style w:type="paragraph" w:styleId="9">
    <w:name w:val="Balloon Text"/>
    <w:basedOn w:val="1"/>
    <w:semiHidden/>
    <w:qFormat/>
    <w:uiPriority w:val="0"/>
    <w:rPr>
      <w:sz w:val="18"/>
      <w:szCs w:val="18"/>
    </w:rPr>
  </w:style>
  <w:style w:type="paragraph" w:styleId="10">
    <w:name w:val="footer"/>
    <w:basedOn w:val="1"/>
    <w:unhideWhenUsed/>
    <w:qFormat/>
    <w:uiPriority w:val="0"/>
    <w:pPr>
      <w:tabs>
        <w:tab w:val="center" w:pos="4153"/>
        <w:tab w:val="right" w:pos="8306"/>
      </w:tabs>
      <w:snapToGrid w:val="0"/>
      <w:jc w:val="left"/>
    </w:pPr>
    <w:rPr>
      <w:sz w:val="18"/>
      <w:szCs w:val="20"/>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0"/>
    <w:rPr>
      <w:sz w:val="21"/>
      <w:szCs w:val="21"/>
    </w:rPr>
  </w:style>
  <w:style w:type="character" w:styleId="16">
    <w:name w:val="HTML Cite"/>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p0"/>
    <w:basedOn w:val="1"/>
    <w:qFormat/>
    <w:uiPriority w:val="0"/>
    <w:pPr>
      <w:widowControl/>
    </w:pPr>
    <w:rPr>
      <w:kern w:val="0"/>
      <w:szCs w:val="21"/>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51"/>
    <w:qFormat/>
    <w:uiPriority w:val="0"/>
    <w:rPr>
      <w:rFonts w:hint="default" w:ascii="Times New Roman" w:hAnsi="Times New Roman" w:cs="Times New Roman"/>
      <w:color w:val="000000"/>
      <w:sz w:val="24"/>
      <w:szCs w:val="24"/>
      <w:u w:val="none"/>
    </w:rPr>
  </w:style>
  <w:style w:type="character" w:customStyle="1" w:styleId="25">
    <w:name w:val="正文文本 Char"/>
    <w:link w:val="6"/>
    <w:qFormat/>
    <w:uiPriority w:val="0"/>
    <w:rPr>
      <w:kern w:val="2"/>
      <w:sz w:val="21"/>
      <w:szCs w:val="24"/>
    </w:rPr>
  </w:style>
  <w:style w:type="character" w:customStyle="1" w:styleId="26">
    <w:name w:val="font11"/>
    <w:qFormat/>
    <w:uiPriority w:val="0"/>
    <w:rPr>
      <w:rFonts w:hint="default" w:ascii="微软简仿宋" w:hAnsi="微软简仿宋" w:eastAsia="微软简仿宋" w:cs="微软简仿宋"/>
      <w:color w:val="000000"/>
      <w:sz w:val="24"/>
      <w:szCs w:val="24"/>
      <w:u w:val="none"/>
    </w:rPr>
  </w:style>
  <w:style w:type="character" w:customStyle="1" w:styleId="27">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17035</Words>
  <Characters>17439</Characters>
  <Lines>121</Lines>
  <Paragraphs>34</Paragraphs>
  <TotalTime>63</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2022-12-22T11:05:00Z</dcterms:created>
  <dc:creator>ylh</dc:creator>
  <cp:lastModifiedBy>苏晨晓</cp:lastModifiedBy>
  <dcterms:modified xsi:type="dcterms:W3CDTF">2025-04-28T02:39:48Z</dcterms:modified>
  <dc:title>华夏理财开放净值型理财产品说明书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F665AB604087427AB68C2D237E20ECB1</vt:lpwstr>
  </property>
</Properties>
</file>