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hint="eastAsia" w:eastAsia="黑体"/>
          <w:bCs/>
          <w:sz w:val="36"/>
          <w:szCs w:val="36"/>
        </w:rPr>
      </w:pPr>
      <w:bookmarkStart w:id="7" w:name="_GoBack"/>
      <w:bookmarkEnd w:id="7"/>
      <w:r>
        <w:rPr>
          <w:rFonts w:hint="eastAsia" w:eastAsia="黑体"/>
          <w:bCs/>
          <w:sz w:val="36"/>
          <w:szCs w:val="36"/>
        </w:rPr>
        <w:t>华夏理财悦颐两年期理财产品</w:t>
      </w:r>
      <w:r>
        <w:rPr>
          <w:rFonts w:hint="eastAsia" w:eastAsia="黑体"/>
          <w:bCs/>
          <w:sz w:val="36"/>
          <w:szCs w:val="36"/>
          <w:lang w:val="en-US" w:eastAsia="zh-CN"/>
        </w:rPr>
        <w:t>45</w:t>
      </w:r>
      <w:r>
        <w:rPr>
          <w:rFonts w:hint="eastAsia" w:eastAsia="黑体"/>
          <w:bCs/>
          <w:sz w:val="36"/>
          <w:szCs w:val="36"/>
        </w:rPr>
        <w:t>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9"/>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不能申购、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如有)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lang w:val="en-US" w:eastAsia="zh-CN"/>
              </w:rPr>
              <w:t>五</w:t>
            </w:r>
            <w:r>
              <w:rPr>
                <w:rFonts w:hint="eastAsia" w:ascii="黑体" w:hAnsi="黑体" w:eastAsia="黑体"/>
                <w:b/>
                <w:sz w:val="28"/>
                <w:szCs w:val="28"/>
                <w:u w:val="single"/>
              </w:rPr>
              <w:t>、本说明书在法律许可的范围内由华夏理财方负责解释。</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9"/>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华夏理财悦颐两年期理财产品</w:t>
            </w:r>
            <w:r>
              <w:rPr>
                <w:rFonts w:hint="eastAsia" w:ascii="仿宋" w:hAnsi="仿宋" w:eastAsia="仿宋"/>
                <w:b/>
                <w:bCs/>
                <w:szCs w:val="21"/>
                <w:lang w:val="en-US" w:eastAsia="zh-CN"/>
              </w:rPr>
              <w:t>45</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A份额简称：“</w:t>
            </w:r>
            <w:r>
              <w:rPr>
                <w:rFonts w:hint="eastAsia" w:ascii="仿宋" w:hAnsi="仿宋" w:eastAsia="仿宋"/>
                <w:b/>
                <w:bCs/>
                <w:szCs w:val="21"/>
                <w:lang w:eastAsia="zh-CN"/>
              </w:rPr>
              <w:t>华夏理财悦颐两年期45号748天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lang w:val="en-US" w:eastAsia="zh-CN"/>
              </w:rPr>
            </w:pPr>
            <w:r>
              <w:rPr>
                <w:rFonts w:hint="eastAsia" w:ascii="仿宋" w:hAnsi="仿宋" w:eastAsia="仿宋"/>
                <w:b/>
                <w:bCs/>
                <w:szCs w:val="21"/>
                <w:lang w:val="en-US" w:eastAsia="zh-CN"/>
              </w:rPr>
              <w:t>B</w:t>
            </w:r>
            <w:r>
              <w:rPr>
                <w:rFonts w:hint="eastAsia" w:ascii="仿宋" w:hAnsi="仿宋" w:eastAsia="仿宋"/>
                <w:b/>
                <w:bCs/>
                <w:szCs w:val="21"/>
              </w:rPr>
              <w:t>份额简称：“</w:t>
            </w:r>
            <w:r>
              <w:rPr>
                <w:rFonts w:hint="eastAsia" w:ascii="仿宋" w:hAnsi="仿宋" w:eastAsia="仿宋"/>
                <w:b/>
                <w:bCs/>
                <w:szCs w:val="21"/>
                <w:lang w:eastAsia="zh-CN"/>
              </w:rPr>
              <w:t>华夏理财悦颐两年期45号748天</w:t>
            </w:r>
            <w:r>
              <w:rPr>
                <w:rFonts w:hint="eastAsia" w:ascii="仿宋" w:hAnsi="仿宋" w:eastAsia="仿宋"/>
                <w:b/>
                <w:bCs/>
                <w:szCs w:val="21"/>
                <w:lang w:val="en-US" w:eastAsia="zh-CN"/>
              </w:rPr>
              <w:t>B</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Z份额</w:t>
            </w:r>
            <w:r>
              <w:rPr>
                <w:rFonts w:hint="eastAsia" w:ascii="仿宋" w:hAnsi="仿宋" w:eastAsia="仿宋"/>
                <w:b/>
                <w:bCs/>
                <w:szCs w:val="21"/>
              </w:rPr>
              <w:t>简称：“</w:t>
            </w:r>
            <w:r>
              <w:rPr>
                <w:rFonts w:hint="eastAsia" w:ascii="仿宋" w:hAnsi="仿宋" w:eastAsia="仿宋"/>
                <w:b/>
                <w:bCs/>
                <w:szCs w:val="21"/>
                <w:lang w:eastAsia="zh-CN"/>
              </w:rPr>
              <w:t>华夏理财悦颐两年期45号748天</w:t>
            </w:r>
            <w:r>
              <w:rPr>
                <w:rFonts w:hint="eastAsia" w:ascii="仿宋" w:hAnsi="仿宋" w:eastAsia="仿宋"/>
                <w:b/>
                <w:bCs/>
                <w:szCs w:val="21"/>
                <w:lang w:val="en-US" w:eastAsia="zh-CN"/>
              </w:rPr>
              <w:t>Z</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T份额</w:t>
            </w:r>
            <w:r>
              <w:rPr>
                <w:rFonts w:hint="eastAsia" w:ascii="仿宋" w:hAnsi="仿宋" w:eastAsia="仿宋"/>
                <w:b/>
                <w:bCs/>
                <w:szCs w:val="21"/>
              </w:rPr>
              <w:t>简称：“</w:t>
            </w:r>
            <w:r>
              <w:rPr>
                <w:rFonts w:hint="eastAsia" w:ascii="仿宋" w:hAnsi="仿宋" w:eastAsia="仿宋"/>
                <w:b/>
                <w:bCs/>
                <w:szCs w:val="21"/>
                <w:lang w:eastAsia="zh-CN"/>
              </w:rPr>
              <w:t>华夏理财悦颐两年期45号748天</w:t>
            </w:r>
            <w:r>
              <w:rPr>
                <w:rFonts w:hint="eastAsia" w:ascii="仿宋" w:hAnsi="仿宋" w:eastAsia="仿宋"/>
                <w:b/>
                <w:bCs/>
                <w:szCs w:val="21"/>
                <w:lang w:val="en-US" w:eastAsia="zh-CN"/>
              </w:rPr>
              <w:t>T</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eastAsia="仿宋"/>
                <w:lang w:val="en-US" w:eastAsia="zh-CN"/>
              </w:rPr>
            </w:pPr>
            <w:r>
              <w:rPr>
                <w:rFonts w:hint="eastAsia" w:ascii="仿宋" w:hAnsi="仿宋" w:eastAsia="仿宋"/>
                <w:bCs/>
                <w:szCs w:val="21"/>
                <w:lang w:eastAsia="zh-CN"/>
              </w:rPr>
              <w:t>25121645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A份额代码：</w:t>
            </w:r>
            <w:r>
              <w:rPr>
                <w:rFonts w:hint="eastAsia" w:ascii="仿宋" w:hAnsi="仿宋" w:eastAsia="仿宋"/>
                <w:bCs/>
                <w:szCs w:val="21"/>
                <w:lang w:eastAsia="zh-CN"/>
              </w:rPr>
              <w:t>25121645</w:t>
            </w:r>
            <w:r>
              <w:rPr>
                <w:rFonts w:hint="eastAsia" w:ascii="仿宋" w:hAnsi="仿宋" w:eastAsia="仿宋"/>
                <w:bCs/>
                <w:szCs w:val="21"/>
              </w:rPr>
              <w:t>A</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B份额代码：25121645B</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Z份额代码：25121645Z</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T份额代码：25121645T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Z7003925000417</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hint="eastAsia" w:ascii="仿宋" w:hAnsi="仿宋" w:eastAsia="仿宋"/>
                <w:bCs/>
                <w:szCs w:val="21"/>
                <w:u w:val="single"/>
              </w:rPr>
              <w:t>CR2（稳健型）、CR3（平衡型）、CR4（进取型）、CR5（激进型）</w:t>
            </w:r>
            <w:r>
              <w:rPr>
                <w:rFonts w:hint="eastAsia" w:ascii="仿宋" w:hAnsi="仿宋" w:eastAsia="仿宋"/>
                <w:bCs/>
                <w:szCs w:val="21"/>
                <w:u w:val="none"/>
                <w:lang w:eastAsia="zh-CN"/>
              </w:rPr>
              <w:t>】</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0" w:firstLineChars="200"/>
              <w:rPr>
                <w:rFonts w:hint="eastAsia" w:ascii="仿宋" w:hAnsi="仿宋" w:eastAsia="仿宋"/>
                <w:b/>
                <w:bCs/>
                <w:szCs w:val="21"/>
              </w:rPr>
            </w:pPr>
            <w:r>
              <w:rPr>
                <w:rFonts w:hint="eastAsia" w:ascii="仿宋" w:hAnsi="仿宋" w:eastAsia="仿宋"/>
                <w:b w:val="0"/>
                <w:bCs w:val="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A份额：业绩比较基准为</w:t>
            </w:r>
            <w:r>
              <w:rPr>
                <w:rFonts w:hint="eastAsia" w:ascii="仿宋" w:hAnsi="仿宋" w:eastAsia="仿宋" w:cs="Cambria"/>
                <w:bCs/>
                <w:szCs w:val="21"/>
                <w:lang w:val="en-US" w:eastAsia="zh-CN"/>
              </w:rPr>
              <w:t>3.00%-3.30%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B</w:t>
            </w:r>
            <w:r>
              <w:rPr>
                <w:rFonts w:hint="eastAsia" w:ascii="仿宋" w:hAnsi="仿宋" w:eastAsia="仿宋" w:cs="Cambria"/>
                <w:bCs/>
                <w:szCs w:val="21"/>
                <w:lang w:eastAsia="zh-CN"/>
              </w:rPr>
              <w:t>份额：业绩比较基准为</w:t>
            </w:r>
            <w:r>
              <w:rPr>
                <w:rFonts w:hint="eastAsia" w:ascii="仿宋" w:hAnsi="仿宋" w:eastAsia="仿宋" w:cs="Cambria"/>
                <w:bCs/>
                <w:szCs w:val="21"/>
                <w:lang w:val="en-US" w:eastAsia="zh-CN"/>
              </w:rPr>
              <w:t>2.95%-3.25%</w:t>
            </w:r>
            <w:r>
              <w:rPr>
                <w:rFonts w:hint="eastAsia" w:ascii="仿宋" w:hAnsi="仿宋" w:eastAsia="仿宋" w:cs="Cambria"/>
                <w:bCs/>
                <w:szCs w:val="21"/>
                <w:lang w:eastAsia="zh-CN"/>
              </w:rPr>
              <w:t>（年化）；</w:t>
            </w:r>
            <w:r>
              <w:rPr>
                <w:rFonts w:hint="eastAsia" w:ascii="仿宋" w:hAnsi="仿宋" w:eastAsia="仿宋" w:cs="Cambria"/>
                <w:bCs/>
                <w:szCs w:val="21"/>
                <w:lang w:val="en-US" w:eastAsia="zh-CN"/>
              </w:rPr>
              <w:t>Z份额</w:t>
            </w:r>
            <w:r>
              <w:rPr>
                <w:rFonts w:hint="eastAsia" w:ascii="仿宋" w:hAnsi="仿宋" w:eastAsia="仿宋" w:cs="Cambria"/>
                <w:bCs/>
                <w:szCs w:val="21"/>
                <w:lang w:eastAsia="zh-CN"/>
              </w:rPr>
              <w:t>：业绩比较基准为</w:t>
            </w:r>
            <w:r>
              <w:rPr>
                <w:rFonts w:hint="eastAsia" w:ascii="仿宋" w:hAnsi="仿宋" w:eastAsia="仿宋" w:cs="Cambria"/>
                <w:bCs/>
                <w:szCs w:val="21"/>
                <w:lang w:val="en-US" w:eastAsia="zh-CN"/>
              </w:rPr>
              <w:t>3.15%-3.45%</w:t>
            </w:r>
            <w:r>
              <w:rPr>
                <w:rFonts w:hint="eastAsia" w:ascii="仿宋" w:hAnsi="仿宋" w:eastAsia="仿宋" w:cs="Cambria"/>
                <w:bCs/>
                <w:szCs w:val="21"/>
                <w:lang w:eastAsia="zh-CN"/>
              </w:rPr>
              <w:t>（年化）；</w:t>
            </w:r>
            <w:r>
              <w:rPr>
                <w:rFonts w:hint="eastAsia" w:ascii="仿宋" w:hAnsi="仿宋" w:eastAsia="仿宋" w:cs="Cambria"/>
                <w:bCs/>
                <w:szCs w:val="21"/>
                <w:lang w:val="en-US" w:eastAsia="zh-CN"/>
              </w:rPr>
              <w:t>T份额</w:t>
            </w:r>
            <w:r>
              <w:rPr>
                <w:rFonts w:hint="eastAsia" w:ascii="仿宋" w:hAnsi="仿宋" w:eastAsia="仿宋" w:cs="Cambria"/>
                <w:bCs/>
                <w:szCs w:val="21"/>
                <w:lang w:eastAsia="zh-CN"/>
              </w:rPr>
              <w:t>：业绩比较基准为</w:t>
            </w:r>
            <w:r>
              <w:rPr>
                <w:rFonts w:hint="eastAsia" w:ascii="仿宋" w:hAnsi="仿宋" w:eastAsia="仿宋" w:cs="Cambria"/>
                <w:bCs/>
                <w:szCs w:val="21"/>
                <w:lang w:val="en-US" w:eastAsia="zh-CN"/>
              </w:rPr>
              <w:t>3.10%-3.40%</w:t>
            </w:r>
            <w:r>
              <w:rPr>
                <w:rFonts w:hint="eastAsia" w:ascii="仿宋" w:hAnsi="仿宋" w:eastAsia="仿宋" w:cs="Cambria"/>
                <w:bCs/>
                <w:szCs w:val="21"/>
                <w:lang w:eastAsia="zh-CN"/>
              </w:rPr>
              <w:t>（年化）</w:t>
            </w:r>
            <w:r>
              <w:rPr>
                <w:rFonts w:hint="eastAsia" w:ascii="仿宋" w:hAnsi="仿宋" w:eastAsia="仿宋" w:cs="Cambria"/>
                <w:bCs/>
                <w:szCs w:val="21"/>
              </w:rPr>
              <w:t>。</w:t>
            </w:r>
            <w:bookmarkStart w:id="1" w:name="OLE_LINK1"/>
            <w:r>
              <w:rPr>
                <w:rFonts w:hint="eastAsia" w:ascii="仿宋" w:hAnsi="仿宋" w:eastAsia="仿宋" w:cs="Cambria"/>
                <w:bCs/>
                <w:szCs w:val="21"/>
                <w:lang w:val="en-US" w:eastAsia="zh-CN"/>
              </w:rPr>
              <w:t>产品全部投资于固定收益类资产，</w:t>
            </w:r>
            <w:r>
              <w:rPr>
                <w:rFonts w:hint="eastAsia" w:ascii="仿宋" w:hAnsi="仿宋" w:eastAsia="仿宋" w:cs="Cambria"/>
                <w:bCs/>
                <w:i w:val="0"/>
                <w:iCs w:val="0"/>
                <w:szCs w:val="21"/>
                <w:highlight w:val="none"/>
              </w:rPr>
              <w:t>以投资债券类资产仓位55%-100%，非标债权类资产仓位0-45%，组合杠杆率100%-140%为例，参考符合久期要求的目标债券到期收益率、非标债权类资产目标收益率，结合产品久期控制投资策略并扣除各项费用后，综合测算得出上述业绩比较基准。测算示例仅供参考，具体资产投资比例可根据各类资产的收益水平、流动性特征、信用风险等因素动态调整。</w:t>
            </w:r>
          </w:p>
          <w:bookmarkEnd w:id="1"/>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2" w:name="OLE_LINK2" w:colFirst="1" w:colLast="1"/>
            <w:bookmarkStart w:id="3" w:name="OLE_LINK3"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21</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27</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28</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748</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27</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15</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lang w:val="en-US" w:eastAsia="zh-CN"/>
              </w:rPr>
              <w:t>B</w:t>
            </w:r>
            <w:r>
              <w:rPr>
                <w:rFonts w:hint="eastAsia" w:ascii="仿宋" w:hAnsi="仿宋" w:eastAsia="仿宋"/>
                <w:bCs/>
                <w:szCs w:val="21"/>
              </w:rPr>
              <w:t>份额：认购起点金额1元，以1元的整数倍递增。</w:t>
            </w:r>
          </w:p>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lang w:val="en-US" w:eastAsia="zh-CN"/>
              </w:rPr>
              <w:t>Z份额</w:t>
            </w:r>
            <w:r>
              <w:rPr>
                <w:rFonts w:hint="eastAsia" w:ascii="仿宋" w:hAnsi="仿宋" w:eastAsia="仿宋"/>
                <w:bCs/>
                <w:szCs w:val="21"/>
              </w:rPr>
              <w:t>：认购起点金额1</w:t>
            </w:r>
            <w:r>
              <w:rPr>
                <w:rFonts w:hint="eastAsia" w:ascii="仿宋" w:hAnsi="仿宋" w:eastAsia="仿宋"/>
                <w:bCs/>
                <w:szCs w:val="21"/>
                <w:lang w:val="en-US" w:eastAsia="zh-CN"/>
              </w:rPr>
              <w:t>000万</w:t>
            </w:r>
            <w:r>
              <w:rPr>
                <w:rFonts w:hint="eastAsia" w:ascii="仿宋" w:hAnsi="仿宋" w:eastAsia="仿宋"/>
                <w:bCs/>
                <w:szCs w:val="21"/>
              </w:rPr>
              <w:t>元，以1元的整数倍递增。</w:t>
            </w:r>
          </w:p>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lang w:val="en-US" w:eastAsia="zh-CN"/>
              </w:rPr>
              <w:t>T份额</w:t>
            </w:r>
            <w:r>
              <w:rPr>
                <w:rFonts w:hint="eastAsia" w:ascii="仿宋" w:hAnsi="仿宋" w:eastAsia="仿宋"/>
                <w:bCs/>
                <w:szCs w:val="21"/>
              </w:rPr>
              <w:t>：认购起点金额1</w:t>
            </w:r>
            <w:r>
              <w:rPr>
                <w:rFonts w:hint="eastAsia" w:ascii="仿宋" w:hAnsi="仿宋" w:eastAsia="仿宋"/>
                <w:bCs/>
                <w:szCs w:val="21"/>
                <w:lang w:val="en-US" w:eastAsia="zh-CN"/>
              </w:rPr>
              <w:t>000万</w:t>
            </w:r>
            <w:r>
              <w:rPr>
                <w:rFonts w:hint="eastAsia" w:ascii="仿宋" w:hAnsi="仿宋" w:eastAsia="仿宋"/>
                <w:bCs/>
                <w:szCs w:val="21"/>
              </w:rPr>
              <w:t>元，以1元的整数倍递增。</w:t>
            </w:r>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F=E×【0.03%】</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
                <w:bCs w:val="0"/>
                <w:szCs w:val="21"/>
              </w:rPr>
            </w:pPr>
            <w:r>
              <w:rPr>
                <w:rFonts w:hint="eastAsia" w:ascii="仿宋" w:hAnsi="仿宋" w:eastAsia="仿宋" w:cs="Cambria"/>
                <w:b/>
                <w:szCs w:val="21"/>
              </w:rPr>
              <w:t>A份额：</w:t>
            </w: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/年，以</w:t>
            </w:r>
            <w:r>
              <w:rPr>
                <w:rFonts w:hint="eastAsia" w:ascii="仿宋" w:hAnsi="仿宋" w:eastAsia="仿宋"/>
                <w:b/>
                <w:bCs w:val="0"/>
                <w:szCs w:val="21"/>
                <w:lang w:val="en-US" w:eastAsia="zh-CN"/>
              </w:rPr>
              <w:t>产品成立日份额为基数</w:t>
            </w:r>
            <w:r>
              <w:rPr>
                <w:rFonts w:hint="eastAsia" w:ascii="仿宋" w:hAnsi="仿宋" w:eastAsia="仿宋"/>
                <w:b/>
                <w:bCs w:val="0"/>
                <w:szCs w:val="21"/>
              </w:rPr>
              <w:t>，</w:t>
            </w:r>
            <w:r>
              <w:rPr>
                <w:rFonts w:hint="eastAsia" w:ascii="仿宋" w:hAnsi="仿宋" w:eastAsia="仿宋"/>
                <w:b/>
                <w:bCs w:val="0"/>
                <w:szCs w:val="21"/>
                <w:lang w:val="en-US" w:eastAsia="zh-CN"/>
              </w:rPr>
              <w:t>于产品成立一个月内对销售手续费的80%一次性收取，</w:t>
            </w:r>
            <w:r>
              <w:rPr>
                <w:rFonts w:hint="eastAsia" w:ascii="仿宋" w:hAnsi="仿宋" w:eastAsia="仿宋"/>
                <w:b/>
                <w:bCs w:val="0"/>
                <w:szCs w:val="21"/>
              </w:rPr>
              <w:t>每日</w:t>
            </w:r>
            <w:r>
              <w:rPr>
                <w:rFonts w:hint="eastAsia" w:ascii="仿宋" w:hAnsi="仿宋" w:eastAsia="仿宋"/>
                <w:b/>
                <w:bCs w:val="0"/>
                <w:szCs w:val="21"/>
                <w:lang w:val="en-US" w:eastAsia="zh-CN"/>
              </w:rPr>
              <w:t>摊销</w:t>
            </w:r>
            <w:r>
              <w:rPr>
                <w:rFonts w:hint="eastAsia" w:ascii="仿宋" w:hAnsi="仿宋" w:eastAsia="仿宋"/>
                <w:b/>
                <w:bCs w:val="0"/>
                <w:szCs w:val="21"/>
              </w:rPr>
              <w:t>。</w:t>
            </w:r>
          </w:p>
          <w:p>
            <w:pPr>
              <w:adjustRightInd w:val="0"/>
              <w:snapToGrid w:val="0"/>
              <w:spacing w:line="300" w:lineRule="exact"/>
              <w:ind w:firstLine="420"/>
              <w:jc w:val="left"/>
              <w:rPr>
                <w:rFonts w:hint="eastAsia" w:ascii="仿宋" w:hAnsi="仿宋" w:eastAsia="仿宋"/>
                <w:b/>
                <w:bCs w:val="0"/>
                <w:szCs w:val="21"/>
              </w:rPr>
            </w:pPr>
            <w:r>
              <w:rPr>
                <w:rFonts w:hint="eastAsia" w:ascii="仿宋" w:hAnsi="仿宋" w:eastAsia="仿宋"/>
                <w:b/>
                <w:bCs w:val="0"/>
                <w:szCs w:val="21"/>
                <w:lang w:val="en-US" w:eastAsia="zh-CN"/>
              </w:rPr>
              <w:t>B</w:t>
            </w:r>
            <w:r>
              <w:rPr>
                <w:rFonts w:hint="eastAsia" w:ascii="仿宋" w:hAnsi="仿宋" w:eastAsia="仿宋"/>
                <w:b/>
                <w:bCs w:val="0"/>
                <w:szCs w:val="21"/>
              </w:rPr>
              <w:t>份额：0.</w:t>
            </w:r>
            <w:r>
              <w:rPr>
                <w:rFonts w:hint="eastAsia" w:ascii="仿宋" w:hAnsi="仿宋" w:eastAsia="仿宋"/>
                <w:b/>
                <w:bCs w:val="0"/>
                <w:szCs w:val="21"/>
                <w:lang w:val="en-US" w:eastAsia="zh-CN"/>
              </w:rPr>
              <w:t>20</w:t>
            </w:r>
            <w:r>
              <w:rPr>
                <w:rFonts w:hint="eastAsia" w:ascii="仿宋" w:hAnsi="仿宋" w:eastAsia="仿宋"/>
                <w:b/>
                <w:bCs w:val="0"/>
                <w:szCs w:val="21"/>
              </w:rPr>
              <w:t>%/年，以</w:t>
            </w:r>
            <w:r>
              <w:rPr>
                <w:rFonts w:hint="eastAsia" w:ascii="仿宋" w:hAnsi="仿宋" w:eastAsia="仿宋"/>
                <w:b/>
                <w:bCs w:val="0"/>
                <w:szCs w:val="21"/>
                <w:lang w:val="en-US" w:eastAsia="zh-CN"/>
              </w:rPr>
              <w:t>产品成立日份额为基数</w:t>
            </w:r>
            <w:r>
              <w:rPr>
                <w:rFonts w:hint="eastAsia" w:ascii="仿宋" w:hAnsi="仿宋" w:eastAsia="仿宋"/>
                <w:b/>
                <w:bCs w:val="0"/>
                <w:szCs w:val="21"/>
              </w:rPr>
              <w:t>，</w:t>
            </w:r>
            <w:r>
              <w:rPr>
                <w:rFonts w:hint="eastAsia" w:ascii="仿宋" w:hAnsi="仿宋" w:eastAsia="仿宋"/>
                <w:b/>
                <w:bCs w:val="0"/>
                <w:szCs w:val="21"/>
                <w:lang w:val="en-US" w:eastAsia="zh-CN"/>
              </w:rPr>
              <w:t>于产品成立一个月内对销售手续费的80%一次性收取，</w:t>
            </w:r>
            <w:r>
              <w:rPr>
                <w:rFonts w:hint="eastAsia" w:ascii="仿宋" w:hAnsi="仿宋" w:eastAsia="仿宋"/>
                <w:b/>
                <w:bCs w:val="0"/>
                <w:szCs w:val="21"/>
              </w:rPr>
              <w:t>每日</w:t>
            </w:r>
            <w:r>
              <w:rPr>
                <w:rFonts w:hint="eastAsia" w:ascii="仿宋" w:hAnsi="仿宋" w:eastAsia="仿宋"/>
                <w:b/>
                <w:bCs w:val="0"/>
                <w:szCs w:val="21"/>
                <w:lang w:val="en-US" w:eastAsia="zh-CN"/>
              </w:rPr>
              <w:t>摊销</w:t>
            </w:r>
            <w:r>
              <w:rPr>
                <w:rFonts w:hint="eastAsia" w:ascii="仿宋" w:hAnsi="仿宋" w:eastAsia="仿宋"/>
                <w:b/>
                <w:bCs w:val="0"/>
                <w:szCs w:val="21"/>
              </w:rPr>
              <w:t>。</w:t>
            </w:r>
          </w:p>
          <w:p>
            <w:pPr>
              <w:adjustRightInd w:val="0"/>
              <w:snapToGrid w:val="0"/>
              <w:spacing w:line="300" w:lineRule="exact"/>
              <w:ind w:firstLine="420"/>
              <w:jc w:val="left"/>
              <w:rPr>
                <w:rFonts w:hint="eastAsia" w:ascii="仿宋" w:hAnsi="仿宋" w:eastAsia="仿宋"/>
                <w:b/>
                <w:bCs w:val="0"/>
                <w:szCs w:val="21"/>
              </w:rPr>
            </w:pPr>
            <w:r>
              <w:rPr>
                <w:rFonts w:hint="eastAsia" w:ascii="仿宋" w:hAnsi="仿宋" w:eastAsia="仿宋"/>
                <w:b/>
                <w:bCs w:val="0"/>
                <w:szCs w:val="21"/>
                <w:lang w:val="en-US" w:eastAsia="zh-CN"/>
              </w:rPr>
              <w:t>Z份额</w:t>
            </w:r>
            <w:r>
              <w:rPr>
                <w:rFonts w:hint="eastAsia" w:ascii="仿宋" w:hAnsi="仿宋" w:eastAsia="仿宋"/>
                <w:b/>
                <w:bCs w:val="0"/>
                <w:szCs w:val="21"/>
              </w:rPr>
              <w:t>：0.</w:t>
            </w:r>
            <w:r>
              <w:rPr>
                <w:rFonts w:hint="eastAsia" w:ascii="仿宋" w:hAnsi="仿宋" w:eastAsia="仿宋"/>
                <w:b/>
                <w:bCs w:val="0"/>
                <w:szCs w:val="21"/>
                <w:lang w:val="en-US" w:eastAsia="zh-CN"/>
              </w:rPr>
              <w:t>00</w:t>
            </w:r>
            <w:r>
              <w:rPr>
                <w:rFonts w:hint="eastAsia" w:ascii="仿宋" w:hAnsi="仿宋" w:eastAsia="仿宋"/>
                <w:b/>
                <w:bCs w:val="0"/>
                <w:szCs w:val="21"/>
              </w:rPr>
              <w:t>%/年，以</w:t>
            </w:r>
            <w:r>
              <w:rPr>
                <w:rFonts w:hint="eastAsia" w:ascii="仿宋" w:hAnsi="仿宋" w:eastAsia="仿宋"/>
                <w:b/>
                <w:bCs w:val="0"/>
                <w:szCs w:val="21"/>
                <w:lang w:val="en-US" w:eastAsia="zh-CN"/>
              </w:rPr>
              <w:t>产品成立日份额为基数</w:t>
            </w:r>
            <w:r>
              <w:rPr>
                <w:rFonts w:hint="eastAsia" w:ascii="仿宋" w:hAnsi="仿宋" w:eastAsia="仿宋"/>
                <w:b/>
                <w:bCs w:val="0"/>
                <w:szCs w:val="21"/>
              </w:rPr>
              <w:t>，</w:t>
            </w:r>
            <w:r>
              <w:rPr>
                <w:rFonts w:hint="eastAsia" w:ascii="仿宋" w:hAnsi="仿宋" w:eastAsia="仿宋"/>
                <w:b/>
                <w:bCs w:val="0"/>
                <w:szCs w:val="21"/>
                <w:lang w:val="en-US" w:eastAsia="zh-CN"/>
              </w:rPr>
              <w:t>于产品成立一个月内对销售手续费的80%一次性收取，</w:t>
            </w:r>
            <w:r>
              <w:rPr>
                <w:rFonts w:hint="eastAsia" w:ascii="仿宋" w:hAnsi="仿宋" w:eastAsia="仿宋"/>
                <w:b/>
                <w:bCs w:val="0"/>
                <w:szCs w:val="21"/>
              </w:rPr>
              <w:t>每日</w:t>
            </w:r>
            <w:r>
              <w:rPr>
                <w:rFonts w:hint="eastAsia" w:ascii="仿宋" w:hAnsi="仿宋" w:eastAsia="仿宋"/>
                <w:b/>
                <w:bCs w:val="0"/>
                <w:szCs w:val="21"/>
                <w:lang w:val="en-US" w:eastAsia="zh-CN"/>
              </w:rPr>
              <w:t>摊销</w:t>
            </w:r>
            <w:r>
              <w:rPr>
                <w:rFonts w:hint="eastAsia" w:ascii="仿宋" w:hAnsi="仿宋" w:eastAsia="仿宋"/>
                <w:b/>
                <w:bCs w:val="0"/>
                <w:szCs w:val="21"/>
              </w:rPr>
              <w:t>。</w:t>
            </w:r>
          </w:p>
          <w:p>
            <w:pPr>
              <w:adjustRightInd w:val="0"/>
              <w:snapToGrid w:val="0"/>
              <w:spacing w:line="300" w:lineRule="exact"/>
              <w:ind w:firstLine="420"/>
              <w:jc w:val="left"/>
              <w:rPr>
                <w:rFonts w:hint="eastAsia" w:ascii="仿宋" w:hAnsi="仿宋" w:eastAsia="仿宋"/>
                <w:b/>
                <w:bCs w:val="0"/>
                <w:szCs w:val="21"/>
              </w:rPr>
            </w:pPr>
            <w:r>
              <w:rPr>
                <w:rFonts w:hint="eastAsia" w:ascii="仿宋" w:hAnsi="仿宋" w:eastAsia="仿宋"/>
                <w:b/>
                <w:bCs w:val="0"/>
                <w:szCs w:val="21"/>
                <w:lang w:val="en-US" w:eastAsia="zh-CN"/>
              </w:rPr>
              <w:t>T份额</w:t>
            </w:r>
            <w:r>
              <w:rPr>
                <w:rFonts w:hint="eastAsia" w:ascii="仿宋" w:hAnsi="仿宋" w:eastAsia="仿宋"/>
                <w:b/>
                <w:bCs w:val="0"/>
                <w:szCs w:val="21"/>
              </w:rPr>
              <w:t>：0.</w:t>
            </w:r>
            <w:r>
              <w:rPr>
                <w:rFonts w:hint="eastAsia" w:ascii="仿宋" w:hAnsi="仿宋" w:eastAsia="仿宋"/>
                <w:b/>
                <w:bCs w:val="0"/>
                <w:szCs w:val="21"/>
                <w:lang w:val="en-US" w:eastAsia="zh-CN"/>
              </w:rPr>
              <w:t>05</w:t>
            </w:r>
            <w:r>
              <w:rPr>
                <w:rFonts w:hint="eastAsia" w:ascii="仿宋" w:hAnsi="仿宋" w:eastAsia="仿宋"/>
                <w:b/>
                <w:bCs w:val="0"/>
                <w:szCs w:val="21"/>
              </w:rPr>
              <w:t>%/年，以</w:t>
            </w:r>
            <w:r>
              <w:rPr>
                <w:rFonts w:hint="eastAsia" w:ascii="仿宋" w:hAnsi="仿宋" w:eastAsia="仿宋"/>
                <w:b/>
                <w:bCs w:val="0"/>
                <w:szCs w:val="21"/>
                <w:lang w:val="en-US" w:eastAsia="zh-CN"/>
              </w:rPr>
              <w:t>产品成立日份额为基数</w:t>
            </w:r>
            <w:r>
              <w:rPr>
                <w:rFonts w:hint="eastAsia" w:ascii="仿宋" w:hAnsi="仿宋" w:eastAsia="仿宋"/>
                <w:b/>
                <w:bCs w:val="0"/>
                <w:szCs w:val="21"/>
              </w:rPr>
              <w:t>，</w:t>
            </w:r>
            <w:r>
              <w:rPr>
                <w:rFonts w:hint="eastAsia" w:ascii="仿宋" w:hAnsi="仿宋" w:eastAsia="仿宋"/>
                <w:b/>
                <w:bCs w:val="0"/>
                <w:szCs w:val="21"/>
                <w:lang w:val="en-US" w:eastAsia="zh-CN"/>
              </w:rPr>
              <w:t>于产品成立一个月内对销售手续费的80%一次性收取，</w:t>
            </w:r>
            <w:r>
              <w:rPr>
                <w:rFonts w:hint="eastAsia" w:ascii="仿宋" w:hAnsi="仿宋" w:eastAsia="仿宋"/>
                <w:b/>
                <w:bCs w:val="0"/>
                <w:szCs w:val="21"/>
              </w:rPr>
              <w:t>每日</w:t>
            </w:r>
            <w:r>
              <w:rPr>
                <w:rFonts w:hint="eastAsia" w:ascii="仿宋" w:hAnsi="仿宋" w:eastAsia="仿宋"/>
                <w:b/>
                <w:bCs w:val="0"/>
                <w:szCs w:val="21"/>
                <w:lang w:val="en-US" w:eastAsia="zh-CN"/>
              </w:rPr>
              <w:t>摊销</w:t>
            </w:r>
            <w:r>
              <w:rPr>
                <w:rFonts w:hint="eastAsia" w:ascii="仿宋" w:hAnsi="仿宋" w:eastAsia="仿宋"/>
                <w:b/>
                <w:bCs w:val="0"/>
                <w:szCs w:val="21"/>
              </w:rPr>
              <w:t>。</w:t>
            </w:r>
          </w:p>
          <w:p>
            <w:pPr>
              <w:adjustRightInd w:val="0"/>
              <w:snapToGrid w:val="0"/>
              <w:spacing w:line="300" w:lineRule="exac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b/>
                <w:szCs w:val="21"/>
              </w:rPr>
              <w:t>F=E×</w:t>
            </w:r>
            <w:r>
              <w:rPr>
                <w:rFonts w:hint="eastAsia" w:ascii="仿宋" w:hAnsi="仿宋" w:eastAsia="仿宋"/>
                <w:b/>
                <w:szCs w:val="21"/>
                <w:lang w:val="en-US" w:eastAsia="zh-CN"/>
              </w:rPr>
              <w:t>D</w:t>
            </w:r>
            <w:r>
              <w:rPr>
                <w:rFonts w:hint="eastAsia" w:ascii="仿宋" w:hAnsi="仿宋" w:eastAsia="仿宋"/>
                <w:b/>
                <w:szCs w:val="21"/>
              </w:rPr>
              <w:t>×【各份额销售手续费</w:t>
            </w:r>
            <w:r>
              <w:rPr>
                <w:rFonts w:ascii="仿宋" w:hAnsi="仿宋" w:eastAsia="仿宋"/>
                <w:b/>
                <w:szCs w:val="21"/>
              </w:rPr>
              <w:t>率</w:t>
            </w:r>
            <w:r>
              <w:rPr>
                <w:rFonts w:hint="eastAsia" w:ascii="仿宋" w:hAnsi="仿宋" w:eastAsia="仿宋"/>
                <w:b/>
                <w:szCs w:val="21"/>
              </w:rPr>
              <w:t>】×</w:t>
            </w:r>
            <w:r>
              <w:rPr>
                <w:rFonts w:hint="eastAsia" w:ascii="仿宋" w:hAnsi="仿宋" w:eastAsia="仿宋"/>
                <w:b/>
                <w:szCs w:val="21"/>
                <w:lang w:val="en-US" w:eastAsia="zh-CN"/>
              </w:rPr>
              <w:t>80%</w:t>
            </w:r>
            <w:r>
              <w:rPr>
                <w:rFonts w:hint="eastAsia" w:ascii="仿宋" w:hAnsi="仿宋" w:eastAsia="仿宋"/>
                <w:b/>
                <w:szCs w:val="21"/>
              </w:rPr>
              <w:t>/</w:t>
            </w:r>
            <w:r>
              <w:rPr>
                <w:rFonts w:hint="eastAsia" w:ascii="仿宋" w:hAnsi="仿宋" w:eastAsia="仿宋"/>
                <w:b/>
                <w:szCs w:val="21"/>
                <w:lang w:val="en-US" w:eastAsia="zh-CN"/>
              </w:rPr>
              <w:t>365</w:t>
            </w:r>
            <w:r>
              <w:rPr>
                <w:rFonts w:hint="eastAsia" w:ascii="仿宋" w:hAnsi="仿宋" w:eastAsia="仿宋"/>
                <w:b/>
                <w:szCs w:val="21"/>
              </w:rPr>
              <w:t>。F为各份额</w:t>
            </w:r>
            <w:r>
              <w:rPr>
                <w:rFonts w:hint="eastAsia" w:ascii="仿宋" w:hAnsi="仿宋" w:eastAsia="仿宋"/>
                <w:b/>
                <w:bCs w:val="0"/>
                <w:szCs w:val="21"/>
                <w:lang w:val="en-US" w:eastAsia="zh-CN"/>
              </w:rPr>
              <w:t>一次性收取的</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lang w:eastAsia="zh-CN"/>
              </w:rPr>
              <w:t>，</w:t>
            </w:r>
            <w:r>
              <w:rPr>
                <w:rFonts w:hint="eastAsia" w:ascii="仿宋" w:hAnsi="仿宋" w:eastAsia="仿宋"/>
                <w:b/>
                <w:szCs w:val="21"/>
                <w:lang w:val="en-US" w:eastAsia="zh-CN"/>
              </w:rPr>
              <w:t>即产品成立日份额</w:t>
            </w:r>
            <w:r>
              <w:rPr>
                <w:rFonts w:hint="eastAsia" w:ascii="仿宋" w:hAnsi="仿宋" w:eastAsia="仿宋"/>
                <w:b/>
                <w:szCs w:val="21"/>
                <w:lang w:eastAsia="zh-CN"/>
              </w:rPr>
              <w:t>；</w:t>
            </w:r>
            <w:r>
              <w:rPr>
                <w:rFonts w:hint="eastAsia" w:ascii="仿宋" w:hAnsi="仿宋" w:eastAsia="仿宋"/>
                <w:b/>
                <w:szCs w:val="21"/>
                <w:lang w:val="en-US" w:eastAsia="zh-CN"/>
              </w:rPr>
              <w:t>D</w:t>
            </w:r>
            <w:r>
              <w:rPr>
                <w:rFonts w:hint="eastAsia" w:ascii="仿宋" w:hAnsi="仿宋" w:eastAsia="仿宋"/>
                <w:b/>
                <w:szCs w:val="21"/>
                <w:lang w:eastAsia="zh-CN"/>
              </w:rPr>
              <w:t>为</w:t>
            </w:r>
            <w:r>
              <w:rPr>
                <w:rFonts w:hint="eastAsia" w:ascii="仿宋" w:hAnsi="仿宋" w:eastAsia="仿宋"/>
                <w:b/>
                <w:szCs w:val="21"/>
                <w:lang w:val="en-US" w:eastAsia="zh-CN"/>
              </w:rPr>
              <w:t>天数，D=</w:t>
            </w:r>
            <w:r>
              <w:rPr>
                <w:rFonts w:hint="eastAsia" w:ascii="仿宋" w:hAnsi="仿宋" w:eastAsia="仿宋"/>
                <w:b/>
                <w:szCs w:val="21"/>
                <w:lang w:eastAsia="zh-CN"/>
              </w:rPr>
              <w:t>产品到期日-产品成立日</w:t>
            </w:r>
            <w:r>
              <w:rPr>
                <w:rFonts w:hint="eastAsia" w:ascii="仿宋" w:hAnsi="仿宋" w:eastAsia="仿宋"/>
                <w:b/>
                <w:szCs w:val="21"/>
              </w:rPr>
              <w:t>。</w:t>
            </w:r>
          </w:p>
          <w:p>
            <w:pPr>
              <w:adjustRightInd w:val="0"/>
              <w:snapToGrid w:val="0"/>
              <w:spacing w:line="300" w:lineRule="exact"/>
              <w:ind w:firstLine="420"/>
              <w:jc w:val="left"/>
              <w:rPr>
                <w:rFonts w:hint="eastAsia" w:ascii="仿宋" w:hAnsi="仿宋" w:eastAsia="仿宋"/>
                <w:b/>
                <w:bCs w:val="0"/>
                <w:szCs w:val="21"/>
                <w:lang w:val="en-US" w:eastAsia="zh-CN"/>
              </w:rPr>
            </w:pPr>
            <w:r>
              <w:rPr>
                <w:rFonts w:hint="eastAsia" w:ascii="仿宋" w:hAnsi="仿宋" w:eastAsia="仿宋"/>
                <w:b/>
                <w:szCs w:val="21"/>
                <w:lang w:val="en-US" w:eastAsia="zh-CN"/>
              </w:rPr>
              <w:t>剩余的</w:t>
            </w:r>
            <w:r>
              <w:rPr>
                <w:rFonts w:hint="eastAsia" w:ascii="仿宋" w:hAnsi="仿宋" w:eastAsia="仿宋"/>
                <w:b/>
                <w:bCs w:val="0"/>
                <w:szCs w:val="21"/>
                <w:lang w:val="en-US" w:eastAsia="zh-CN"/>
              </w:rPr>
              <w:t>销售手续费，</w:t>
            </w:r>
            <w:r>
              <w:rPr>
                <w:rFonts w:hint="eastAsia" w:ascii="仿宋" w:hAnsi="仿宋" w:eastAsia="仿宋"/>
                <w:b/>
                <w:bCs w:val="0"/>
                <w:szCs w:val="21"/>
              </w:rPr>
              <w:t>以</w:t>
            </w:r>
            <w:r>
              <w:rPr>
                <w:rFonts w:hint="eastAsia" w:ascii="仿宋" w:hAnsi="仿宋" w:eastAsia="仿宋"/>
                <w:b/>
                <w:bCs w:val="0"/>
                <w:szCs w:val="21"/>
                <w:lang w:val="en-US" w:eastAsia="zh-CN"/>
              </w:rPr>
              <w:t>产品成立日份额为基数，每日计提。</w:t>
            </w:r>
          </w:p>
          <w:p>
            <w:pPr>
              <w:adjustRightInd w:val="0"/>
              <w:snapToGrid w:val="0"/>
              <w:spacing w:line="300" w:lineRule="exac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rFonts w:hint="default" w:ascii="仿宋" w:hAnsi="仿宋" w:eastAsia="仿宋"/>
                <w:b/>
                <w:bCs w:val="0"/>
                <w:szCs w:val="21"/>
                <w:lang w:val="en-US" w:eastAsia="zh-CN"/>
              </w:rPr>
            </w:pPr>
            <w:r>
              <w:rPr>
                <w:rFonts w:hint="eastAsia" w:ascii="仿宋" w:hAnsi="仿宋" w:eastAsia="仿宋"/>
                <w:b/>
                <w:szCs w:val="21"/>
              </w:rPr>
              <w:t>F=E×【各份额销售手续费</w:t>
            </w:r>
            <w:r>
              <w:rPr>
                <w:rFonts w:ascii="仿宋" w:hAnsi="仿宋" w:eastAsia="仿宋"/>
                <w:b/>
                <w:szCs w:val="21"/>
              </w:rPr>
              <w:t>率</w:t>
            </w:r>
            <w:r>
              <w:rPr>
                <w:rFonts w:hint="eastAsia" w:ascii="仿宋" w:hAnsi="仿宋" w:eastAsia="仿宋"/>
                <w:b/>
                <w:szCs w:val="21"/>
              </w:rPr>
              <w:t>】×</w:t>
            </w:r>
            <w:r>
              <w:rPr>
                <w:rFonts w:hint="eastAsia" w:ascii="仿宋" w:hAnsi="仿宋" w:eastAsia="仿宋"/>
                <w:b/>
                <w:szCs w:val="21"/>
                <w:lang w:val="en-US" w:eastAsia="zh-CN"/>
              </w:rPr>
              <w:t>20%</w:t>
            </w:r>
            <w:r>
              <w:rPr>
                <w:rFonts w:hint="eastAsia" w:ascii="仿宋" w:hAnsi="仿宋" w:eastAsia="仿宋"/>
                <w:b/>
                <w:szCs w:val="21"/>
              </w:rPr>
              <w:t>/</w:t>
            </w:r>
            <w:r>
              <w:rPr>
                <w:rFonts w:hint="eastAsia" w:ascii="仿宋" w:hAnsi="仿宋" w:eastAsia="仿宋"/>
                <w:b/>
                <w:szCs w:val="21"/>
                <w:lang w:val="en-US" w:eastAsia="zh-CN"/>
              </w:rPr>
              <w:t>365</w:t>
            </w:r>
            <w:r>
              <w:rPr>
                <w:rFonts w:hint="eastAsia" w:ascii="仿宋" w:hAnsi="仿宋" w:eastAsia="仿宋"/>
                <w:b/>
                <w:szCs w:val="21"/>
              </w:rPr>
              <w:t>。F为各份额销售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lang w:eastAsia="zh-CN"/>
              </w:rPr>
              <w:t>，</w:t>
            </w:r>
            <w:r>
              <w:rPr>
                <w:rFonts w:hint="eastAsia" w:ascii="仿宋" w:hAnsi="仿宋" w:eastAsia="仿宋"/>
                <w:b/>
                <w:szCs w:val="21"/>
                <w:lang w:val="en-US" w:eastAsia="zh-CN"/>
              </w:rPr>
              <w:t>即产品成立日份额</w:t>
            </w:r>
            <w:r>
              <w:rPr>
                <w:rFonts w:hint="eastAsia" w:ascii="仿宋" w:hAnsi="仿宋" w:eastAsia="仿宋"/>
                <w:b/>
                <w:szCs w:val="21"/>
              </w:rPr>
              <w:t>。</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val="0"/>
                <w:bCs/>
                <w:szCs w:val="21"/>
              </w:rPr>
            </w:pPr>
            <w:r>
              <w:rPr>
                <w:rFonts w:hint="eastAsia" w:ascii="仿宋" w:hAnsi="仿宋" w:eastAsia="仿宋"/>
                <w:b w:val="0"/>
                <w:bCs/>
                <w:szCs w:val="21"/>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本</w:t>
            </w:r>
            <w:r>
              <w:rPr>
                <w:rFonts w:hint="eastAsia" w:ascii="仿宋" w:hAnsi="仿宋" w:eastAsia="仿宋"/>
                <w:b/>
                <w:bCs w:val="0"/>
                <w:szCs w:val="21"/>
                <w:lang w:val="en-US" w:eastAsia="zh-CN"/>
              </w:rPr>
              <w:t>理财</w:t>
            </w:r>
            <w:r>
              <w:rPr>
                <w:rFonts w:hint="eastAsia" w:ascii="仿宋" w:hAnsi="仿宋" w:eastAsia="仿宋"/>
                <w:b/>
                <w:bCs w:val="0"/>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bCs w:val="0"/>
                <w:szCs w:val="21"/>
                <w:lang w:val="en-US" w:eastAsia="zh-CN"/>
              </w:rPr>
              <w:t>50%</w:t>
            </w:r>
            <w:r>
              <w:rPr>
                <w:rFonts w:hint="eastAsia" w:ascii="仿宋" w:hAnsi="仿宋" w:eastAsia="仿宋"/>
                <w:b/>
                <w:bCs w:val="0"/>
                <w:szCs w:val="21"/>
              </w:rPr>
              <w:t>归投资人所有，</w:t>
            </w:r>
            <w:r>
              <w:rPr>
                <w:rFonts w:hint="eastAsia" w:ascii="仿宋" w:hAnsi="仿宋" w:eastAsia="仿宋"/>
                <w:b/>
                <w:bCs w:val="0"/>
                <w:szCs w:val="21"/>
                <w:lang w:val="en-US" w:eastAsia="zh-CN"/>
              </w:rPr>
              <w:t>50%</w:t>
            </w:r>
            <w:r>
              <w:rPr>
                <w:rFonts w:hint="eastAsia" w:ascii="仿宋" w:hAnsi="仿宋" w:eastAsia="仿宋"/>
                <w:b/>
                <w:bCs w:val="0"/>
                <w:szCs w:val="21"/>
              </w:rPr>
              <w:t>作为管理人的超额管理费。</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A份额超额计提基准为</w:t>
            </w:r>
            <w:r>
              <w:rPr>
                <w:rFonts w:hint="eastAsia" w:ascii="仿宋" w:hAnsi="仿宋" w:eastAsia="仿宋"/>
                <w:b/>
                <w:bCs w:val="0"/>
                <w:szCs w:val="21"/>
                <w:lang w:val="en-US" w:eastAsia="zh-CN"/>
              </w:rPr>
              <w:t>3.15</w:t>
            </w:r>
            <w:r>
              <w:rPr>
                <w:rFonts w:hint="eastAsia" w:ascii="仿宋" w:hAnsi="仿宋" w:eastAsia="仿宋"/>
                <w:b/>
                <w:bCs w:val="0"/>
                <w:szCs w:val="21"/>
              </w:rPr>
              <w:t>%（年化）。</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lang w:val="en-US" w:eastAsia="zh-CN"/>
              </w:rPr>
              <w:t>B</w:t>
            </w:r>
            <w:r>
              <w:rPr>
                <w:rFonts w:hint="eastAsia" w:ascii="仿宋" w:hAnsi="仿宋" w:eastAsia="仿宋"/>
                <w:b/>
                <w:bCs w:val="0"/>
                <w:szCs w:val="21"/>
              </w:rPr>
              <w:t>份额超额计提基准为</w:t>
            </w:r>
            <w:r>
              <w:rPr>
                <w:rFonts w:hint="eastAsia" w:ascii="仿宋" w:hAnsi="仿宋" w:eastAsia="仿宋"/>
                <w:b/>
                <w:bCs w:val="0"/>
                <w:szCs w:val="21"/>
                <w:lang w:val="en-US" w:eastAsia="zh-CN"/>
              </w:rPr>
              <w:t>3.10</w:t>
            </w:r>
            <w:r>
              <w:rPr>
                <w:rFonts w:hint="eastAsia" w:ascii="仿宋" w:hAnsi="仿宋" w:eastAsia="仿宋"/>
                <w:b/>
                <w:bCs w:val="0"/>
                <w:szCs w:val="21"/>
              </w:rPr>
              <w:t>%（年化）。</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lang w:val="en-US" w:eastAsia="zh-CN"/>
              </w:rPr>
              <w:t>Z份额</w:t>
            </w:r>
            <w:r>
              <w:rPr>
                <w:rFonts w:hint="eastAsia" w:ascii="仿宋" w:hAnsi="仿宋" w:eastAsia="仿宋"/>
                <w:b/>
                <w:bCs w:val="0"/>
                <w:szCs w:val="21"/>
              </w:rPr>
              <w:t>超额计提基准为</w:t>
            </w:r>
            <w:r>
              <w:rPr>
                <w:rFonts w:hint="eastAsia" w:ascii="仿宋" w:hAnsi="仿宋" w:eastAsia="仿宋"/>
                <w:b/>
                <w:bCs w:val="0"/>
                <w:szCs w:val="21"/>
                <w:lang w:val="en-US" w:eastAsia="zh-CN"/>
              </w:rPr>
              <w:t>3.30</w:t>
            </w:r>
            <w:r>
              <w:rPr>
                <w:rFonts w:hint="eastAsia" w:ascii="仿宋" w:hAnsi="仿宋" w:eastAsia="仿宋"/>
                <w:b/>
                <w:bCs w:val="0"/>
                <w:szCs w:val="21"/>
              </w:rPr>
              <w:t>%（年化）。</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lang w:val="en-US" w:eastAsia="zh-CN"/>
              </w:rPr>
              <w:t>T份额</w:t>
            </w:r>
            <w:r>
              <w:rPr>
                <w:rFonts w:hint="eastAsia" w:ascii="仿宋" w:hAnsi="仿宋" w:eastAsia="仿宋"/>
                <w:b/>
                <w:bCs w:val="0"/>
                <w:szCs w:val="21"/>
              </w:rPr>
              <w:t>超额计提基准为</w:t>
            </w:r>
            <w:r>
              <w:rPr>
                <w:rFonts w:hint="eastAsia" w:ascii="仿宋" w:hAnsi="仿宋" w:eastAsia="仿宋"/>
                <w:b/>
                <w:bCs w:val="0"/>
                <w:szCs w:val="21"/>
                <w:lang w:val="en-US" w:eastAsia="zh-CN"/>
              </w:rPr>
              <w:t>3.25</w:t>
            </w:r>
            <w:r>
              <w:rPr>
                <w:rFonts w:hint="eastAsia" w:ascii="仿宋" w:hAnsi="仿宋" w:eastAsia="仿宋"/>
                <w:b/>
                <w:bCs w:val="0"/>
                <w:szCs w:val="21"/>
              </w:rPr>
              <w:t>%（年化）。</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计算规则详见</w:t>
            </w:r>
            <w:r>
              <w:rPr>
                <w:rFonts w:hint="eastAsia" w:ascii="仿宋" w:hAnsi="仿宋" w:eastAsia="仿宋"/>
                <w:b/>
                <w:bCs w:val="0"/>
                <w:szCs w:val="21"/>
                <w:lang w:eastAsia="zh-CN"/>
              </w:rPr>
              <w:t>“超额管理费”</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w:t>
            </w:r>
            <w:r>
              <w:rPr>
                <w:rFonts w:hint="eastAsia" w:ascii="仿宋" w:hAnsi="仿宋" w:eastAsia="仿宋" w:cs="Cambria"/>
                <w:b/>
                <w:szCs w:val="21"/>
                <w:lang w:val="en-US" w:eastAsia="zh-CN"/>
              </w:rPr>
              <w:t>理财</w:t>
            </w:r>
            <w:r>
              <w:rPr>
                <w:rFonts w:hint="eastAsia" w:ascii="仿宋" w:hAnsi="仿宋" w:eastAsia="仿宋" w:cs="Cambria"/>
                <w:b/>
                <w:szCs w:val="21"/>
              </w:rPr>
              <w:t>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jc w:val="left"/>
              <w:rPr>
                <w:rFonts w:hint="eastAsia" w:ascii="仿宋" w:hAnsi="仿宋" w:eastAsia="仿宋" w:cs="Cambria"/>
                <w:b/>
                <w:bCs w:val="0"/>
                <w:kern w:val="2"/>
                <w:szCs w:val="21"/>
              </w:rPr>
            </w:pPr>
            <w:r>
              <w:rPr>
                <w:rFonts w:hint="eastAsia" w:ascii="仿宋" w:hAnsi="仿宋" w:eastAsia="仿宋" w:cs="Cambria"/>
                <w:b/>
                <w:bCs w:val="0"/>
                <w:kern w:val="2"/>
                <w:szCs w:val="21"/>
              </w:rPr>
              <w:t>1．产品存续期内，在每季度末，如同时符合以下条件，管理人有权视投资运作情况决定本理财产品进行分红：</w:t>
            </w:r>
          </w:p>
          <w:p>
            <w:pPr>
              <w:adjustRightInd w:val="0"/>
              <w:snapToGrid w:val="0"/>
              <w:spacing w:line="240" w:lineRule="atLeast"/>
              <w:ind w:firstLine="422" w:firstLineChars="200"/>
              <w:jc w:val="left"/>
              <w:rPr>
                <w:rFonts w:hint="eastAsia" w:ascii="仿宋" w:hAnsi="仿宋" w:eastAsia="仿宋" w:cs="Cambria"/>
                <w:b/>
                <w:bCs w:val="0"/>
                <w:kern w:val="2"/>
                <w:szCs w:val="21"/>
              </w:rPr>
            </w:pPr>
            <w:r>
              <w:rPr>
                <w:rFonts w:hint="eastAsia" w:ascii="仿宋" w:hAnsi="仿宋" w:eastAsia="仿宋" w:cs="Cambria"/>
                <w:b/>
                <w:bCs w:val="0"/>
                <w:kern w:val="2"/>
                <w:szCs w:val="21"/>
              </w:rPr>
              <w:t>（1）理财产品自成立日起，投资运作已满</w:t>
            </w:r>
            <w:r>
              <w:rPr>
                <w:rFonts w:hint="eastAsia" w:ascii="仿宋" w:hAnsi="仿宋" w:eastAsia="仿宋" w:cs="Cambria"/>
                <w:b/>
                <w:bCs w:val="0"/>
                <w:kern w:val="2"/>
                <w:szCs w:val="21"/>
                <w:lang w:val="en-US" w:eastAsia="zh-CN"/>
              </w:rPr>
              <w:t>半年</w:t>
            </w:r>
            <w:r>
              <w:rPr>
                <w:rFonts w:hint="eastAsia" w:ascii="仿宋" w:hAnsi="仿宋" w:eastAsia="仿宋" w:cs="Cambria"/>
                <w:b/>
                <w:bCs w:val="0"/>
                <w:kern w:val="2"/>
                <w:szCs w:val="21"/>
              </w:rPr>
              <w:t>；</w:t>
            </w:r>
          </w:p>
          <w:p>
            <w:pPr>
              <w:adjustRightInd w:val="0"/>
              <w:snapToGrid w:val="0"/>
              <w:spacing w:line="240" w:lineRule="atLeast"/>
              <w:ind w:firstLine="422" w:firstLineChars="200"/>
              <w:jc w:val="left"/>
              <w:rPr>
                <w:rFonts w:hint="eastAsia" w:ascii="仿宋" w:hAnsi="仿宋" w:eastAsia="仿宋" w:cs="Cambria"/>
                <w:b/>
                <w:bCs w:val="0"/>
                <w:kern w:val="2"/>
                <w:szCs w:val="21"/>
              </w:rPr>
            </w:pPr>
            <w:r>
              <w:rPr>
                <w:rFonts w:hint="eastAsia" w:ascii="仿宋" w:hAnsi="仿宋" w:eastAsia="仿宋" w:cs="Cambria"/>
                <w:b/>
                <w:bCs w:val="0"/>
                <w:kern w:val="2"/>
                <w:szCs w:val="21"/>
              </w:rPr>
              <w:t>（2）理财产品单位净值高于1.0000且存在可分配利润。</w:t>
            </w:r>
          </w:p>
          <w:p>
            <w:pPr>
              <w:adjustRightInd w:val="0"/>
              <w:snapToGrid w:val="0"/>
              <w:spacing w:line="240" w:lineRule="atLeast"/>
              <w:ind w:firstLine="422" w:firstLineChars="200"/>
              <w:jc w:val="left"/>
              <w:rPr>
                <w:rFonts w:hint="eastAsia" w:ascii="仿宋" w:hAnsi="仿宋" w:eastAsia="仿宋" w:cs="Cambria"/>
                <w:b/>
                <w:bCs w:val="0"/>
                <w:kern w:val="2"/>
                <w:szCs w:val="21"/>
              </w:rPr>
            </w:pPr>
            <w:r>
              <w:rPr>
                <w:rFonts w:hint="eastAsia" w:ascii="仿宋" w:hAnsi="仿宋" w:eastAsia="仿宋" w:cs="Cambria"/>
                <w:b/>
                <w:bCs w:val="0"/>
                <w:kern w:val="2"/>
                <w:szCs w:val="21"/>
              </w:rPr>
              <w:t>2．如理财产品设不同份额，则各份额类别单位净值及可供分配利润可能有所不同，管理人就不同份额类别分别制定分红方案。</w:t>
            </w:r>
          </w:p>
          <w:p>
            <w:pPr>
              <w:adjustRightInd w:val="0"/>
              <w:snapToGrid w:val="0"/>
              <w:spacing w:line="240" w:lineRule="atLeast"/>
              <w:ind w:firstLine="422" w:firstLineChars="200"/>
              <w:jc w:val="left"/>
              <w:rPr>
                <w:rFonts w:hint="eastAsia" w:ascii="仿宋" w:hAnsi="仿宋" w:eastAsia="仿宋" w:cs="Cambria"/>
                <w:b/>
                <w:bCs w:val="0"/>
                <w:kern w:val="2"/>
                <w:szCs w:val="21"/>
              </w:rPr>
            </w:pPr>
            <w:r>
              <w:rPr>
                <w:rFonts w:hint="eastAsia" w:ascii="仿宋" w:hAnsi="仿宋" w:eastAsia="仿宋" w:cs="Cambria"/>
                <w:b/>
                <w:bCs w:val="0"/>
                <w:kern w:val="2"/>
                <w:szCs w:val="21"/>
                <w:lang w:val="en-US" w:eastAsia="zh-CN"/>
              </w:rPr>
              <w:t xml:space="preserve">3. </w:t>
            </w:r>
            <w:r>
              <w:rPr>
                <w:rFonts w:hint="eastAsia" w:ascii="仿宋" w:hAnsi="仿宋" w:eastAsia="仿宋" w:cs="Cambria"/>
                <w:b/>
                <w:bCs w:val="0"/>
                <w:kern w:val="2"/>
                <w:szCs w:val="21"/>
              </w:rPr>
              <w:t>本产品采用现金分红模式。</w:t>
            </w:r>
          </w:p>
          <w:p>
            <w:pPr>
              <w:adjustRightInd w:val="0"/>
              <w:snapToGrid w:val="0"/>
              <w:spacing w:line="240" w:lineRule="atLeast"/>
              <w:ind w:firstLine="422" w:firstLineChars="200"/>
              <w:jc w:val="left"/>
            </w:pPr>
            <w:r>
              <w:rPr>
                <w:rFonts w:hint="eastAsia" w:ascii="仿宋" w:hAnsi="仿宋" w:eastAsia="仿宋" w:cs="Cambria"/>
                <w:b/>
                <w:bCs w:val="0"/>
                <w:kern w:val="2"/>
                <w:szCs w:val="21"/>
                <w:lang w:val="en-US" w:eastAsia="zh-CN"/>
              </w:rPr>
              <w:t>4</w:t>
            </w:r>
            <w:r>
              <w:rPr>
                <w:rFonts w:hint="eastAsia" w:ascii="仿宋" w:hAnsi="仿宋" w:eastAsia="仿宋" w:cs="Cambria"/>
                <w:b/>
                <w:bCs w:val="0"/>
                <w:kern w:val="2"/>
                <w:szCs w:val="21"/>
              </w:rPr>
              <w:t>．如管理人决定进行分红，将于分红权益登记日前 3 个工作日通过本产品说明书约定的信息披露渠道发布分红方案。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300" w:lineRule="exact"/>
              <w:ind w:right="-44" w:firstLine="420" w:firstLineChars="200"/>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p>
    <w:p>
      <w:pPr>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numPr>
          <w:ilvl w:val="0"/>
          <w:numId w:val="2"/>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4"/>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w:t>
      </w: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4"/>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4"/>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kern w:val="0"/>
          <w:sz w:val="24"/>
          <w:szCs w:val="24"/>
          <w:lang w:val="en-US" w:eastAsia="zh-CN" w:bidi="ar-SA"/>
        </w:rPr>
        <w:t xml:space="preserve">    6</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AA69FD"/>
    <w:multiLevelType w:val="singleLevel"/>
    <w:tmpl w:val="63AA69FD"/>
    <w:lvl w:ilvl="0" w:tentative="0">
      <w:start w:val="2"/>
      <w:numFmt w:val="chineseCounting"/>
      <w:suff w:val="nothing"/>
      <w:lvlText w:val="%1、"/>
      <w:lvlJc w:val="left"/>
    </w:lvl>
  </w:abstractNum>
  <w:abstractNum w:abstractNumId="1">
    <w:nsid w:val="64C72109"/>
    <w:multiLevelType w:val="singleLevel"/>
    <w:tmpl w:val="64C72109"/>
    <w:lvl w:ilvl="0" w:tentative="0">
      <w:start w:val="1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0868"/>
    <w:rsid w:val="006030F8"/>
    <w:rsid w:val="00603823"/>
    <w:rsid w:val="00623292"/>
    <w:rsid w:val="006309B4"/>
    <w:rsid w:val="0064430D"/>
    <w:rsid w:val="006609EB"/>
    <w:rsid w:val="00661DAE"/>
    <w:rsid w:val="00664F8D"/>
    <w:rsid w:val="00665902"/>
    <w:rsid w:val="006714E1"/>
    <w:rsid w:val="00697279"/>
    <w:rsid w:val="0069734B"/>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17D6"/>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5802"/>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5E11C2"/>
    <w:rsid w:val="020F48EF"/>
    <w:rsid w:val="02417756"/>
    <w:rsid w:val="02855951"/>
    <w:rsid w:val="02E40AD0"/>
    <w:rsid w:val="02F3137F"/>
    <w:rsid w:val="032C31F1"/>
    <w:rsid w:val="033A4D39"/>
    <w:rsid w:val="034644C7"/>
    <w:rsid w:val="03BA2E8C"/>
    <w:rsid w:val="03D64FFD"/>
    <w:rsid w:val="03F262A7"/>
    <w:rsid w:val="04196F12"/>
    <w:rsid w:val="041E6550"/>
    <w:rsid w:val="04435A9E"/>
    <w:rsid w:val="04950991"/>
    <w:rsid w:val="04FA47D6"/>
    <w:rsid w:val="054B7EFA"/>
    <w:rsid w:val="054E6434"/>
    <w:rsid w:val="05831998"/>
    <w:rsid w:val="060A409E"/>
    <w:rsid w:val="0610015A"/>
    <w:rsid w:val="0617338E"/>
    <w:rsid w:val="06194EC6"/>
    <w:rsid w:val="06331B3C"/>
    <w:rsid w:val="06605FED"/>
    <w:rsid w:val="066C6455"/>
    <w:rsid w:val="06930C07"/>
    <w:rsid w:val="06CE1059"/>
    <w:rsid w:val="06D85DD9"/>
    <w:rsid w:val="06E616D6"/>
    <w:rsid w:val="07001921"/>
    <w:rsid w:val="072859C3"/>
    <w:rsid w:val="07692EB6"/>
    <w:rsid w:val="077F4438"/>
    <w:rsid w:val="07853686"/>
    <w:rsid w:val="079A3378"/>
    <w:rsid w:val="07B45D81"/>
    <w:rsid w:val="07C26F1E"/>
    <w:rsid w:val="07C3354C"/>
    <w:rsid w:val="07C52B3D"/>
    <w:rsid w:val="07D6576F"/>
    <w:rsid w:val="07F1682B"/>
    <w:rsid w:val="08064FC2"/>
    <w:rsid w:val="080D6F41"/>
    <w:rsid w:val="08A87A0E"/>
    <w:rsid w:val="08D300AE"/>
    <w:rsid w:val="091A109A"/>
    <w:rsid w:val="09277EEB"/>
    <w:rsid w:val="096506FA"/>
    <w:rsid w:val="096B558A"/>
    <w:rsid w:val="0997730F"/>
    <w:rsid w:val="09B80512"/>
    <w:rsid w:val="0A01440A"/>
    <w:rsid w:val="0A262D36"/>
    <w:rsid w:val="0A513B0D"/>
    <w:rsid w:val="0A5478A3"/>
    <w:rsid w:val="0A7B7656"/>
    <w:rsid w:val="0A965655"/>
    <w:rsid w:val="0A983E05"/>
    <w:rsid w:val="0AB822A5"/>
    <w:rsid w:val="0ADC05EB"/>
    <w:rsid w:val="0B2F5153"/>
    <w:rsid w:val="0B3A7B24"/>
    <w:rsid w:val="0CCF6CA3"/>
    <w:rsid w:val="0D3600BA"/>
    <w:rsid w:val="0D6C5F44"/>
    <w:rsid w:val="0D742647"/>
    <w:rsid w:val="0DD32259"/>
    <w:rsid w:val="0DDC12B1"/>
    <w:rsid w:val="0E3E46D4"/>
    <w:rsid w:val="0E73282A"/>
    <w:rsid w:val="0EF43DB9"/>
    <w:rsid w:val="0F376B87"/>
    <w:rsid w:val="0F660C47"/>
    <w:rsid w:val="0F850895"/>
    <w:rsid w:val="0FAD1DC8"/>
    <w:rsid w:val="0FE501C4"/>
    <w:rsid w:val="0FE85CDD"/>
    <w:rsid w:val="102F133E"/>
    <w:rsid w:val="10510955"/>
    <w:rsid w:val="10987645"/>
    <w:rsid w:val="10B272CB"/>
    <w:rsid w:val="10ED247D"/>
    <w:rsid w:val="10F036D9"/>
    <w:rsid w:val="10FE470B"/>
    <w:rsid w:val="110764BF"/>
    <w:rsid w:val="113A6DA1"/>
    <w:rsid w:val="113D243D"/>
    <w:rsid w:val="114758B1"/>
    <w:rsid w:val="11921C3C"/>
    <w:rsid w:val="119A5652"/>
    <w:rsid w:val="11BA7B51"/>
    <w:rsid w:val="120F1E2C"/>
    <w:rsid w:val="122C6D3E"/>
    <w:rsid w:val="12540566"/>
    <w:rsid w:val="12864AAC"/>
    <w:rsid w:val="12946645"/>
    <w:rsid w:val="12D3200B"/>
    <w:rsid w:val="13495D69"/>
    <w:rsid w:val="13AB6DD5"/>
    <w:rsid w:val="13B7767A"/>
    <w:rsid w:val="13B9670D"/>
    <w:rsid w:val="13DE4767"/>
    <w:rsid w:val="14436D9F"/>
    <w:rsid w:val="14484DCB"/>
    <w:rsid w:val="14852776"/>
    <w:rsid w:val="15140BCE"/>
    <w:rsid w:val="1584793E"/>
    <w:rsid w:val="15874EAA"/>
    <w:rsid w:val="15887E30"/>
    <w:rsid w:val="15C47445"/>
    <w:rsid w:val="15DF45C9"/>
    <w:rsid w:val="15E41B70"/>
    <w:rsid w:val="16440A35"/>
    <w:rsid w:val="16577530"/>
    <w:rsid w:val="167255CF"/>
    <w:rsid w:val="16840173"/>
    <w:rsid w:val="16DC7878"/>
    <w:rsid w:val="16FB6F37"/>
    <w:rsid w:val="173575D5"/>
    <w:rsid w:val="175A3C83"/>
    <w:rsid w:val="17825A05"/>
    <w:rsid w:val="17A26163"/>
    <w:rsid w:val="17D31FDC"/>
    <w:rsid w:val="17D76C2B"/>
    <w:rsid w:val="17DE6808"/>
    <w:rsid w:val="17F8769D"/>
    <w:rsid w:val="18041AB4"/>
    <w:rsid w:val="1812072F"/>
    <w:rsid w:val="182B2F3F"/>
    <w:rsid w:val="184001A1"/>
    <w:rsid w:val="18FE2618"/>
    <w:rsid w:val="190F268E"/>
    <w:rsid w:val="19287585"/>
    <w:rsid w:val="19610BFF"/>
    <w:rsid w:val="19953307"/>
    <w:rsid w:val="19A07D04"/>
    <w:rsid w:val="1AAF4AC2"/>
    <w:rsid w:val="1AB13D5A"/>
    <w:rsid w:val="1B2C6F2C"/>
    <w:rsid w:val="1B365748"/>
    <w:rsid w:val="1B5D5F33"/>
    <w:rsid w:val="1B9B57CD"/>
    <w:rsid w:val="1BA24967"/>
    <w:rsid w:val="1BAF6A57"/>
    <w:rsid w:val="1BC23B97"/>
    <w:rsid w:val="1BCE5D96"/>
    <w:rsid w:val="1BDE2098"/>
    <w:rsid w:val="1BE069CA"/>
    <w:rsid w:val="1BFB2D9C"/>
    <w:rsid w:val="1C465E86"/>
    <w:rsid w:val="1C470F75"/>
    <w:rsid w:val="1C726314"/>
    <w:rsid w:val="1C765C7B"/>
    <w:rsid w:val="1C7B3DCE"/>
    <w:rsid w:val="1C8B0511"/>
    <w:rsid w:val="1CD85DC1"/>
    <w:rsid w:val="1CDB3C40"/>
    <w:rsid w:val="1CE252F3"/>
    <w:rsid w:val="1D0662A6"/>
    <w:rsid w:val="1D104FDC"/>
    <w:rsid w:val="1D117096"/>
    <w:rsid w:val="1D1B764B"/>
    <w:rsid w:val="1DE516B8"/>
    <w:rsid w:val="1E047274"/>
    <w:rsid w:val="1E2F7887"/>
    <w:rsid w:val="1E433C85"/>
    <w:rsid w:val="1EAB2B1F"/>
    <w:rsid w:val="1ED877DF"/>
    <w:rsid w:val="1EF416F8"/>
    <w:rsid w:val="1F0B3DFE"/>
    <w:rsid w:val="1F5522A7"/>
    <w:rsid w:val="1FD45CE1"/>
    <w:rsid w:val="1FF41399"/>
    <w:rsid w:val="200A5D8F"/>
    <w:rsid w:val="208244E5"/>
    <w:rsid w:val="20F111F7"/>
    <w:rsid w:val="21433609"/>
    <w:rsid w:val="214D162F"/>
    <w:rsid w:val="21DE0D16"/>
    <w:rsid w:val="22171129"/>
    <w:rsid w:val="221815EA"/>
    <w:rsid w:val="22245E0F"/>
    <w:rsid w:val="222D0D62"/>
    <w:rsid w:val="22551E62"/>
    <w:rsid w:val="227D729C"/>
    <w:rsid w:val="2350568B"/>
    <w:rsid w:val="237F35E5"/>
    <w:rsid w:val="23A50D24"/>
    <w:rsid w:val="23AA47BE"/>
    <w:rsid w:val="23E44373"/>
    <w:rsid w:val="23F947F3"/>
    <w:rsid w:val="242806AA"/>
    <w:rsid w:val="24392A65"/>
    <w:rsid w:val="2467066D"/>
    <w:rsid w:val="24E91956"/>
    <w:rsid w:val="252E26F1"/>
    <w:rsid w:val="255C100E"/>
    <w:rsid w:val="259A1AD2"/>
    <w:rsid w:val="25C3267A"/>
    <w:rsid w:val="25D568B4"/>
    <w:rsid w:val="25EF5F74"/>
    <w:rsid w:val="25F33B9E"/>
    <w:rsid w:val="25FB4C66"/>
    <w:rsid w:val="260C731E"/>
    <w:rsid w:val="260E5AEA"/>
    <w:rsid w:val="26103D90"/>
    <w:rsid w:val="26103F21"/>
    <w:rsid w:val="272C04B1"/>
    <w:rsid w:val="27914154"/>
    <w:rsid w:val="27C604DA"/>
    <w:rsid w:val="27CD5767"/>
    <w:rsid w:val="27DC6AC2"/>
    <w:rsid w:val="27EA63D1"/>
    <w:rsid w:val="284756E8"/>
    <w:rsid w:val="28682C0C"/>
    <w:rsid w:val="287A5D0E"/>
    <w:rsid w:val="28B05EE9"/>
    <w:rsid w:val="28D30187"/>
    <w:rsid w:val="28D53151"/>
    <w:rsid w:val="28E571A8"/>
    <w:rsid w:val="291D49E2"/>
    <w:rsid w:val="29216629"/>
    <w:rsid w:val="294C4E21"/>
    <w:rsid w:val="294D05D3"/>
    <w:rsid w:val="296D4B02"/>
    <w:rsid w:val="29D46607"/>
    <w:rsid w:val="2A103412"/>
    <w:rsid w:val="2A1E1418"/>
    <w:rsid w:val="2A770C99"/>
    <w:rsid w:val="2A7A5040"/>
    <w:rsid w:val="2AF67748"/>
    <w:rsid w:val="2BBB2833"/>
    <w:rsid w:val="2BC42334"/>
    <w:rsid w:val="2BE1588C"/>
    <w:rsid w:val="2C1011CD"/>
    <w:rsid w:val="2C374208"/>
    <w:rsid w:val="2C40390A"/>
    <w:rsid w:val="2C4C703B"/>
    <w:rsid w:val="2C5064CD"/>
    <w:rsid w:val="2CE37AF2"/>
    <w:rsid w:val="2D241337"/>
    <w:rsid w:val="2D753D30"/>
    <w:rsid w:val="2DB6436A"/>
    <w:rsid w:val="2DC02129"/>
    <w:rsid w:val="2DD51336"/>
    <w:rsid w:val="2E010168"/>
    <w:rsid w:val="2E016F46"/>
    <w:rsid w:val="2E1F3787"/>
    <w:rsid w:val="2E6A7D66"/>
    <w:rsid w:val="2EA605F1"/>
    <w:rsid w:val="2EA972CC"/>
    <w:rsid w:val="2EC31B75"/>
    <w:rsid w:val="2FE72027"/>
    <w:rsid w:val="306A1371"/>
    <w:rsid w:val="30BD6A03"/>
    <w:rsid w:val="3127549C"/>
    <w:rsid w:val="31533557"/>
    <w:rsid w:val="31B41A9A"/>
    <w:rsid w:val="31B4499F"/>
    <w:rsid w:val="31C74937"/>
    <w:rsid w:val="31F02E84"/>
    <w:rsid w:val="32062205"/>
    <w:rsid w:val="322068C9"/>
    <w:rsid w:val="326170B4"/>
    <w:rsid w:val="328F3B54"/>
    <w:rsid w:val="329A11A0"/>
    <w:rsid w:val="32E33E0A"/>
    <w:rsid w:val="32FF7EB7"/>
    <w:rsid w:val="33424079"/>
    <w:rsid w:val="337E4EBF"/>
    <w:rsid w:val="33A6484B"/>
    <w:rsid w:val="34126396"/>
    <w:rsid w:val="345352E6"/>
    <w:rsid w:val="345C3282"/>
    <w:rsid w:val="345E593B"/>
    <w:rsid w:val="34605A84"/>
    <w:rsid w:val="346C230B"/>
    <w:rsid w:val="34CD00CE"/>
    <w:rsid w:val="35034F52"/>
    <w:rsid w:val="352C602C"/>
    <w:rsid w:val="35353A80"/>
    <w:rsid w:val="35B16527"/>
    <w:rsid w:val="35B51481"/>
    <w:rsid w:val="35D91AC7"/>
    <w:rsid w:val="35D930CE"/>
    <w:rsid w:val="36B76A85"/>
    <w:rsid w:val="36B82ADE"/>
    <w:rsid w:val="36D84DBF"/>
    <w:rsid w:val="370C54DE"/>
    <w:rsid w:val="3744068A"/>
    <w:rsid w:val="376879F0"/>
    <w:rsid w:val="378F057D"/>
    <w:rsid w:val="37EC4B4C"/>
    <w:rsid w:val="38465DA6"/>
    <w:rsid w:val="3858774F"/>
    <w:rsid w:val="387B665C"/>
    <w:rsid w:val="38FA1D7C"/>
    <w:rsid w:val="39690814"/>
    <w:rsid w:val="39AE279C"/>
    <w:rsid w:val="39B76C90"/>
    <w:rsid w:val="39C37A55"/>
    <w:rsid w:val="39C53B44"/>
    <w:rsid w:val="39EF39C3"/>
    <w:rsid w:val="3A021304"/>
    <w:rsid w:val="3A23092B"/>
    <w:rsid w:val="3A35598B"/>
    <w:rsid w:val="3A595F4B"/>
    <w:rsid w:val="3A813FE5"/>
    <w:rsid w:val="3A9D0C11"/>
    <w:rsid w:val="3B012D7B"/>
    <w:rsid w:val="3B3F505E"/>
    <w:rsid w:val="3B4C73CF"/>
    <w:rsid w:val="3BC55932"/>
    <w:rsid w:val="3BFA0F67"/>
    <w:rsid w:val="3C2D51C9"/>
    <w:rsid w:val="3C5B61F5"/>
    <w:rsid w:val="3C7826C2"/>
    <w:rsid w:val="3C8F2051"/>
    <w:rsid w:val="3C920B4D"/>
    <w:rsid w:val="3CA07403"/>
    <w:rsid w:val="3CD87A38"/>
    <w:rsid w:val="3CD93C22"/>
    <w:rsid w:val="3D763612"/>
    <w:rsid w:val="3D83215E"/>
    <w:rsid w:val="3D883B84"/>
    <w:rsid w:val="3DF76443"/>
    <w:rsid w:val="3DFF3A1A"/>
    <w:rsid w:val="3E5B1D19"/>
    <w:rsid w:val="3E806D63"/>
    <w:rsid w:val="3EA946F7"/>
    <w:rsid w:val="3ED615CF"/>
    <w:rsid w:val="3EEC674A"/>
    <w:rsid w:val="3EFA325D"/>
    <w:rsid w:val="3F8907F6"/>
    <w:rsid w:val="3F8B7D7F"/>
    <w:rsid w:val="3FDA33E1"/>
    <w:rsid w:val="3FF20B0E"/>
    <w:rsid w:val="402A08D4"/>
    <w:rsid w:val="4057548B"/>
    <w:rsid w:val="40670EF7"/>
    <w:rsid w:val="40682937"/>
    <w:rsid w:val="40974D22"/>
    <w:rsid w:val="40AB1A12"/>
    <w:rsid w:val="41012626"/>
    <w:rsid w:val="413130AD"/>
    <w:rsid w:val="415249F8"/>
    <w:rsid w:val="417575F2"/>
    <w:rsid w:val="41BD7655"/>
    <w:rsid w:val="41CC7DB7"/>
    <w:rsid w:val="41E27C26"/>
    <w:rsid w:val="42771BBE"/>
    <w:rsid w:val="42C36006"/>
    <w:rsid w:val="42CD30A6"/>
    <w:rsid w:val="42D242A1"/>
    <w:rsid w:val="42D544BD"/>
    <w:rsid w:val="42F60353"/>
    <w:rsid w:val="438556A7"/>
    <w:rsid w:val="43A6228A"/>
    <w:rsid w:val="440A6FE5"/>
    <w:rsid w:val="44623744"/>
    <w:rsid w:val="446369C0"/>
    <w:rsid w:val="449B7167"/>
    <w:rsid w:val="44CC2C77"/>
    <w:rsid w:val="4524487F"/>
    <w:rsid w:val="45CC078F"/>
    <w:rsid w:val="466B6F06"/>
    <w:rsid w:val="46860155"/>
    <w:rsid w:val="471713E5"/>
    <w:rsid w:val="473C7E58"/>
    <w:rsid w:val="47492FC6"/>
    <w:rsid w:val="476049FD"/>
    <w:rsid w:val="47802A85"/>
    <w:rsid w:val="48487C68"/>
    <w:rsid w:val="487C60FD"/>
    <w:rsid w:val="489E098C"/>
    <w:rsid w:val="48B61CC6"/>
    <w:rsid w:val="48E45B65"/>
    <w:rsid w:val="48E87129"/>
    <w:rsid w:val="49196553"/>
    <w:rsid w:val="492A5B50"/>
    <w:rsid w:val="49321AAF"/>
    <w:rsid w:val="493A681C"/>
    <w:rsid w:val="493C2E02"/>
    <w:rsid w:val="494C0FE7"/>
    <w:rsid w:val="494D579F"/>
    <w:rsid w:val="4965762F"/>
    <w:rsid w:val="498C1FB1"/>
    <w:rsid w:val="49C378A5"/>
    <w:rsid w:val="49E3000F"/>
    <w:rsid w:val="4A255416"/>
    <w:rsid w:val="4A295537"/>
    <w:rsid w:val="4A937164"/>
    <w:rsid w:val="4A9750EA"/>
    <w:rsid w:val="4AA40703"/>
    <w:rsid w:val="4AB52EDF"/>
    <w:rsid w:val="4AD20D01"/>
    <w:rsid w:val="4B1D70C8"/>
    <w:rsid w:val="4B690413"/>
    <w:rsid w:val="4BA92E03"/>
    <w:rsid w:val="4BB7519A"/>
    <w:rsid w:val="4BB86F47"/>
    <w:rsid w:val="4BF60566"/>
    <w:rsid w:val="4C263A21"/>
    <w:rsid w:val="4C7E5CE7"/>
    <w:rsid w:val="4C802F77"/>
    <w:rsid w:val="4C973694"/>
    <w:rsid w:val="4CCE54E6"/>
    <w:rsid w:val="4D5D4C67"/>
    <w:rsid w:val="4D9A2B3C"/>
    <w:rsid w:val="4DE91C98"/>
    <w:rsid w:val="4E4D03ED"/>
    <w:rsid w:val="4EDD4EDE"/>
    <w:rsid w:val="4EE45C33"/>
    <w:rsid w:val="4EED4C04"/>
    <w:rsid w:val="4EF77F29"/>
    <w:rsid w:val="4F0C6D18"/>
    <w:rsid w:val="4F323CFA"/>
    <w:rsid w:val="4FB777D7"/>
    <w:rsid w:val="4FC908A2"/>
    <w:rsid w:val="50081263"/>
    <w:rsid w:val="500C5A60"/>
    <w:rsid w:val="50461117"/>
    <w:rsid w:val="509A5F14"/>
    <w:rsid w:val="50A50E08"/>
    <w:rsid w:val="51844BB9"/>
    <w:rsid w:val="51954E8A"/>
    <w:rsid w:val="519A4D61"/>
    <w:rsid w:val="519B5496"/>
    <w:rsid w:val="51C81042"/>
    <w:rsid w:val="523D68E9"/>
    <w:rsid w:val="5252299E"/>
    <w:rsid w:val="52667895"/>
    <w:rsid w:val="527A4C70"/>
    <w:rsid w:val="52B20439"/>
    <w:rsid w:val="52B95D52"/>
    <w:rsid w:val="53080EFD"/>
    <w:rsid w:val="532334B2"/>
    <w:rsid w:val="5341023D"/>
    <w:rsid w:val="53735224"/>
    <w:rsid w:val="5374362C"/>
    <w:rsid w:val="537D24F6"/>
    <w:rsid w:val="53A260CE"/>
    <w:rsid w:val="54194509"/>
    <w:rsid w:val="542B039A"/>
    <w:rsid w:val="542C519E"/>
    <w:rsid w:val="543C05E0"/>
    <w:rsid w:val="54B9651A"/>
    <w:rsid w:val="54F9389F"/>
    <w:rsid w:val="55222910"/>
    <w:rsid w:val="55643FAD"/>
    <w:rsid w:val="559032FC"/>
    <w:rsid w:val="55A34E57"/>
    <w:rsid w:val="55E27377"/>
    <w:rsid w:val="55EF2193"/>
    <w:rsid w:val="560165A7"/>
    <w:rsid w:val="560B3FD6"/>
    <w:rsid w:val="560C27CE"/>
    <w:rsid w:val="56195379"/>
    <w:rsid w:val="563121A3"/>
    <w:rsid w:val="563A5292"/>
    <w:rsid w:val="5646747A"/>
    <w:rsid w:val="565C1C2A"/>
    <w:rsid w:val="567B0F8C"/>
    <w:rsid w:val="56D476A1"/>
    <w:rsid w:val="56F63EE3"/>
    <w:rsid w:val="574328BF"/>
    <w:rsid w:val="57A648E5"/>
    <w:rsid w:val="580F77FF"/>
    <w:rsid w:val="584667E1"/>
    <w:rsid w:val="5884596F"/>
    <w:rsid w:val="58B31E4C"/>
    <w:rsid w:val="58E1781D"/>
    <w:rsid w:val="590E442C"/>
    <w:rsid w:val="597162CE"/>
    <w:rsid w:val="598336AE"/>
    <w:rsid w:val="599B3F0F"/>
    <w:rsid w:val="59A2047A"/>
    <w:rsid w:val="5A41650D"/>
    <w:rsid w:val="5A7852B1"/>
    <w:rsid w:val="5A9A631A"/>
    <w:rsid w:val="5AA97C90"/>
    <w:rsid w:val="5AE4319D"/>
    <w:rsid w:val="5B1F505B"/>
    <w:rsid w:val="5B2B6EDA"/>
    <w:rsid w:val="5B85004B"/>
    <w:rsid w:val="5BD0382F"/>
    <w:rsid w:val="5C7E5C8C"/>
    <w:rsid w:val="5CE90207"/>
    <w:rsid w:val="5CEA4265"/>
    <w:rsid w:val="5D2B5865"/>
    <w:rsid w:val="5D6F28E4"/>
    <w:rsid w:val="5DA40743"/>
    <w:rsid w:val="5DAA0B36"/>
    <w:rsid w:val="5DAF7E80"/>
    <w:rsid w:val="5DE4329A"/>
    <w:rsid w:val="5E3B759B"/>
    <w:rsid w:val="5E501568"/>
    <w:rsid w:val="5E50611E"/>
    <w:rsid w:val="5EB138AE"/>
    <w:rsid w:val="5EB53035"/>
    <w:rsid w:val="5ED23CC7"/>
    <w:rsid w:val="5EE6353D"/>
    <w:rsid w:val="5F0310B7"/>
    <w:rsid w:val="5F0C287E"/>
    <w:rsid w:val="5F125F0A"/>
    <w:rsid w:val="5F1655AE"/>
    <w:rsid w:val="5F5952B0"/>
    <w:rsid w:val="5FE12DAA"/>
    <w:rsid w:val="60020601"/>
    <w:rsid w:val="602E28A2"/>
    <w:rsid w:val="60C0423D"/>
    <w:rsid w:val="60E7450D"/>
    <w:rsid w:val="61283254"/>
    <w:rsid w:val="613528A2"/>
    <w:rsid w:val="61644155"/>
    <w:rsid w:val="6166406C"/>
    <w:rsid w:val="618F3AF2"/>
    <w:rsid w:val="61DA68DC"/>
    <w:rsid w:val="61E142B8"/>
    <w:rsid w:val="61FC1FED"/>
    <w:rsid w:val="622708C6"/>
    <w:rsid w:val="62460A47"/>
    <w:rsid w:val="62707F98"/>
    <w:rsid w:val="628A67D6"/>
    <w:rsid w:val="62FC7684"/>
    <w:rsid w:val="63000057"/>
    <w:rsid w:val="63003F81"/>
    <w:rsid w:val="63554C8E"/>
    <w:rsid w:val="63791642"/>
    <w:rsid w:val="63890B77"/>
    <w:rsid w:val="63970830"/>
    <w:rsid w:val="639D1EC4"/>
    <w:rsid w:val="63A13700"/>
    <w:rsid w:val="63D100AF"/>
    <w:rsid w:val="63DA03E2"/>
    <w:rsid w:val="64541B77"/>
    <w:rsid w:val="64551379"/>
    <w:rsid w:val="64667487"/>
    <w:rsid w:val="647664A0"/>
    <w:rsid w:val="64E9282A"/>
    <w:rsid w:val="653B039A"/>
    <w:rsid w:val="65C63D9B"/>
    <w:rsid w:val="65E27827"/>
    <w:rsid w:val="66103AAA"/>
    <w:rsid w:val="66733ED8"/>
    <w:rsid w:val="667640C4"/>
    <w:rsid w:val="66DC24A5"/>
    <w:rsid w:val="66DF3B52"/>
    <w:rsid w:val="672963E0"/>
    <w:rsid w:val="67346A25"/>
    <w:rsid w:val="67363836"/>
    <w:rsid w:val="67520003"/>
    <w:rsid w:val="675A4556"/>
    <w:rsid w:val="675C47D1"/>
    <w:rsid w:val="675E5725"/>
    <w:rsid w:val="679271B5"/>
    <w:rsid w:val="67936D67"/>
    <w:rsid w:val="67A01A11"/>
    <w:rsid w:val="67AE1BA6"/>
    <w:rsid w:val="67B255B2"/>
    <w:rsid w:val="67CC0BD6"/>
    <w:rsid w:val="68191A65"/>
    <w:rsid w:val="681D37A3"/>
    <w:rsid w:val="68C91857"/>
    <w:rsid w:val="68F60924"/>
    <w:rsid w:val="69572330"/>
    <w:rsid w:val="698C4C9E"/>
    <w:rsid w:val="69E719A0"/>
    <w:rsid w:val="6A5B0FA5"/>
    <w:rsid w:val="6A983C35"/>
    <w:rsid w:val="6AAC3F8C"/>
    <w:rsid w:val="6B4C2F45"/>
    <w:rsid w:val="6B547AE4"/>
    <w:rsid w:val="6B966680"/>
    <w:rsid w:val="6BBF0919"/>
    <w:rsid w:val="6C00646D"/>
    <w:rsid w:val="6C026743"/>
    <w:rsid w:val="6C161AD0"/>
    <w:rsid w:val="6CCC33B2"/>
    <w:rsid w:val="6D157AE9"/>
    <w:rsid w:val="6D261839"/>
    <w:rsid w:val="6D2C2EC2"/>
    <w:rsid w:val="6D2E7D50"/>
    <w:rsid w:val="6D6B10A9"/>
    <w:rsid w:val="6D9938C6"/>
    <w:rsid w:val="6DA85675"/>
    <w:rsid w:val="6DD90E21"/>
    <w:rsid w:val="6DE0162F"/>
    <w:rsid w:val="6DEE026A"/>
    <w:rsid w:val="6DFA0630"/>
    <w:rsid w:val="6DFA3383"/>
    <w:rsid w:val="6E062488"/>
    <w:rsid w:val="6E1A49C5"/>
    <w:rsid w:val="6E254EA7"/>
    <w:rsid w:val="6E4B2AEB"/>
    <w:rsid w:val="6EBA3C47"/>
    <w:rsid w:val="6EBB30B7"/>
    <w:rsid w:val="6F037FAB"/>
    <w:rsid w:val="6F191C5C"/>
    <w:rsid w:val="6F44586C"/>
    <w:rsid w:val="6F786BDA"/>
    <w:rsid w:val="6FD6294A"/>
    <w:rsid w:val="70113542"/>
    <w:rsid w:val="70851CBD"/>
    <w:rsid w:val="709573C6"/>
    <w:rsid w:val="709E2354"/>
    <w:rsid w:val="70E70772"/>
    <w:rsid w:val="70FF18AA"/>
    <w:rsid w:val="71660EED"/>
    <w:rsid w:val="717D4A37"/>
    <w:rsid w:val="71900429"/>
    <w:rsid w:val="719027A5"/>
    <w:rsid w:val="71C9496E"/>
    <w:rsid w:val="71EE76F7"/>
    <w:rsid w:val="725F0CAE"/>
    <w:rsid w:val="72981180"/>
    <w:rsid w:val="729C09F9"/>
    <w:rsid w:val="72B21BE0"/>
    <w:rsid w:val="73001A15"/>
    <w:rsid w:val="73155C46"/>
    <w:rsid w:val="733F6067"/>
    <w:rsid w:val="73567E96"/>
    <w:rsid w:val="7366194C"/>
    <w:rsid w:val="73F31065"/>
    <w:rsid w:val="74062834"/>
    <w:rsid w:val="740D552E"/>
    <w:rsid w:val="74136087"/>
    <w:rsid w:val="743B625A"/>
    <w:rsid w:val="7443680B"/>
    <w:rsid w:val="745500EB"/>
    <w:rsid w:val="74726249"/>
    <w:rsid w:val="7480197C"/>
    <w:rsid w:val="74A805D6"/>
    <w:rsid w:val="74A870B6"/>
    <w:rsid w:val="74DD5894"/>
    <w:rsid w:val="74EC6D1E"/>
    <w:rsid w:val="74FA0674"/>
    <w:rsid w:val="75385547"/>
    <w:rsid w:val="754F1383"/>
    <w:rsid w:val="75B75F4A"/>
    <w:rsid w:val="75DC198B"/>
    <w:rsid w:val="75E25A77"/>
    <w:rsid w:val="762A07F6"/>
    <w:rsid w:val="76496A51"/>
    <w:rsid w:val="764A2B58"/>
    <w:rsid w:val="76661B90"/>
    <w:rsid w:val="766D3D59"/>
    <w:rsid w:val="7687004A"/>
    <w:rsid w:val="76E465AA"/>
    <w:rsid w:val="77307E87"/>
    <w:rsid w:val="77731DCC"/>
    <w:rsid w:val="77B301A9"/>
    <w:rsid w:val="77BE7190"/>
    <w:rsid w:val="77D83AB0"/>
    <w:rsid w:val="77E54E68"/>
    <w:rsid w:val="77ED043F"/>
    <w:rsid w:val="77F43C8B"/>
    <w:rsid w:val="77FA47E4"/>
    <w:rsid w:val="78F759E0"/>
    <w:rsid w:val="78FB1E09"/>
    <w:rsid w:val="79802062"/>
    <w:rsid w:val="79BB4445"/>
    <w:rsid w:val="79CB33E9"/>
    <w:rsid w:val="79CC1086"/>
    <w:rsid w:val="79EF28EF"/>
    <w:rsid w:val="7A0E66B3"/>
    <w:rsid w:val="7A300713"/>
    <w:rsid w:val="7A3B7268"/>
    <w:rsid w:val="7AB968E7"/>
    <w:rsid w:val="7AC65BFC"/>
    <w:rsid w:val="7AF921D7"/>
    <w:rsid w:val="7B0735D8"/>
    <w:rsid w:val="7B0F7EA2"/>
    <w:rsid w:val="7B1012D5"/>
    <w:rsid w:val="7B2F3DDD"/>
    <w:rsid w:val="7B4B41CD"/>
    <w:rsid w:val="7B5A24C6"/>
    <w:rsid w:val="7B6F7E14"/>
    <w:rsid w:val="7B8E71E8"/>
    <w:rsid w:val="7C012101"/>
    <w:rsid w:val="7C651F72"/>
    <w:rsid w:val="7C6F2735"/>
    <w:rsid w:val="7CDB4C9F"/>
    <w:rsid w:val="7D016D57"/>
    <w:rsid w:val="7D19059F"/>
    <w:rsid w:val="7D2B624D"/>
    <w:rsid w:val="7DC33AA0"/>
    <w:rsid w:val="7EA630E7"/>
    <w:rsid w:val="7EB61058"/>
    <w:rsid w:val="7EC8776A"/>
    <w:rsid w:val="7ED004CF"/>
    <w:rsid w:val="7ED53BE9"/>
    <w:rsid w:val="7F691199"/>
    <w:rsid w:val="7F6D3DE1"/>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2"/>
    <w:next w:val="2"/>
    <w:link w:val="17"/>
    <w:qFormat/>
    <w:uiPriority w:val="0"/>
    <w:rPr>
      <w:b/>
      <w:bCs/>
    </w:rPr>
  </w:style>
  <w:style w:type="character" w:styleId="11">
    <w:name w:val="FollowedHyperlink"/>
    <w:qFormat/>
    <w:uiPriority w:val="0"/>
    <w:rPr>
      <w:color w:val="000000"/>
      <w:u w:val="none"/>
    </w:rPr>
  </w:style>
  <w:style w:type="character" w:styleId="12">
    <w:name w:val="Hyperlink"/>
    <w:qFormat/>
    <w:uiPriority w:val="0"/>
    <w:rPr>
      <w:color w:val="000000"/>
      <w:u w:val="none"/>
    </w:rPr>
  </w:style>
  <w:style w:type="character" w:styleId="13">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2"/>
    <w:qFormat/>
    <w:uiPriority w:val="0"/>
    <w:rPr>
      <w:kern w:val="2"/>
      <w:sz w:val="21"/>
      <w:szCs w:val="24"/>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17063</Words>
  <Characters>17558</Characters>
  <Lines>112</Lines>
  <Paragraphs>31</Paragraphs>
  <TotalTime>27</TotalTime>
  <ScaleCrop>false</ScaleCrop>
  <LinksUpToDate>false</LinksUpToDate>
  <CharactersWithSpaces>17717</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苏晨晓</cp:lastModifiedBy>
  <cp:lastPrinted>2021-07-21T07:06:00Z</cp:lastPrinted>
  <dcterms:modified xsi:type="dcterms:W3CDTF">2025-05-15T09:05:49Z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AABFD6ACA3EB4657B5186AEC0B9A73DC</vt:lpwstr>
  </property>
</Properties>
</file>