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华夏理财悦安封闭式理财产品</w:t>
      </w:r>
      <w:r>
        <w:rPr>
          <w:rFonts w:hint="eastAsia" w:eastAsia="黑体"/>
          <w:bCs/>
          <w:sz w:val="36"/>
          <w:szCs w:val="36"/>
          <w:lang w:val="en-US" w:eastAsia="zh-CN"/>
        </w:rPr>
        <w:t>176</w:t>
      </w:r>
      <w:r>
        <w:rPr>
          <w:rFonts w:hint="eastAsia" w:eastAsia="黑体"/>
          <w:bCs/>
          <w:sz w:val="36"/>
          <w:szCs w:val="36"/>
        </w:rPr>
        <w:t>号说明书</w:t>
      </w:r>
    </w:p>
    <w:p>
      <w:pPr>
        <w:pStyle w:val="3"/>
        <w:widowControl/>
        <w:spacing w:line="240" w:lineRule="auto"/>
        <w:ind w:firstLine="0"/>
        <w:jc w:val="center"/>
        <w:rPr>
          <w:rFonts w:eastAsia="黑体"/>
          <w:bCs/>
          <w:sz w:val="36"/>
          <w:szCs w:val="36"/>
        </w:rPr>
      </w:pP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176</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华夏理财悦安封闭式176号146天</w:t>
            </w:r>
            <w:r>
              <w:rPr>
                <w:rFonts w:hint="eastAsia" w:ascii="仿宋" w:hAnsi="仿宋" w:eastAsia="仿宋"/>
                <w:b/>
                <w:bCs/>
                <w:szCs w:val="21"/>
              </w:rPr>
              <w:t>A”</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华夏理财悦安封闭式176号146天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华夏理财悦安封闭式176号146天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华夏理财悦安封闭式176号146天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E</w:t>
            </w:r>
            <w:r>
              <w:rPr>
                <w:rFonts w:hint="eastAsia" w:ascii="仿宋" w:hAnsi="仿宋" w:eastAsia="仿宋"/>
                <w:b/>
                <w:bCs/>
                <w:szCs w:val="21"/>
              </w:rPr>
              <w:t>份额简称：“</w:t>
            </w:r>
            <w:r>
              <w:rPr>
                <w:rFonts w:hint="eastAsia" w:ascii="仿宋" w:hAnsi="仿宋" w:eastAsia="仿宋"/>
                <w:b/>
                <w:bCs/>
                <w:szCs w:val="21"/>
                <w:lang w:eastAsia="zh-CN"/>
              </w:rPr>
              <w:t>华夏理财悦安封闭式176号146天</w:t>
            </w:r>
            <w:r>
              <w:rPr>
                <w:rFonts w:hint="eastAsia" w:ascii="仿宋" w:hAnsi="仿宋" w:eastAsia="仿宋"/>
                <w:b/>
                <w:bCs/>
                <w:szCs w:val="21"/>
                <w:lang w:val="en-US" w:eastAsia="zh-CN"/>
              </w:rPr>
              <w:t>E</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eastAsia="zh-CN"/>
              </w:rPr>
              <w:t>25111609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highlight w:val="none"/>
              </w:rPr>
            </w:pPr>
            <w:r>
              <w:rPr>
                <w:rFonts w:hint="eastAsia" w:ascii="仿宋" w:hAnsi="仿宋" w:eastAsia="仿宋"/>
                <w:bCs/>
                <w:szCs w:val="21"/>
                <w:highlight w:val="none"/>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highlight w:val="none"/>
              </w:rPr>
            </w:pPr>
            <w:r>
              <w:rPr>
                <w:rFonts w:hint="eastAsia" w:ascii="仿宋" w:hAnsi="仿宋" w:eastAsia="仿宋"/>
                <w:bCs/>
                <w:szCs w:val="21"/>
                <w:highlight w:val="none"/>
              </w:rPr>
              <w:t>A份额代码：</w:t>
            </w:r>
            <w:r>
              <w:rPr>
                <w:rFonts w:hint="eastAsia" w:ascii="仿宋" w:hAnsi="仿宋" w:eastAsia="仿宋"/>
                <w:bCs/>
                <w:szCs w:val="21"/>
                <w:highlight w:val="none"/>
                <w:lang w:eastAsia="zh-CN"/>
              </w:rPr>
              <w:t>25111609</w:t>
            </w:r>
            <w:r>
              <w:rPr>
                <w:rFonts w:hint="eastAsia" w:ascii="仿宋" w:hAnsi="仿宋" w:eastAsia="仿宋"/>
                <w:bCs/>
                <w:szCs w:val="21"/>
                <w:highlight w:val="none"/>
              </w:rPr>
              <w:t>A</w:t>
            </w:r>
          </w:p>
          <w:p>
            <w:pPr>
              <w:adjustRightInd w:val="0"/>
              <w:snapToGrid w:val="0"/>
              <w:spacing w:line="300" w:lineRule="exact"/>
              <w:jc w:val="center"/>
              <w:rPr>
                <w:rFonts w:hint="eastAsia" w:ascii="仿宋" w:hAnsi="仿宋" w:eastAsia="仿宋"/>
                <w:bCs/>
                <w:szCs w:val="21"/>
                <w:highlight w:val="none"/>
                <w:lang w:eastAsia="zh-CN"/>
              </w:rPr>
            </w:pPr>
            <w:r>
              <w:rPr>
                <w:rFonts w:hint="eastAsia" w:ascii="仿宋" w:hAnsi="仿宋" w:eastAsia="仿宋"/>
                <w:bCs/>
                <w:szCs w:val="21"/>
                <w:highlight w:val="none"/>
                <w:lang w:val="en-US" w:eastAsia="zh-CN"/>
              </w:rPr>
              <w:t>B</w:t>
            </w:r>
            <w:r>
              <w:rPr>
                <w:rFonts w:hint="eastAsia" w:ascii="仿宋" w:hAnsi="仿宋" w:eastAsia="仿宋"/>
                <w:bCs/>
                <w:szCs w:val="21"/>
                <w:highlight w:val="none"/>
              </w:rPr>
              <w:t>份额代码：</w:t>
            </w:r>
            <w:r>
              <w:rPr>
                <w:rFonts w:hint="eastAsia" w:ascii="仿宋" w:hAnsi="仿宋" w:eastAsia="仿宋"/>
                <w:bCs/>
                <w:szCs w:val="21"/>
                <w:highlight w:val="none"/>
                <w:lang w:eastAsia="zh-CN"/>
              </w:rPr>
              <w:t>25111609</w:t>
            </w:r>
            <w:r>
              <w:rPr>
                <w:rFonts w:hint="eastAsia" w:ascii="仿宋" w:hAnsi="仿宋" w:eastAsia="仿宋"/>
                <w:bCs/>
                <w:szCs w:val="21"/>
                <w:highlight w:val="none"/>
                <w:lang w:val="en-US" w:eastAsia="zh-CN"/>
              </w:rPr>
              <w:t>B</w:t>
            </w:r>
          </w:p>
          <w:p>
            <w:pPr>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C</w:t>
            </w:r>
            <w:r>
              <w:rPr>
                <w:rFonts w:hint="eastAsia" w:ascii="仿宋" w:hAnsi="仿宋" w:eastAsia="仿宋"/>
                <w:bCs/>
                <w:szCs w:val="21"/>
                <w:highlight w:val="none"/>
              </w:rPr>
              <w:t>份额代码：</w:t>
            </w:r>
            <w:r>
              <w:rPr>
                <w:rFonts w:hint="eastAsia" w:ascii="仿宋" w:hAnsi="仿宋" w:eastAsia="仿宋"/>
                <w:bCs/>
                <w:szCs w:val="21"/>
                <w:highlight w:val="none"/>
                <w:lang w:eastAsia="zh-CN"/>
              </w:rPr>
              <w:t>25111609</w:t>
            </w:r>
            <w:r>
              <w:rPr>
                <w:rFonts w:hint="eastAsia" w:ascii="仿宋" w:hAnsi="仿宋" w:eastAsia="仿宋"/>
                <w:bCs/>
                <w:szCs w:val="21"/>
                <w:highlight w:val="none"/>
                <w:lang w:val="en-US" w:eastAsia="zh-CN"/>
              </w:rPr>
              <w:t>C（面向中国银行渠道销售）</w:t>
            </w:r>
          </w:p>
          <w:p>
            <w:pPr>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D份额代码：25111609D</w:t>
            </w:r>
          </w:p>
          <w:p>
            <w:pPr>
              <w:adjustRightInd w:val="0"/>
              <w:snapToGrid w:val="0"/>
              <w:spacing w:line="300" w:lineRule="exact"/>
              <w:jc w:val="center"/>
              <w:rPr>
                <w:rFonts w:hint="default" w:ascii="仿宋" w:hAnsi="仿宋" w:eastAsia="仿宋"/>
                <w:bCs/>
                <w:szCs w:val="21"/>
                <w:highlight w:val="none"/>
                <w:lang w:val="en-US" w:eastAsia="zh-CN"/>
              </w:rPr>
            </w:pPr>
            <w:r>
              <w:rPr>
                <w:rFonts w:hint="eastAsia" w:ascii="仿宋" w:hAnsi="仿宋" w:eastAsia="仿宋"/>
                <w:bCs/>
                <w:szCs w:val="21"/>
                <w:highlight w:val="none"/>
                <w:lang w:val="en-US" w:eastAsia="zh-CN"/>
              </w:rPr>
              <w:t>E份额代码：25111609E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Z7003924000713</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lang w:eastAsia="zh-CN"/>
              </w:rPr>
              <w:t>【</w:t>
            </w:r>
            <w:r>
              <w:rPr>
                <w:rFonts w:hint="eastAsia" w:ascii="仿宋" w:hAnsi="仿宋" w:eastAsia="仿宋"/>
                <w:bCs/>
                <w:szCs w:val="21"/>
                <w:u w:val="single"/>
              </w:rPr>
              <w:t>CR1（谨慎型）、CR2（稳健型）、CR3（平衡型）、CR4（进取型）、CR5（激进型）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2.00%-2.30%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1.95%-2.25%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1.90%-2.20%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1.90%-2.20%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1.80%-2.10%</w:t>
            </w:r>
            <w:r>
              <w:rPr>
                <w:rFonts w:hint="eastAsia" w:ascii="仿宋" w:hAnsi="仿宋" w:eastAsia="仿宋" w:cs="Cambria"/>
                <w:bCs/>
                <w:szCs w:val="21"/>
              </w:rPr>
              <w:t>（年化）。以产品主要投资于存款类资产为例，参考当前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146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份额：认购起点金额1元，以1元的整数倍递增。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E</w:t>
            </w:r>
            <w:r>
              <w:rPr>
                <w:rFonts w:hint="eastAsia" w:ascii="仿宋" w:hAnsi="仿宋" w:eastAsia="仿宋"/>
                <w:bCs/>
                <w:szCs w:val="21"/>
              </w:rPr>
              <w:t>份额：认购起点金额1元，以1元的整数倍递增。</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hint="eastAsia" w:ascii="仿宋" w:hAnsi="仿宋" w:eastAsia="仿宋"/>
                <w:b/>
                <w:bCs/>
                <w:szCs w:val="21"/>
                <w:lang w:val="en-US" w:eastAsia="zh-CN"/>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w:t>
            </w:r>
            <w:r>
              <w:rPr>
                <w:rFonts w:hint="eastAsia" w:ascii="仿宋" w:hAnsi="仿宋" w:eastAsia="仿宋"/>
                <w:b/>
                <w:bCs/>
                <w:szCs w:val="21"/>
                <w:lang w:val="en-US" w:eastAsia="zh-CN"/>
              </w:rPr>
              <w:t>3</w:t>
            </w:r>
            <w:r>
              <w:rPr>
                <w:rFonts w:hint="eastAsia" w:ascii="仿宋" w:hAnsi="仿宋" w:eastAsia="仿宋"/>
                <w:b/>
                <w:bCs/>
                <w:szCs w:val="21"/>
              </w:rPr>
              <w:t>%】</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A份额：</w:t>
            </w:r>
            <w:r>
              <w:rPr>
                <w:rFonts w:ascii="仿宋" w:hAnsi="仿宋" w:eastAsia="仿宋"/>
                <w:b/>
                <w:bCs/>
                <w:szCs w:val="21"/>
              </w:rPr>
              <w:t>0.</w:t>
            </w:r>
            <w:r>
              <w:rPr>
                <w:rFonts w:hint="eastAsia" w:ascii="仿宋" w:hAnsi="仿宋" w:eastAsia="仿宋"/>
                <w:b/>
                <w:bCs/>
                <w:szCs w:val="21"/>
                <w:lang w:val="en-US" w:eastAsia="zh-CN"/>
              </w:rPr>
              <w:t>10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15</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w:t>
            </w:r>
            <w:r>
              <w:rPr>
                <w:rFonts w:ascii="仿宋" w:hAnsi="仿宋" w:eastAsia="仿宋"/>
                <w:b/>
                <w:bCs/>
                <w:szCs w:val="21"/>
              </w:rPr>
              <w:t>0.</w:t>
            </w:r>
            <w:r>
              <w:rPr>
                <w:rFonts w:hint="eastAsia" w:ascii="仿宋" w:hAnsi="仿宋" w:eastAsia="仿宋"/>
                <w:b/>
                <w:bCs/>
                <w:szCs w:val="21"/>
                <w:lang w:val="en-US" w:eastAsia="zh-CN"/>
              </w:rPr>
              <w:t>30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D</w:t>
            </w:r>
            <w:r>
              <w:rPr>
                <w:rFonts w:hint="eastAsia" w:ascii="仿宋" w:hAnsi="仿宋" w:eastAsia="仿宋"/>
                <w:b/>
                <w:bCs/>
                <w:szCs w:val="21"/>
              </w:rPr>
              <w:t>份额：0.</w:t>
            </w:r>
            <w:r>
              <w:rPr>
                <w:rFonts w:hint="eastAsia" w:ascii="仿宋" w:hAnsi="仿宋" w:eastAsia="仿宋"/>
                <w:b/>
                <w:bCs/>
                <w:szCs w:val="21"/>
                <w:lang w:val="en-US" w:eastAsia="zh-CN"/>
              </w:rPr>
              <w:t>20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val="en-US" w:eastAsia="zh-CN"/>
              </w:rPr>
              <w:t>E</w:t>
            </w:r>
            <w:r>
              <w:rPr>
                <w:rFonts w:hint="eastAsia" w:ascii="仿宋" w:hAnsi="仿宋" w:eastAsia="仿宋"/>
                <w:b/>
                <w:bCs/>
                <w:szCs w:val="21"/>
              </w:rPr>
              <w:t>份额：0.</w:t>
            </w:r>
            <w:r>
              <w:rPr>
                <w:rFonts w:hint="eastAsia" w:ascii="仿宋" w:hAnsi="仿宋" w:eastAsia="仿宋"/>
                <w:b/>
                <w:bCs/>
                <w:szCs w:val="21"/>
                <w:lang w:val="en-US" w:eastAsia="zh-CN"/>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hint="eastAsia" w:ascii="仿宋" w:hAnsi="仿宋" w:eastAsia="仿宋"/>
                <w:b/>
                <w:bCs/>
                <w:szCs w:val="21"/>
                <w:lang w:val="en-US"/>
              </w:rPr>
              <w:t>各份额销售手续费率</w:t>
            </w:r>
            <w:r>
              <w:rPr>
                <w:rFonts w:hint="eastAsia" w:ascii="仿宋" w:hAnsi="仿宋" w:eastAsia="仿宋"/>
                <w:b/>
                <w:bCs/>
                <w:szCs w:val="21"/>
              </w:rPr>
              <w:t>】/当年天数。F为各份额销售手续费；E为计算基数。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10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10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本</w:t>
            </w:r>
            <w:r>
              <w:rPr>
                <w:rFonts w:hint="eastAsia" w:ascii="仿宋" w:hAnsi="仿宋" w:eastAsia="仿宋"/>
                <w:b/>
                <w:bCs/>
                <w:szCs w:val="21"/>
                <w:lang w:val="en-US" w:eastAsia="zh-CN"/>
              </w:rPr>
              <w:t>理财</w:t>
            </w:r>
            <w:r>
              <w:rPr>
                <w:rFonts w:hint="eastAsia" w:ascii="仿宋" w:hAnsi="仿宋" w:eastAsia="仿宋"/>
                <w:b/>
                <w:bCs/>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szCs w:val="21"/>
                <w:lang w:val="en-US" w:eastAsia="zh-CN"/>
              </w:rPr>
              <w:t>50%</w:t>
            </w:r>
            <w:r>
              <w:rPr>
                <w:rFonts w:hint="eastAsia" w:ascii="仿宋" w:hAnsi="仿宋" w:eastAsia="仿宋"/>
                <w:b/>
                <w:bCs/>
                <w:szCs w:val="21"/>
              </w:rPr>
              <w:t>归投资人所有，</w:t>
            </w:r>
            <w:r>
              <w:rPr>
                <w:rFonts w:hint="eastAsia" w:ascii="仿宋" w:hAnsi="仿宋" w:eastAsia="仿宋"/>
                <w:b/>
                <w:bCs/>
                <w:szCs w:val="21"/>
                <w:lang w:val="en-US" w:eastAsia="zh-CN"/>
              </w:rPr>
              <w:t>50%</w:t>
            </w:r>
            <w:r>
              <w:rPr>
                <w:rFonts w:hint="eastAsia" w:ascii="仿宋" w:hAnsi="仿宋" w:eastAsia="仿宋"/>
                <w:b/>
                <w:bCs/>
                <w:szCs w:val="21"/>
              </w:rPr>
              <w:t>作为管理人的超额管理费。</w:t>
            </w:r>
          </w:p>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A份额超额计提基准为</w:t>
            </w:r>
            <w:r>
              <w:rPr>
                <w:rFonts w:hint="eastAsia" w:ascii="仿宋" w:hAnsi="仿宋" w:eastAsia="仿宋"/>
                <w:b/>
                <w:bCs/>
                <w:szCs w:val="21"/>
                <w:lang w:val="en-US" w:eastAsia="zh-CN"/>
              </w:rPr>
              <w:t>2.30</w:t>
            </w:r>
            <w:r>
              <w:rPr>
                <w:rFonts w:hint="eastAsia" w:ascii="仿宋" w:hAnsi="仿宋" w:eastAsia="仿宋"/>
                <w:b/>
                <w:bCs/>
                <w:szCs w:val="21"/>
              </w:rPr>
              <w:t>%（年化）</w:t>
            </w:r>
            <w:r>
              <w:rPr>
                <w:rFonts w:hint="eastAsia" w:ascii="仿宋" w:hAnsi="仿宋" w:eastAsia="仿宋"/>
                <w:b/>
                <w:bCs/>
                <w:szCs w:val="21"/>
                <w:lang w:eastAsia="zh-CN"/>
              </w:rPr>
              <w:t>；</w:t>
            </w:r>
            <w:r>
              <w:rPr>
                <w:rFonts w:hint="eastAsia" w:ascii="仿宋" w:hAnsi="仿宋" w:eastAsia="仿宋"/>
                <w:b/>
                <w:bCs/>
                <w:szCs w:val="21"/>
                <w:lang w:val="en-US" w:eastAsia="zh-CN"/>
              </w:rPr>
              <w:t>B</w:t>
            </w:r>
            <w:r>
              <w:rPr>
                <w:rFonts w:hint="eastAsia" w:ascii="仿宋" w:hAnsi="仿宋" w:eastAsia="仿宋"/>
                <w:b/>
                <w:bCs/>
                <w:szCs w:val="21"/>
              </w:rPr>
              <w:t>份额超额计提基准为</w:t>
            </w:r>
            <w:r>
              <w:rPr>
                <w:rFonts w:hint="eastAsia" w:ascii="仿宋" w:hAnsi="仿宋" w:eastAsia="仿宋"/>
                <w:b/>
                <w:bCs/>
                <w:szCs w:val="21"/>
                <w:lang w:val="en-US" w:eastAsia="zh-CN"/>
              </w:rPr>
              <w:t>2.25</w:t>
            </w:r>
            <w:r>
              <w:rPr>
                <w:rFonts w:hint="eastAsia" w:ascii="仿宋" w:hAnsi="仿宋" w:eastAsia="仿宋"/>
                <w:b/>
                <w:bCs/>
                <w:szCs w:val="21"/>
              </w:rPr>
              <w:t>%（年化）</w:t>
            </w:r>
            <w:r>
              <w:rPr>
                <w:rFonts w:hint="eastAsia" w:ascii="仿宋" w:hAnsi="仿宋" w:eastAsia="仿宋"/>
                <w:b/>
                <w:bCs/>
                <w:szCs w:val="21"/>
                <w:lang w:eastAsia="zh-CN"/>
              </w:rPr>
              <w:t>；</w:t>
            </w:r>
            <w:r>
              <w:rPr>
                <w:rFonts w:hint="eastAsia" w:ascii="仿宋" w:hAnsi="仿宋" w:eastAsia="仿宋"/>
                <w:b/>
                <w:bCs/>
                <w:szCs w:val="21"/>
                <w:lang w:val="en-US" w:eastAsia="zh-CN"/>
              </w:rPr>
              <w:t>C</w:t>
            </w:r>
            <w:r>
              <w:rPr>
                <w:rFonts w:hint="eastAsia" w:ascii="仿宋" w:hAnsi="仿宋" w:eastAsia="仿宋"/>
                <w:b/>
                <w:bCs/>
                <w:szCs w:val="21"/>
              </w:rPr>
              <w:t>份额超额计提基准为</w:t>
            </w:r>
            <w:r>
              <w:rPr>
                <w:rFonts w:hint="eastAsia" w:ascii="仿宋" w:hAnsi="仿宋" w:eastAsia="仿宋"/>
                <w:b/>
                <w:bCs/>
                <w:szCs w:val="21"/>
                <w:lang w:val="en-US" w:eastAsia="zh-CN"/>
              </w:rPr>
              <w:t>2.20</w:t>
            </w:r>
            <w:r>
              <w:rPr>
                <w:rFonts w:hint="eastAsia" w:ascii="仿宋" w:hAnsi="仿宋" w:eastAsia="仿宋"/>
                <w:b/>
                <w:bCs/>
                <w:szCs w:val="21"/>
              </w:rPr>
              <w:t>%（年化）</w:t>
            </w:r>
            <w:r>
              <w:rPr>
                <w:rFonts w:hint="eastAsia" w:ascii="仿宋" w:hAnsi="仿宋" w:eastAsia="仿宋"/>
                <w:b/>
                <w:bCs/>
                <w:szCs w:val="21"/>
                <w:lang w:eastAsia="zh-CN"/>
              </w:rPr>
              <w:t>；</w:t>
            </w:r>
            <w:r>
              <w:rPr>
                <w:rFonts w:hint="eastAsia" w:ascii="仿宋" w:hAnsi="仿宋" w:eastAsia="仿宋"/>
                <w:b/>
                <w:bCs/>
                <w:szCs w:val="21"/>
                <w:lang w:val="en-US" w:eastAsia="zh-CN"/>
              </w:rPr>
              <w:t>D</w:t>
            </w:r>
            <w:r>
              <w:rPr>
                <w:rFonts w:hint="eastAsia" w:ascii="仿宋" w:hAnsi="仿宋" w:eastAsia="仿宋"/>
                <w:b/>
                <w:bCs/>
                <w:szCs w:val="21"/>
              </w:rPr>
              <w:t>份额超额计提基准为</w:t>
            </w:r>
            <w:r>
              <w:rPr>
                <w:rFonts w:hint="eastAsia" w:ascii="仿宋" w:hAnsi="仿宋" w:eastAsia="仿宋"/>
                <w:b/>
                <w:bCs/>
                <w:szCs w:val="21"/>
                <w:lang w:val="en-US" w:eastAsia="zh-CN"/>
              </w:rPr>
              <w:t>2.20</w:t>
            </w:r>
            <w:r>
              <w:rPr>
                <w:rFonts w:hint="eastAsia" w:ascii="仿宋" w:hAnsi="仿宋" w:eastAsia="仿宋"/>
                <w:b/>
                <w:bCs/>
                <w:szCs w:val="21"/>
              </w:rPr>
              <w:t>%（年化）</w:t>
            </w:r>
            <w:r>
              <w:rPr>
                <w:rFonts w:hint="eastAsia" w:ascii="仿宋" w:hAnsi="仿宋" w:eastAsia="仿宋"/>
                <w:b/>
                <w:bCs/>
                <w:szCs w:val="21"/>
                <w:lang w:eastAsia="zh-CN"/>
              </w:rPr>
              <w:t>；</w:t>
            </w:r>
            <w:r>
              <w:rPr>
                <w:rFonts w:hint="eastAsia" w:ascii="仿宋" w:hAnsi="仿宋" w:eastAsia="仿宋"/>
                <w:b/>
                <w:bCs/>
                <w:szCs w:val="21"/>
                <w:lang w:val="en-US" w:eastAsia="zh-CN"/>
              </w:rPr>
              <w:t>E</w:t>
            </w:r>
            <w:r>
              <w:rPr>
                <w:rFonts w:hint="eastAsia" w:ascii="仿宋" w:hAnsi="仿宋" w:eastAsia="仿宋"/>
                <w:b/>
                <w:bCs/>
                <w:szCs w:val="21"/>
              </w:rPr>
              <w:t>份额超额计提基准为</w:t>
            </w:r>
            <w:r>
              <w:rPr>
                <w:rFonts w:hint="eastAsia" w:ascii="仿宋" w:hAnsi="仿宋" w:eastAsia="仿宋"/>
                <w:b/>
                <w:bCs/>
                <w:szCs w:val="21"/>
                <w:lang w:val="en-US" w:eastAsia="zh-CN"/>
              </w:rPr>
              <w:t>2.10</w:t>
            </w:r>
            <w:r>
              <w:rPr>
                <w:rFonts w:hint="eastAsia" w:ascii="仿宋" w:hAnsi="仿宋" w:eastAsia="仿宋"/>
                <w:b/>
                <w:bCs/>
                <w:szCs w:val="21"/>
              </w:rPr>
              <w:t>%（年化）。</w:t>
            </w:r>
          </w:p>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计算规则详见</w:t>
            </w:r>
            <w:r>
              <w:rPr>
                <w:rFonts w:hint="eastAsia" w:ascii="仿宋" w:hAnsi="仿宋" w:eastAsia="仿宋"/>
                <w:b/>
                <w:bCs/>
                <w:szCs w:val="21"/>
                <w:lang w:eastAsia="zh-CN"/>
              </w:rPr>
              <w:t>“超额管理费”</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w:t>
            </w:r>
            <w:r>
              <w:rPr>
                <w:rFonts w:hint="eastAsia" w:ascii="仿宋" w:hAnsi="仿宋" w:eastAsia="仿宋" w:cs="Cambria"/>
                <w:b/>
                <w:bCs/>
                <w:szCs w:val="21"/>
                <w:lang w:val="en-US" w:eastAsia="zh-CN"/>
              </w:rPr>
              <w:t>理财</w:t>
            </w:r>
            <w:r>
              <w:rPr>
                <w:rFonts w:hint="eastAsia" w:ascii="仿宋" w:hAnsi="仿宋" w:eastAsia="仿宋" w:cs="Cambria"/>
                <w:b/>
                <w:bCs/>
                <w:szCs w:val="21"/>
              </w:rPr>
              <w:t>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w:t>
      </w:r>
      <w:r>
        <w:rPr>
          <w:rFonts w:hint="eastAsia" w:ascii="仿宋" w:hAnsi="仿宋" w:eastAsia="仿宋" w:cs="宋体"/>
          <w:color w:val="000000"/>
          <w:kern w:val="0"/>
          <w:sz w:val="24"/>
        </w:rPr>
        <w:t>同业存单</w:t>
      </w:r>
      <w:r>
        <w:rPr>
          <w:rFonts w:hint="eastAsia" w:ascii="仿宋" w:hAnsi="仿宋" w:eastAsia="仿宋" w:cs="仿宋"/>
        </w:rPr>
        <w:t>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snapToGrid w:val="0"/>
        <w:spacing w:beforeLines="0" w:afterLines="0" w:line="276" w:lineRule="auto"/>
        <w:ind w:firstLine="0" w:firstLineChars="0"/>
        <w:contextualSpacing/>
        <w:jc w:val="both"/>
        <w:rPr>
          <w:rFonts w:hint="eastAsia" w:ascii="Times New Roman" w:eastAsia="黑体" w:cs="Times New Roman"/>
          <w:b/>
          <w:lang w:eastAsia="zh-CN"/>
        </w:rPr>
      </w:pPr>
      <w:r>
        <w:rPr>
          <w:rFonts w:hint="eastAsia" w:ascii="Times New Roman" w:eastAsia="黑体" w:cs="Times New Roman"/>
          <w:b/>
          <w:lang w:val="en-US" w:eastAsia="zh-CN"/>
        </w:rPr>
        <w:t xml:space="preserve">    </w:t>
      </w: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3"/>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投资于银行存款、同业存单等固定收益类资产</w:t>
      </w:r>
      <w:r>
        <w:rPr>
          <w:rFonts w:hint="eastAsia" w:ascii="Times New Roman" w:eastAsia="黑体" w:cs="Times New Roman"/>
          <w:b/>
        </w:rPr>
        <w:t>，因此可能面临如下特定风险：</w:t>
      </w:r>
    </w:p>
    <w:p>
      <w:pPr>
        <w:pStyle w:val="13"/>
        <w:numPr>
          <w:ilvl w:val="0"/>
          <w:numId w:val="0"/>
        </w:numPr>
        <w:snapToGrid w:val="0"/>
        <w:spacing w:beforeLines="0" w:afterLines="0" w:line="276" w:lineRule="auto"/>
        <w:ind w:firstLine="0"/>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 xml:space="preserve">    1.</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13"/>
        <w:numPr>
          <w:ilvl w:val="0"/>
          <w:numId w:val="0"/>
        </w:numPr>
        <w:snapToGrid w:val="0"/>
        <w:spacing w:beforeLines="0" w:afterLines="0" w:line="276" w:lineRule="auto"/>
        <w:ind w:firstLine="482" w:firstLineChars="20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2.</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3"/>
        <w:numPr>
          <w:ilvl w:val="0"/>
          <w:numId w:val="0"/>
        </w:numPr>
        <w:snapToGrid w:val="0"/>
        <w:spacing w:beforeLines="0" w:afterLines="0" w:line="276" w:lineRule="auto"/>
        <w:ind w:firstLine="482" w:firstLineChars="200"/>
        <w:contextualSpacing/>
        <w:jc w:val="both"/>
        <w:rPr>
          <w:rFonts w:hint="eastAsia" w:ascii="Times New Roman" w:hAnsi="Times New Roman" w:eastAsia="黑体" w:cs="Times New Roman"/>
          <w:b/>
          <w:kern w:val="0"/>
          <w:sz w:val="24"/>
          <w:szCs w:val="24"/>
          <w:lang w:val="en-US" w:eastAsia="zh-CN" w:bidi="ar-SA"/>
        </w:rPr>
      </w:pP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kern w:val="0"/>
          <w:sz w:val="24"/>
        </w:rPr>
        <w:t xml:space="preserve">   </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BE5329"/>
    <w:multiLevelType w:val="singleLevel"/>
    <w:tmpl w:val="64BE5329"/>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A44F2"/>
    <w:rsid w:val="000B0F79"/>
    <w:rsid w:val="000C03A9"/>
    <w:rsid w:val="000C3FA0"/>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04CA8"/>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128FF"/>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1637725"/>
    <w:rsid w:val="01CB1C9B"/>
    <w:rsid w:val="020F48EF"/>
    <w:rsid w:val="02417756"/>
    <w:rsid w:val="02E40AD0"/>
    <w:rsid w:val="02F3137F"/>
    <w:rsid w:val="033A4D39"/>
    <w:rsid w:val="034644C7"/>
    <w:rsid w:val="04196F12"/>
    <w:rsid w:val="04435A9E"/>
    <w:rsid w:val="045C1E64"/>
    <w:rsid w:val="048C5E7E"/>
    <w:rsid w:val="04950991"/>
    <w:rsid w:val="054A4FBF"/>
    <w:rsid w:val="054B7EFA"/>
    <w:rsid w:val="05831998"/>
    <w:rsid w:val="05D8644B"/>
    <w:rsid w:val="060A409E"/>
    <w:rsid w:val="0610015A"/>
    <w:rsid w:val="06331B3C"/>
    <w:rsid w:val="066C6455"/>
    <w:rsid w:val="06866957"/>
    <w:rsid w:val="06930C07"/>
    <w:rsid w:val="072859C3"/>
    <w:rsid w:val="0744281B"/>
    <w:rsid w:val="07853686"/>
    <w:rsid w:val="079A3378"/>
    <w:rsid w:val="07B45D81"/>
    <w:rsid w:val="07C26F1E"/>
    <w:rsid w:val="07C52B3D"/>
    <w:rsid w:val="07D6576F"/>
    <w:rsid w:val="07F1682B"/>
    <w:rsid w:val="08064FC2"/>
    <w:rsid w:val="080D6F41"/>
    <w:rsid w:val="086D199A"/>
    <w:rsid w:val="089F7108"/>
    <w:rsid w:val="08A87A0E"/>
    <w:rsid w:val="08D300AE"/>
    <w:rsid w:val="09277EEB"/>
    <w:rsid w:val="09544BC9"/>
    <w:rsid w:val="096506FA"/>
    <w:rsid w:val="09B80512"/>
    <w:rsid w:val="0A01440A"/>
    <w:rsid w:val="0A15049C"/>
    <w:rsid w:val="0A272E8B"/>
    <w:rsid w:val="0A42093E"/>
    <w:rsid w:val="0A513B0D"/>
    <w:rsid w:val="0A5478A3"/>
    <w:rsid w:val="0AC448E9"/>
    <w:rsid w:val="0B960020"/>
    <w:rsid w:val="0CB94FFA"/>
    <w:rsid w:val="0CD152DE"/>
    <w:rsid w:val="0D037CFA"/>
    <w:rsid w:val="0D0A4803"/>
    <w:rsid w:val="0D3600BA"/>
    <w:rsid w:val="0D543E5F"/>
    <w:rsid w:val="0D865BC8"/>
    <w:rsid w:val="0DD32259"/>
    <w:rsid w:val="0E143946"/>
    <w:rsid w:val="0E73282A"/>
    <w:rsid w:val="0E90785F"/>
    <w:rsid w:val="0EC252C3"/>
    <w:rsid w:val="0EF43DB9"/>
    <w:rsid w:val="0F7D59F6"/>
    <w:rsid w:val="0F850895"/>
    <w:rsid w:val="102F133E"/>
    <w:rsid w:val="10886C53"/>
    <w:rsid w:val="1091535F"/>
    <w:rsid w:val="10987645"/>
    <w:rsid w:val="10AC5A06"/>
    <w:rsid w:val="10B272CB"/>
    <w:rsid w:val="10ED247D"/>
    <w:rsid w:val="110764BF"/>
    <w:rsid w:val="113A6DA1"/>
    <w:rsid w:val="114758B1"/>
    <w:rsid w:val="115C628C"/>
    <w:rsid w:val="117B5CF3"/>
    <w:rsid w:val="11921C3C"/>
    <w:rsid w:val="119A5652"/>
    <w:rsid w:val="11BA7B51"/>
    <w:rsid w:val="11DC66A3"/>
    <w:rsid w:val="120F1E2C"/>
    <w:rsid w:val="12540566"/>
    <w:rsid w:val="12887EC7"/>
    <w:rsid w:val="12946645"/>
    <w:rsid w:val="12A0201F"/>
    <w:rsid w:val="12D3200B"/>
    <w:rsid w:val="13495D69"/>
    <w:rsid w:val="13837E46"/>
    <w:rsid w:val="13986218"/>
    <w:rsid w:val="13B7767A"/>
    <w:rsid w:val="13B9670D"/>
    <w:rsid w:val="13DE4767"/>
    <w:rsid w:val="14484DCB"/>
    <w:rsid w:val="14852776"/>
    <w:rsid w:val="15140BCE"/>
    <w:rsid w:val="15337B56"/>
    <w:rsid w:val="153C01B0"/>
    <w:rsid w:val="154B58FE"/>
    <w:rsid w:val="1584793E"/>
    <w:rsid w:val="15874EAA"/>
    <w:rsid w:val="15A42A8B"/>
    <w:rsid w:val="15C47445"/>
    <w:rsid w:val="15DF45C9"/>
    <w:rsid w:val="15E41B70"/>
    <w:rsid w:val="162E0DFB"/>
    <w:rsid w:val="16440A35"/>
    <w:rsid w:val="16577530"/>
    <w:rsid w:val="167255CF"/>
    <w:rsid w:val="16840173"/>
    <w:rsid w:val="16AF67C8"/>
    <w:rsid w:val="16FB6F37"/>
    <w:rsid w:val="1778450C"/>
    <w:rsid w:val="17825A05"/>
    <w:rsid w:val="17D31FDC"/>
    <w:rsid w:val="17D76C2B"/>
    <w:rsid w:val="17E3163D"/>
    <w:rsid w:val="17F8769D"/>
    <w:rsid w:val="18041AB4"/>
    <w:rsid w:val="1812072F"/>
    <w:rsid w:val="182B3A93"/>
    <w:rsid w:val="18702526"/>
    <w:rsid w:val="189F7450"/>
    <w:rsid w:val="190F268E"/>
    <w:rsid w:val="19287585"/>
    <w:rsid w:val="194427B5"/>
    <w:rsid w:val="19610BFF"/>
    <w:rsid w:val="19953307"/>
    <w:rsid w:val="19A07D04"/>
    <w:rsid w:val="19C00554"/>
    <w:rsid w:val="19EC565F"/>
    <w:rsid w:val="1A2C6A6A"/>
    <w:rsid w:val="1AB13D5A"/>
    <w:rsid w:val="1B2C6F2C"/>
    <w:rsid w:val="1B5D5F33"/>
    <w:rsid w:val="1B683E09"/>
    <w:rsid w:val="1BA24967"/>
    <w:rsid w:val="1BAF6A57"/>
    <w:rsid w:val="1BCE5D96"/>
    <w:rsid w:val="1BD94940"/>
    <w:rsid w:val="1BDE2098"/>
    <w:rsid w:val="1BE069CA"/>
    <w:rsid w:val="1C190CF6"/>
    <w:rsid w:val="1C465E86"/>
    <w:rsid w:val="1C726314"/>
    <w:rsid w:val="1C8B0511"/>
    <w:rsid w:val="1CD37257"/>
    <w:rsid w:val="1CE252F3"/>
    <w:rsid w:val="1D014BAB"/>
    <w:rsid w:val="1D104FDC"/>
    <w:rsid w:val="1D117096"/>
    <w:rsid w:val="1DE516B8"/>
    <w:rsid w:val="1E047274"/>
    <w:rsid w:val="1E311586"/>
    <w:rsid w:val="1E433C85"/>
    <w:rsid w:val="1ED877DF"/>
    <w:rsid w:val="1F0B3DFE"/>
    <w:rsid w:val="1F1E345F"/>
    <w:rsid w:val="1F274643"/>
    <w:rsid w:val="1F5522A7"/>
    <w:rsid w:val="1F57117B"/>
    <w:rsid w:val="1F7929AE"/>
    <w:rsid w:val="1FD45CE1"/>
    <w:rsid w:val="1FF41399"/>
    <w:rsid w:val="201E5567"/>
    <w:rsid w:val="21433609"/>
    <w:rsid w:val="214D162F"/>
    <w:rsid w:val="21980691"/>
    <w:rsid w:val="22042471"/>
    <w:rsid w:val="22171129"/>
    <w:rsid w:val="222D0D62"/>
    <w:rsid w:val="22551E62"/>
    <w:rsid w:val="227D729C"/>
    <w:rsid w:val="2350568B"/>
    <w:rsid w:val="237F35E5"/>
    <w:rsid w:val="23A50D24"/>
    <w:rsid w:val="23E44373"/>
    <w:rsid w:val="241110D5"/>
    <w:rsid w:val="242806AA"/>
    <w:rsid w:val="24392A65"/>
    <w:rsid w:val="2467066D"/>
    <w:rsid w:val="247D5916"/>
    <w:rsid w:val="24E1340C"/>
    <w:rsid w:val="24E91956"/>
    <w:rsid w:val="250B4E48"/>
    <w:rsid w:val="252E26F1"/>
    <w:rsid w:val="2552129D"/>
    <w:rsid w:val="25AA765A"/>
    <w:rsid w:val="25C3267A"/>
    <w:rsid w:val="25D568B4"/>
    <w:rsid w:val="25F33B9E"/>
    <w:rsid w:val="260C731E"/>
    <w:rsid w:val="26103F21"/>
    <w:rsid w:val="26B533E7"/>
    <w:rsid w:val="26FD51EF"/>
    <w:rsid w:val="274A1863"/>
    <w:rsid w:val="27BD7BC5"/>
    <w:rsid w:val="27BF7481"/>
    <w:rsid w:val="27C604DA"/>
    <w:rsid w:val="27EA63D1"/>
    <w:rsid w:val="287A5D0E"/>
    <w:rsid w:val="28B05EE9"/>
    <w:rsid w:val="28D30187"/>
    <w:rsid w:val="28E571A8"/>
    <w:rsid w:val="294C4E21"/>
    <w:rsid w:val="296D4B02"/>
    <w:rsid w:val="29C40F6C"/>
    <w:rsid w:val="2A103412"/>
    <w:rsid w:val="2A1E1418"/>
    <w:rsid w:val="2A770C99"/>
    <w:rsid w:val="2A9A5574"/>
    <w:rsid w:val="2B2942A8"/>
    <w:rsid w:val="2B3012EB"/>
    <w:rsid w:val="2B704201"/>
    <w:rsid w:val="2B7F1CCB"/>
    <w:rsid w:val="2BBB2833"/>
    <w:rsid w:val="2BC42334"/>
    <w:rsid w:val="2C1011CD"/>
    <w:rsid w:val="2C40390A"/>
    <w:rsid w:val="2C4C703B"/>
    <w:rsid w:val="2C994559"/>
    <w:rsid w:val="2D241337"/>
    <w:rsid w:val="2D68440E"/>
    <w:rsid w:val="2D6F1B20"/>
    <w:rsid w:val="2D753D30"/>
    <w:rsid w:val="2D8B7D42"/>
    <w:rsid w:val="2DA17B53"/>
    <w:rsid w:val="2DC02129"/>
    <w:rsid w:val="2DED2235"/>
    <w:rsid w:val="2E010168"/>
    <w:rsid w:val="2E6A7D66"/>
    <w:rsid w:val="2E7B51C5"/>
    <w:rsid w:val="2E8E2535"/>
    <w:rsid w:val="2EA605F1"/>
    <w:rsid w:val="2EA972CC"/>
    <w:rsid w:val="2EC31B75"/>
    <w:rsid w:val="2EC33B86"/>
    <w:rsid w:val="2EF83F09"/>
    <w:rsid w:val="2F216F19"/>
    <w:rsid w:val="2FB93DA2"/>
    <w:rsid w:val="2FE72027"/>
    <w:rsid w:val="306A1371"/>
    <w:rsid w:val="30A91F61"/>
    <w:rsid w:val="30B4726E"/>
    <w:rsid w:val="30B67831"/>
    <w:rsid w:val="30D02212"/>
    <w:rsid w:val="310E4E58"/>
    <w:rsid w:val="311E3372"/>
    <w:rsid w:val="3127549C"/>
    <w:rsid w:val="31533557"/>
    <w:rsid w:val="31AE49D4"/>
    <w:rsid w:val="31B41A9A"/>
    <w:rsid w:val="31C74937"/>
    <w:rsid w:val="31F02E84"/>
    <w:rsid w:val="32062205"/>
    <w:rsid w:val="322068C9"/>
    <w:rsid w:val="323C0EFE"/>
    <w:rsid w:val="326170B4"/>
    <w:rsid w:val="328F3B54"/>
    <w:rsid w:val="329A11A0"/>
    <w:rsid w:val="32FF7EB7"/>
    <w:rsid w:val="33424079"/>
    <w:rsid w:val="336359DD"/>
    <w:rsid w:val="339A1C68"/>
    <w:rsid w:val="339A5C1F"/>
    <w:rsid w:val="33D162D7"/>
    <w:rsid w:val="33D812CA"/>
    <w:rsid w:val="34126396"/>
    <w:rsid w:val="343E2E3B"/>
    <w:rsid w:val="345E593B"/>
    <w:rsid w:val="34605A84"/>
    <w:rsid w:val="346A7C1E"/>
    <w:rsid w:val="346C230B"/>
    <w:rsid w:val="35034F52"/>
    <w:rsid w:val="352C602C"/>
    <w:rsid w:val="352E0982"/>
    <w:rsid w:val="35B16527"/>
    <w:rsid w:val="363C1BD7"/>
    <w:rsid w:val="364E3624"/>
    <w:rsid w:val="36774E48"/>
    <w:rsid w:val="36B76A85"/>
    <w:rsid w:val="36B82ADE"/>
    <w:rsid w:val="36E323C8"/>
    <w:rsid w:val="37174190"/>
    <w:rsid w:val="376879F0"/>
    <w:rsid w:val="378F057D"/>
    <w:rsid w:val="37EC4B4C"/>
    <w:rsid w:val="383529C2"/>
    <w:rsid w:val="387B665C"/>
    <w:rsid w:val="39010E11"/>
    <w:rsid w:val="39676CBC"/>
    <w:rsid w:val="39690814"/>
    <w:rsid w:val="39B76C90"/>
    <w:rsid w:val="39C37A55"/>
    <w:rsid w:val="39C53B44"/>
    <w:rsid w:val="39C84D10"/>
    <w:rsid w:val="39EF39C3"/>
    <w:rsid w:val="3A021304"/>
    <w:rsid w:val="3A23092B"/>
    <w:rsid w:val="3A35598B"/>
    <w:rsid w:val="3A595F4B"/>
    <w:rsid w:val="3A9D0C11"/>
    <w:rsid w:val="3AB87BB6"/>
    <w:rsid w:val="3B4C73CF"/>
    <w:rsid w:val="3BC05BE8"/>
    <w:rsid w:val="3BC55932"/>
    <w:rsid w:val="3C534D08"/>
    <w:rsid w:val="3C7826C2"/>
    <w:rsid w:val="3C8F2051"/>
    <w:rsid w:val="3CD87A38"/>
    <w:rsid w:val="3D4436A1"/>
    <w:rsid w:val="3D83215E"/>
    <w:rsid w:val="3DB8796B"/>
    <w:rsid w:val="3DF76443"/>
    <w:rsid w:val="3DFF3A1A"/>
    <w:rsid w:val="3E166344"/>
    <w:rsid w:val="3E6C1784"/>
    <w:rsid w:val="3E8C212D"/>
    <w:rsid w:val="3EA946F7"/>
    <w:rsid w:val="3EAB715E"/>
    <w:rsid w:val="3ED4630A"/>
    <w:rsid w:val="3ED615CF"/>
    <w:rsid w:val="3EEC674A"/>
    <w:rsid w:val="3F8907F6"/>
    <w:rsid w:val="3F8B7D7F"/>
    <w:rsid w:val="3FDA33E1"/>
    <w:rsid w:val="3FF20B0E"/>
    <w:rsid w:val="40670EF7"/>
    <w:rsid w:val="40682937"/>
    <w:rsid w:val="406A6BD4"/>
    <w:rsid w:val="40974D22"/>
    <w:rsid w:val="40AB1A12"/>
    <w:rsid w:val="40D52066"/>
    <w:rsid w:val="41012626"/>
    <w:rsid w:val="415249F8"/>
    <w:rsid w:val="417575F2"/>
    <w:rsid w:val="41B92834"/>
    <w:rsid w:val="41BD7655"/>
    <w:rsid w:val="41CC7DB7"/>
    <w:rsid w:val="41DC334B"/>
    <w:rsid w:val="42631848"/>
    <w:rsid w:val="42CD30A6"/>
    <w:rsid w:val="42EE6E5E"/>
    <w:rsid w:val="42F60353"/>
    <w:rsid w:val="4365451E"/>
    <w:rsid w:val="437A1AF3"/>
    <w:rsid w:val="438556A7"/>
    <w:rsid w:val="43A6228A"/>
    <w:rsid w:val="43CD4677"/>
    <w:rsid w:val="43D63BB7"/>
    <w:rsid w:val="445A3B32"/>
    <w:rsid w:val="44814819"/>
    <w:rsid w:val="449B7167"/>
    <w:rsid w:val="44CC2C77"/>
    <w:rsid w:val="44E237E5"/>
    <w:rsid w:val="4524487F"/>
    <w:rsid w:val="45504986"/>
    <w:rsid w:val="455767F9"/>
    <w:rsid w:val="45CC078F"/>
    <w:rsid w:val="45FA1697"/>
    <w:rsid w:val="462907D8"/>
    <w:rsid w:val="466B6F06"/>
    <w:rsid w:val="46860155"/>
    <w:rsid w:val="469F0F07"/>
    <w:rsid w:val="46BC2DEA"/>
    <w:rsid w:val="46C05878"/>
    <w:rsid w:val="46E93EA5"/>
    <w:rsid w:val="471B3B8B"/>
    <w:rsid w:val="476049FD"/>
    <w:rsid w:val="47802A85"/>
    <w:rsid w:val="47E65D23"/>
    <w:rsid w:val="47F54E11"/>
    <w:rsid w:val="47F6480D"/>
    <w:rsid w:val="4801691C"/>
    <w:rsid w:val="482B788B"/>
    <w:rsid w:val="48714C8C"/>
    <w:rsid w:val="487C60FD"/>
    <w:rsid w:val="489E098C"/>
    <w:rsid w:val="48B61CC6"/>
    <w:rsid w:val="48E87129"/>
    <w:rsid w:val="492A5B50"/>
    <w:rsid w:val="49321AAF"/>
    <w:rsid w:val="493A681C"/>
    <w:rsid w:val="493C2E02"/>
    <w:rsid w:val="494D579F"/>
    <w:rsid w:val="498C0831"/>
    <w:rsid w:val="498C1FB1"/>
    <w:rsid w:val="49D81925"/>
    <w:rsid w:val="4A255416"/>
    <w:rsid w:val="4A295537"/>
    <w:rsid w:val="4A937164"/>
    <w:rsid w:val="4A9750EA"/>
    <w:rsid w:val="4AA40703"/>
    <w:rsid w:val="4B135EF0"/>
    <w:rsid w:val="4B1D70C8"/>
    <w:rsid w:val="4B690413"/>
    <w:rsid w:val="4BB86F47"/>
    <w:rsid w:val="4BF60566"/>
    <w:rsid w:val="4C1C3F8C"/>
    <w:rsid w:val="4C263A21"/>
    <w:rsid w:val="4C2F5D86"/>
    <w:rsid w:val="4C973694"/>
    <w:rsid w:val="4CCE54E6"/>
    <w:rsid w:val="4D5D4C67"/>
    <w:rsid w:val="4DFD248C"/>
    <w:rsid w:val="4E370E53"/>
    <w:rsid w:val="4EC3046A"/>
    <w:rsid w:val="4ECD4D2C"/>
    <w:rsid w:val="4EDD4EDE"/>
    <w:rsid w:val="4EE45C33"/>
    <w:rsid w:val="4EED4C04"/>
    <w:rsid w:val="4F323CFA"/>
    <w:rsid w:val="4F726F49"/>
    <w:rsid w:val="4FA51265"/>
    <w:rsid w:val="4FB2334F"/>
    <w:rsid w:val="4FBE27AA"/>
    <w:rsid w:val="4FDD6C50"/>
    <w:rsid w:val="500C5A60"/>
    <w:rsid w:val="50461117"/>
    <w:rsid w:val="504B6E9D"/>
    <w:rsid w:val="50874734"/>
    <w:rsid w:val="509A5F14"/>
    <w:rsid w:val="514B566F"/>
    <w:rsid w:val="515442E6"/>
    <w:rsid w:val="51954E8A"/>
    <w:rsid w:val="519B5496"/>
    <w:rsid w:val="51DF63BD"/>
    <w:rsid w:val="52667895"/>
    <w:rsid w:val="52771979"/>
    <w:rsid w:val="52B20439"/>
    <w:rsid w:val="53140A76"/>
    <w:rsid w:val="5337488A"/>
    <w:rsid w:val="53735224"/>
    <w:rsid w:val="537D24F6"/>
    <w:rsid w:val="53AD73D7"/>
    <w:rsid w:val="53CD182A"/>
    <w:rsid w:val="543A32A9"/>
    <w:rsid w:val="543C05E0"/>
    <w:rsid w:val="545952F2"/>
    <w:rsid w:val="54B9651A"/>
    <w:rsid w:val="54F9389F"/>
    <w:rsid w:val="54FE4775"/>
    <w:rsid w:val="55222910"/>
    <w:rsid w:val="55514205"/>
    <w:rsid w:val="55643FAD"/>
    <w:rsid w:val="55843C30"/>
    <w:rsid w:val="559032FC"/>
    <w:rsid w:val="55EF2193"/>
    <w:rsid w:val="560165A7"/>
    <w:rsid w:val="560B3FD6"/>
    <w:rsid w:val="56195379"/>
    <w:rsid w:val="563121A3"/>
    <w:rsid w:val="563A5292"/>
    <w:rsid w:val="5646747A"/>
    <w:rsid w:val="567B0F8C"/>
    <w:rsid w:val="567E662B"/>
    <w:rsid w:val="56B83FB1"/>
    <w:rsid w:val="56CD2B10"/>
    <w:rsid w:val="56D476A1"/>
    <w:rsid w:val="56DA09C7"/>
    <w:rsid w:val="570A4C1D"/>
    <w:rsid w:val="574328BF"/>
    <w:rsid w:val="575F4375"/>
    <w:rsid w:val="5762766F"/>
    <w:rsid w:val="57AC1E66"/>
    <w:rsid w:val="57D41D62"/>
    <w:rsid w:val="584667E1"/>
    <w:rsid w:val="5884596F"/>
    <w:rsid w:val="589C1605"/>
    <w:rsid w:val="58AB7858"/>
    <w:rsid w:val="58E1781D"/>
    <w:rsid w:val="58F856CE"/>
    <w:rsid w:val="59471C07"/>
    <w:rsid w:val="59645BB0"/>
    <w:rsid w:val="59736D9D"/>
    <w:rsid w:val="598336AE"/>
    <w:rsid w:val="599B3F0F"/>
    <w:rsid w:val="59A2047A"/>
    <w:rsid w:val="5A3537A2"/>
    <w:rsid w:val="5A3E4ACF"/>
    <w:rsid w:val="5A41650D"/>
    <w:rsid w:val="5A7852B1"/>
    <w:rsid w:val="5AA97C90"/>
    <w:rsid w:val="5AD858CE"/>
    <w:rsid w:val="5AE4319D"/>
    <w:rsid w:val="5C7E5C8C"/>
    <w:rsid w:val="5C8A37E8"/>
    <w:rsid w:val="5CE90207"/>
    <w:rsid w:val="5D875E55"/>
    <w:rsid w:val="5E3B759B"/>
    <w:rsid w:val="5E501568"/>
    <w:rsid w:val="5E50611E"/>
    <w:rsid w:val="5E544DB8"/>
    <w:rsid w:val="5EB138AE"/>
    <w:rsid w:val="5EB53035"/>
    <w:rsid w:val="5ED23CC7"/>
    <w:rsid w:val="5EE6353D"/>
    <w:rsid w:val="5F0310B7"/>
    <w:rsid w:val="5F0C287E"/>
    <w:rsid w:val="5F1655AE"/>
    <w:rsid w:val="5F377800"/>
    <w:rsid w:val="5F5952B0"/>
    <w:rsid w:val="5FDC2402"/>
    <w:rsid w:val="602E28A2"/>
    <w:rsid w:val="60C0423D"/>
    <w:rsid w:val="60C30298"/>
    <w:rsid w:val="60D76AF0"/>
    <w:rsid w:val="60DB2B02"/>
    <w:rsid w:val="60E7450D"/>
    <w:rsid w:val="60E80F88"/>
    <w:rsid w:val="60F2614D"/>
    <w:rsid w:val="61051BBD"/>
    <w:rsid w:val="6166406C"/>
    <w:rsid w:val="618F3AF2"/>
    <w:rsid w:val="61DA68DC"/>
    <w:rsid w:val="622708C6"/>
    <w:rsid w:val="62454B61"/>
    <w:rsid w:val="62460A47"/>
    <w:rsid w:val="62957D4A"/>
    <w:rsid w:val="63554C8E"/>
    <w:rsid w:val="63890B77"/>
    <w:rsid w:val="63970830"/>
    <w:rsid w:val="639D1EC4"/>
    <w:rsid w:val="63A13700"/>
    <w:rsid w:val="63DA03E2"/>
    <w:rsid w:val="63DF1E75"/>
    <w:rsid w:val="64541B77"/>
    <w:rsid w:val="64667487"/>
    <w:rsid w:val="649D39A3"/>
    <w:rsid w:val="64E9282A"/>
    <w:rsid w:val="65194891"/>
    <w:rsid w:val="65473967"/>
    <w:rsid w:val="65C63D9B"/>
    <w:rsid w:val="65F37A29"/>
    <w:rsid w:val="66103AAA"/>
    <w:rsid w:val="662C3C11"/>
    <w:rsid w:val="667640C4"/>
    <w:rsid w:val="66DC24A5"/>
    <w:rsid w:val="66DF3B52"/>
    <w:rsid w:val="672963E0"/>
    <w:rsid w:val="672F20B7"/>
    <w:rsid w:val="674B207E"/>
    <w:rsid w:val="675A4556"/>
    <w:rsid w:val="675C47D1"/>
    <w:rsid w:val="675E5725"/>
    <w:rsid w:val="679271B5"/>
    <w:rsid w:val="67AE1BA6"/>
    <w:rsid w:val="68191A65"/>
    <w:rsid w:val="681C6D27"/>
    <w:rsid w:val="68C76D6E"/>
    <w:rsid w:val="68F60924"/>
    <w:rsid w:val="69187C37"/>
    <w:rsid w:val="6943423A"/>
    <w:rsid w:val="69572330"/>
    <w:rsid w:val="698C4C9E"/>
    <w:rsid w:val="69E719A0"/>
    <w:rsid w:val="69F065E8"/>
    <w:rsid w:val="6A557981"/>
    <w:rsid w:val="6A5B0FA5"/>
    <w:rsid w:val="6A983C35"/>
    <w:rsid w:val="6AAC3F8C"/>
    <w:rsid w:val="6ADF3CE8"/>
    <w:rsid w:val="6AFD414A"/>
    <w:rsid w:val="6B4C2F45"/>
    <w:rsid w:val="6B6E4269"/>
    <w:rsid w:val="6B961612"/>
    <w:rsid w:val="6B966680"/>
    <w:rsid w:val="6B9C61DE"/>
    <w:rsid w:val="6BEA36B3"/>
    <w:rsid w:val="6C161AD0"/>
    <w:rsid w:val="6D157AE9"/>
    <w:rsid w:val="6D275220"/>
    <w:rsid w:val="6D2E7D50"/>
    <w:rsid w:val="6DA3192A"/>
    <w:rsid w:val="6DAB24D2"/>
    <w:rsid w:val="6DB62E02"/>
    <w:rsid w:val="6DD90E21"/>
    <w:rsid w:val="6DDC725E"/>
    <w:rsid w:val="6DE0162F"/>
    <w:rsid w:val="6DFA3383"/>
    <w:rsid w:val="6E1A49C5"/>
    <w:rsid w:val="6E254EA7"/>
    <w:rsid w:val="6E3C5181"/>
    <w:rsid w:val="6E4B2AEB"/>
    <w:rsid w:val="6E754280"/>
    <w:rsid w:val="6EBB30B7"/>
    <w:rsid w:val="6F0D185D"/>
    <w:rsid w:val="6F262B98"/>
    <w:rsid w:val="6F2875FC"/>
    <w:rsid w:val="6F786BDA"/>
    <w:rsid w:val="6FA9351C"/>
    <w:rsid w:val="6FB31176"/>
    <w:rsid w:val="6FDF4741"/>
    <w:rsid w:val="6FF00FC0"/>
    <w:rsid w:val="702C77B8"/>
    <w:rsid w:val="70786034"/>
    <w:rsid w:val="70851CBD"/>
    <w:rsid w:val="709573C6"/>
    <w:rsid w:val="709C6E2A"/>
    <w:rsid w:val="709E2354"/>
    <w:rsid w:val="70E70772"/>
    <w:rsid w:val="71031842"/>
    <w:rsid w:val="713956B2"/>
    <w:rsid w:val="71900429"/>
    <w:rsid w:val="719027A5"/>
    <w:rsid w:val="71930C34"/>
    <w:rsid w:val="71C9496E"/>
    <w:rsid w:val="71EE76F7"/>
    <w:rsid w:val="720E1DB5"/>
    <w:rsid w:val="72366C76"/>
    <w:rsid w:val="725F0CAE"/>
    <w:rsid w:val="72981180"/>
    <w:rsid w:val="729C09F9"/>
    <w:rsid w:val="72B3756B"/>
    <w:rsid w:val="72F15C92"/>
    <w:rsid w:val="73001A15"/>
    <w:rsid w:val="73155C46"/>
    <w:rsid w:val="7366194C"/>
    <w:rsid w:val="736E248F"/>
    <w:rsid w:val="738F3AFD"/>
    <w:rsid w:val="73B91244"/>
    <w:rsid w:val="74062834"/>
    <w:rsid w:val="740D552E"/>
    <w:rsid w:val="74136087"/>
    <w:rsid w:val="7443680B"/>
    <w:rsid w:val="74472505"/>
    <w:rsid w:val="747E71DD"/>
    <w:rsid w:val="74A805D6"/>
    <w:rsid w:val="74A870B6"/>
    <w:rsid w:val="74E70150"/>
    <w:rsid w:val="74EC6D1E"/>
    <w:rsid w:val="74FA0674"/>
    <w:rsid w:val="74FA331C"/>
    <w:rsid w:val="754F1383"/>
    <w:rsid w:val="75DC198B"/>
    <w:rsid w:val="762A07F6"/>
    <w:rsid w:val="764A2B58"/>
    <w:rsid w:val="76661B90"/>
    <w:rsid w:val="77644889"/>
    <w:rsid w:val="77731DCC"/>
    <w:rsid w:val="77955676"/>
    <w:rsid w:val="77B301A9"/>
    <w:rsid w:val="77BE7190"/>
    <w:rsid w:val="77D83AB0"/>
    <w:rsid w:val="77DD4D17"/>
    <w:rsid w:val="77F43C8B"/>
    <w:rsid w:val="77FA47E4"/>
    <w:rsid w:val="780D59F8"/>
    <w:rsid w:val="782477FE"/>
    <w:rsid w:val="78F759E0"/>
    <w:rsid w:val="78FB1E09"/>
    <w:rsid w:val="795F38DB"/>
    <w:rsid w:val="79802062"/>
    <w:rsid w:val="79BB4445"/>
    <w:rsid w:val="79CB33E9"/>
    <w:rsid w:val="79CC1086"/>
    <w:rsid w:val="79E35336"/>
    <w:rsid w:val="79EF28EF"/>
    <w:rsid w:val="79FF0472"/>
    <w:rsid w:val="7A0E66B3"/>
    <w:rsid w:val="7A300713"/>
    <w:rsid w:val="7A3B7268"/>
    <w:rsid w:val="7AB968E7"/>
    <w:rsid w:val="7AC65BFC"/>
    <w:rsid w:val="7B0735D8"/>
    <w:rsid w:val="7B0F7EA2"/>
    <w:rsid w:val="7B2F3DDD"/>
    <w:rsid w:val="7B4B41CD"/>
    <w:rsid w:val="7B5A24C6"/>
    <w:rsid w:val="7B6F7E14"/>
    <w:rsid w:val="7BFE5099"/>
    <w:rsid w:val="7C1977A8"/>
    <w:rsid w:val="7C2D23EC"/>
    <w:rsid w:val="7CDB4C9F"/>
    <w:rsid w:val="7D016D57"/>
    <w:rsid w:val="7D2B624D"/>
    <w:rsid w:val="7D6F00D9"/>
    <w:rsid w:val="7DBC01D8"/>
    <w:rsid w:val="7DF80533"/>
    <w:rsid w:val="7E6622D6"/>
    <w:rsid w:val="7EA630E7"/>
    <w:rsid w:val="7EB61058"/>
    <w:rsid w:val="7ED004CF"/>
    <w:rsid w:val="7F691199"/>
    <w:rsid w:val="7F8C4BD0"/>
    <w:rsid w:val="7F9C17F8"/>
    <w:rsid w:val="7FA90BF5"/>
    <w:rsid w:val="7FBE3061"/>
    <w:rsid w:val="7FC66FC8"/>
    <w:rsid w:val="7FEC57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5"/>
    <w:qFormat/>
    <w:uiPriority w:val="0"/>
    <w:rPr>
      <w:b/>
      <w:bCs/>
    </w:rPr>
  </w:style>
  <w:style w:type="character" w:styleId="10">
    <w:name w:val="FollowedHyperlink"/>
    <w:basedOn w:val="9"/>
    <w:qFormat/>
    <w:uiPriority w:val="0"/>
    <w:rPr>
      <w:color w:val="000000"/>
      <w:u w:val="none"/>
    </w:rPr>
  </w:style>
  <w:style w:type="character" w:styleId="11">
    <w:name w:val="Hyperlink"/>
    <w:basedOn w:val="9"/>
    <w:qFormat/>
    <w:uiPriority w:val="0"/>
    <w:rPr>
      <w:color w:val="000000"/>
      <w:u w:val="none"/>
    </w:rPr>
  </w:style>
  <w:style w:type="character" w:styleId="12">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_Style 13"/>
    <w:basedOn w:val="1"/>
    <w:next w:val="1"/>
    <w:qFormat/>
    <w:uiPriority w:val="0"/>
    <w:pPr>
      <w:pBdr>
        <w:top w:val="single" w:color="auto" w:sz="6" w:space="1"/>
      </w:pBdr>
      <w:jc w:val="center"/>
    </w:pPr>
    <w:rPr>
      <w:rFonts w:ascii="Arial" w:eastAsia="宋体"/>
      <w:vanish/>
      <w:sz w:val="16"/>
    </w:rPr>
  </w:style>
  <w:style w:type="character" w:customStyle="1" w:styleId="15">
    <w:name w:val="批注主题 Char"/>
    <w:link w:val="7"/>
    <w:qFormat/>
    <w:uiPriority w:val="0"/>
    <w:rPr>
      <w:b/>
      <w:bCs/>
      <w:kern w:val="2"/>
      <w:sz w:val="21"/>
      <w:szCs w:val="24"/>
    </w:rPr>
  </w:style>
  <w:style w:type="character" w:customStyle="1" w:styleId="16">
    <w:name w:val="批注文字 Char"/>
    <w:link w:val="2"/>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15682</Words>
  <Characters>16214</Characters>
  <Lines>114</Lines>
  <Paragraphs>32</Paragraphs>
  <TotalTime>82</TotalTime>
  <ScaleCrop>false</ScaleCrop>
  <LinksUpToDate>false</LinksUpToDate>
  <CharactersWithSpaces>16363</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苏晨晓</cp:lastModifiedBy>
  <cp:lastPrinted>2023-03-20T06:17:00Z</cp:lastPrinted>
  <dcterms:modified xsi:type="dcterms:W3CDTF">2025-05-09T01:25:34Z</dcterms:modified>
  <dc:title>华夏理财固定收益纯债型封闭式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27AED5CF1D6449E28D69F1E947034A6F</vt:lpwstr>
  </property>
</Properties>
</file>