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9" w:name="_GoBack"/>
      <w:bookmarkEnd w:id="9"/>
      <w:r>
        <w:rPr>
          <w:rFonts w:hint="eastAsia" w:eastAsia="黑体"/>
          <w:bCs/>
          <w:sz w:val="36"/>
          <w:szCs w:val="36"/>
        </w:rPr>
        <w:t>华夏理财固定收益增强型封闭式理财产品</w:t>
      </w:r>
      <w:r>
        <w:rPr>
          <w:rFonts w:hint="eastAsia" w:eastAsia="黑体"/>
          <w:bCs/>
          <w:sz w:val="36"/>
          <w:szCs w:val="36"/>
          <w:lang w:val="en-US" w:eastAsia="zh-CN"/>
        </w:rPr>
        <w:t>157</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157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简称：“华夏理财固收增强封闭式157号（目标盈）”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25131157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Z7003924000639</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3.50%-5.50%</w:t>
            </w:r>
            <w:r>
              <w:rPr>
                <w:rFonts w:hint="eastAsia" w:ascii="仿宋" w:hAnsi="仿宋" w:eastAsia="仿宋" w:cs="Cambria"/>
                <w:bCs/>
                <w:szCs w:val="21"/>
              </w:rPr>
              <w:t>（年化）。以产品投资于债券类资产仓位60%-100%，非标债权类资产仓位0-45%，权益类资产仓位0-20%，组合杠杆率110%-140%为例，参考符合久期要求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_Hlk290294163"/>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1092</w:t>
            </w:r>
            <w:r>
              <w:rPr>
                <w:rFonts w:hint="eastAsia" w:ascii="仿宋" w:hAnsi="仿宋" w:eastAsia="仿宋"/>
                <w:bCs/>
                <w:szCs w:val="21"/>
              </w:rPr>
              <w:t>天</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1.本产品设立止盈机制。自成立日起13个月为封闭运作期，期间不启动止盈机制，即使达到止盈目标收益率也不会触发止盈。</w:t>
            </w:r>
          </w:p>
          <w:p>
            <w:pPr>
              <w:adjustRightInd w:val="0"/>
              <w:snapToGrid w:val="0"/>
              <w:spacing w:line="300" w:lineRule="exact"/>
              <w:ind w:firstLine="422" w:firstLineChars="200"/>
              <w:rPr>
                <w:rFonts w:hint="eastAsia" w:ascii="仿宋" w:hAnsi="仿宋" w:eastAsia="仿宋"/>
                <w:b/>
                <w:bCs w:val="0"/>
                <w:szCs w:val="21"/>
              </w:rPr>
            </w:pPr>
            <w:r>
              <w:rPr>
                <w:rFonts w:hint="eastAsia" w:ascii="仿宋" w:hAnsi="仿宋" w:eastAsia="仿宋"/>
                <w:b/>
                <w:bCs w:val="0"/>
                <w:szCs w:val="21"/>
                <w:lang w:val="en-US" w:eastAsia="zh-CN"/>
              </w:rPr>
              <w:t>2.</w:t>
            </w:r>
            <w:r>
              <w:rPr>
                <w:rFonts w:hint="eastAsia" w:ascii="仿宋" w:hAnsi="仿宋" w:eastAsia="仿宋"/>
                <w:b/>
                <w:bCs w:val="0"/>
                <w:szCs w:val="21"/>
              </w:rPr>
              <w:t>产品封闭运作</w:t>
            </w:r>
            <w:r>
              <w:rPr>
                <w:rFonts w:hint="eastAsia" w:ascii="仿宋" w:hAnsi="仿宋" w:eastAsia="仿宋"/>
                <w:b/>
                <w:bCs w:val="0"/>
                <w:szCs w:val="21"/>
                <w:lang w:val="en-US" w:eastAsia="zh-CN"/>
              </w:rPr>
              <w:t>13</w:t>
            </w:r>
            <w:r>
              <w:rPr>
                <w:rFonts w:hint="eastAsia" w:ascii="仿宋" w:hAnsi="仿宋" w:eastAsia="仿宋"/>
                <w:b/>
                <w:bCs w:val="0"/>
                <w:szCs w:val="21"/>
              </w:rPr>
              <w:t>个月后，</w:t>
            </w:r>
            <w:r>
              <w:rPr>
                <w:rFonts w:hint="eastAsia" w:ascii="仿宋" w:hAnsi="仿宋" w:eastAsia="仿宋"/>
                <w:b/>
                <w:bCs w:val="0"/>
                <w:szCs w:val="21"/>
                <w:lang w:val="en-US" w:eastAsia="zh-CN"/>
              </w:rPr>
              <w:t>进入止盈观察期，本产品止盈观察期为</w:t>
            </w:r>
            <w:r>
              <w:rPr>
                <w:rFonts w:hint="eastAsia" w:ascii="仿宋" w:hAnsi="仿宋" w:eastAsia="仿宋"/>
                <w:b/>
                <w:bCs w:val="0"/>
                <w:szCs w:val="21"/>
                <w:highlight w:val="none"/>
                <w:lang w:val="en-US" w:eastAsia="zh-CN"/>
              </w:rPr>
              <w:t>2026年6月26日（含）（如为非工作日则顺延至下一个工作日）至理财产品终止日</w:t>
            </w:r>
            <w:r>
              <w:rPr>
                <w:rFonts w:hint="eastAsia" w:ascii="仿宋" w:hAnsi="仿宋" w:eastAsia="仿宋"/>
                <w:b/>
                <w:bCs w:val="0"/>
                <w:szCs w:val="21"/>
                <w:lang w:val="en-US" w:eastAsia="zh-CN"/>
              </w:rPr>
              <w:t>。在止盈观察期内，</w:t>
            </w:r>
            <w:r>
              <w:rPr>
                <w:rFonts w:hint="eastAsia" w:ascii="仿宋" w:hAnsi="仿宋" w:eastAsia="仿宋"/>
                <w:b/>
                <w:bCs w:val="0"/>
                <w:szCs w:val="21"/>
              </w:rPr>
              <w:t>如连续两个估值日计算的</w:t>
            </w:r>
            <w:r>
              <w:rPr>
                <w:rFonts w:hint="eastAsia" w:ascii="仿宋" w:hAnsi="仿宋" w:eastAsia="仿宋"/>
                <w:b/>
                <w:bCs w:val="0"/>
                <w:szCs w:val="21"/>
                <w:lang w:val="en-US" w:eastAsia="zh-CN"/>
              </w:rPr>
              <w:t>成立以来</w:t>
            </w:r>
            <w:r>
              <w:rPr>
                <w:rFonts w:hint="eastAsia" w:ascii="仿宋" w:hAnsi="仿宋" w:eastAsia="仿宋"/>
                <w:b/>
                <w:bCs w:val="0"/>
                <w:szCs w:val="21"/>
              </w:rPr>
              <w:t>年化收益</w:t>
            </w:r>
            <w:r>
              <w:rPr>
                <w:rFonts w:hint="eastAsia" w:ascii="仿宋" w:hAnsi="仿宋" w:eastAsia="仿宋"/>
                <w:b/>
                <w:bCs w:val="0"/>
                <w:szCs w:val="21"/>
                <w:lang w:val="en-US" w:eastAsia="zh-CN"/>
              </w:rPr>
              <w:t>率均</w:t>
            </w:r>
            <w:r>
              <w:rPr>
                <w:rFonts w:hint="eastAsia" w:ascii="仿宋" w:hAnsi="仿宋" w:eastAsia="仿宋"/>
                <w:b/>
                <w:bCs w:val="0"/>
                <w:szCs w:val="21"/>
              </w:rPr>
              <w:t>超过</w:t>
            </w:r>
            <w:r>
              <w:rPr>
                <w:rFonts w:hint="eastAsia" w:ascii="仿宋" w:hAnsi="仿宋" w:eastAsia="仿宋"/>
                <w:b/>
                <w:bCs w:val="0"/>
                <w:szCs w:val="21"/>
                <w:lang w:val="en-US" w:eastAsia="zh-CN"/>
              </w:rPr>
              <w:t>止盈目标收益率</w:t>
            </w:r>
            <w:r>
              <w:rPr>
                <w:rFonts w:hint="eastAsia" w:ascii="仿宋" w:hAnsi="仿宋" w:eastAsia="仿宋"/>
                <w:b/>
                <w:bCs w:val="0"/>
                <w:szCs w:val="21"/>
              </w:rPr>
              <w:t>，</w:t>
            </w:r>
            <w:r>
              <w:rPr>
                <w:rFonts w:hint="eastAsia" w:ascii="仿宋" w:hAnsi="仿宋" w:eastAsia="仿宋"/>
                <w:b/>
                <w:bCs w:val="0"/>
                <w:szCs w:val="21"/>
                <w:lang w:val="en-US" w:eastAsia="zh-CN"/>
              </w:rPr>
              <w:t>则本</w:t>
            </w:r>
            <w:r>
              <w:rPr>
                <w:rFonts w:hint="eastAsia" w:ascii="仿宋" w:hAnsi="仿宋" w:eastAsia="仿宋"/>
                <w:b/>
                <w:bCs w:val="0"/>
                <w:szCs w:val="21"/>
              </w:rPr>
              <w:t>产品</w:t>
            </w:r>
            <w:r>
              <w:rPr>
                <w:rFonts w:hint="eastAsia" w:ascii="仿宋" w:hAnsi="仿宋" w:eastAsia="仿宋"/>
                <w:b/>
                <w:bCs w:val="0"/>
                <w:szCs w:val="21"/>
                <w:highlight w:val="none"/>
                <w:lang w:val="en-US" w:eastAsia="zh-CN"/>
              </w:rPr>
              <w:t>在前述第2个估值日后的第5个工作日</w:t>
            </w:r>
            <w:r>
              <w:rPr>
                <w:rFonts w:hint="eastAsia" w:ascii="仿宋" w:hAnsi="仿宋" w:eastAsia="仿宋"/>
                <w:b/>
                <w:bCs w:val="0"/>
                <w:szCs w:val="21"/>
              </w:rPr>
              <w:t>提前终止。</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3.本产品</w:t>
            </w:r>
            <w:r>
              <w:rPr>
                <w:rFonts w:hint="eastAsia" w:ascii="仿宋" w:hAnsi="仿宋" w:eastAsia="仿宋" w:cs="Cambria"/>
                <w:b/>
                <w:bCs w:val="0"/>
                <w:szCs w:val="21"/>
                <w:lang w:val="en-US" w:eastAsia="zh-CN"/>
              </w:rPr>
              <w:t>的止盈</w:t>
            </w:r>
            <w:r>
              <w:rPr>
                <w:rFonts w:hint="eastAsia" w:ascii="仿宋" w:hAnsi="仿宋" w:eastAsia="仿宋"/>
                <w:b/>
                <w:bCs w:val="0"/>
                <w:szCs w:val="21"/>
                <w:lang w:val="en-US" w:eastAsia="zh-CN"/>
              </w:rPr>
              <w:t>目标收益率为</w:t>
            </w:r>
            <w:bookmarkStart w:id="5" w:name="OLE_LINK1"/>
            <w:r>
              <w:rPr>
                <w:rFonts w:hint="eastAsia" w:ascii="仿宋" w:hAnsi="仿宋" w:eastAsia="仿宋"/>
                <w:b/>
                <w:bCs w:val="0"/>
                <w:szCs w:val="21"/>
                <w:lang w:val="en-US" w:eastAsia="zh-CN"/>
              </w:rPr>
              <w:t>4.00%</w:t>
            </w:r>
            <w:bookmarkEnd w:id="5"/>
            <w:r>
              <w:rPr>
                <w:rFonts w:hint="eastAsia" w:ascii="仿宋" w:hAnsi="仿宋" w:eastAsia="仿宋"/>
                <w:b/>
                <w:bCs w:val="0"/>
                <w:szCs w:val="21"/>
                <w:lang w:val="en-US" w:eastAsia="zh-CN"/>
              </w:rPr>
              <w:t>（年化）。</w:t>
            </w:r>
          </w:p>
          <w:p>
            <w:pPr>
              <w:adjustRightInd w:val="0"/>
              <w:snapToGrid w:val="0"/>
              <w:spacing w:line="300" w:lineRule="exact"/>
              <w:ind w:firstLine="422" w:firstLineChars="200"/>
              <w:rPr>
                <w:rFonts w:hint="eastAsia" w:ascii="仿宋" w:hAnsi="仿宋" w:eastAsia="仿宋"/>
                <w:bCs/>
                <w:szCs w:val="21"/>
              </w:rPr>
            </w:pPr>
            <w:r>
              <w:rPr>
                <w:rFonts w:hint="eastAsia" w:ascii="仿宋" w:hAnsi="仿宋" w:eastAsia="仿宋"/>
                <w:b/>
                <w:bCs w:val="0"/>
                <w:szCs w:val="21"/>
                <w:lang w:val="en-US" w:eastAsia="zh-CN"/>
              </w:rPr>
              <w:t>若本产品因达到止盈目标收益而提前终止，由于资产价格变动、资产变现损失和扣除应由理财计划承担的各项税费及费用等原因，投资者最终受益与止盈目标收益率之间可能存在差异，管理人不保证投资者的实际收益率达到或超过止盈目标收益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8</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w:t>
            </w:r>
            <w:r>
              <w:rPr>
                <w:rFonts w:hint="eastAsia" w:ascii="仿宋" w:hAnsi="仿宋" w:eastAsia="仿宋"/>
                <w:bCs/>
                <w:szCs w:val="21"/>
                <w:lang w:val="en-US" w:eastAsia="zh-CN"/>
              </w:rPr>
              <w:t>3</w:t>
            </w:r>
            <w:r>
              <w:rPr>
                <w:rFonts w:ascii="仿宋" w:hAnsi="仿宋" w:eastAsia="仿宋"/>
                <w:bCs/>
                <w:szCs w:val="21"/>
              </w:rPr>
              <w:t xml:space="preserve">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szCs w:val="21"/>
                <w:lang w:val="en-US" w:eastAsia="zh-CN"/>
              </w:rPr>
              <w:t>产品成立日至2026年6月26日（含）</w:t>
            </w:r>
            <w:r>
              <w:rPr>
                <w:rFonts w:ascii="仿宋" w:hAnsi="仿宋" w:eastAsia="仿宋"/>
                <w:b/>
                <w:bCs w:val="0"/>
                <w:szCs w:val="21"/>
              </w:rPr>
              <w:t>0.</w:t>
            </w:r>
            <w:r>
              <w:rPr>
                <w:rFonts w:hint="eastAsia" w:ascii="仿宋" w:hAnsi="仿宋" w:eastAsia="仿宋"/>
                <w:b/>
                <w:bCs w:val="0"/>
                <w:szCs w:val="21"/>
                <w:lang w:val="en-US" w:eastAsia="zh-CN"/>
              </w:rPr>
              <w:t>50</w:t>
            </w:r>
            <w:r>
              <w:rPr>
                <w:rFonts w:hint="eastAsia" w:ascii="仿宋" w:hAnsi="仿宋" w:eastAsia="仿宋"/>
                <w:b/>
                <w:bCs w:val="0"/>
                <w:szCs w:val="21"/>
              </w:rPr>
              <w:t>%/年，</w:t>
            </w:r>
            <w:r>
              <w:rPr>
                <w:rFonts w:hint="eastAsia" w:ascii="仿宋" w:hAnsi="仿宋" w:eastAsia="仿宋"/>
                <w:b/>
                <w:bCs w:val="0"/>
                <w:szCs w:val="21"/>
                <w:lang w:val="en-US" w:eastAsia="zh-CN"/>
              </w:rPr>
              <w:t>2026年6月27日（含）至产品终止日（含）0.05%/年，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hint="default" w:ascii="仿宋" w:hAnsi="仿宋" w:eastAsia="仿宋"/>
                <w:b/>
                <w:bCs w:val="0"/>
                <w:szCs w:val="21"/>
                <w:lang w:val="en-US"/>
              </w:rPr>
              <w:t>0.</w:t>
            </w:r>
            <w:r>
              <w:rPr>
                <w:rFonts w:hint="eastAsia" w:ascii="仿宋" w:hAnsi="仿宋" w:eastAsia="仿宋"/>
                <w:b/>
                <w:bCs w:val="0"/>
                <w:szCs w:val="21"/>
                <w:lang w:val="en-US" w:eastAsia="zh-CN"/>
              </w:rPr>
              <w:t>20</w:t>
            </w:r>
            <w:r>
              <w:rPr>
                <w:rFonts w:hint="default" w:ascii="仿宋" w:hAnsi="仿宋" w:eastAsia="仿宋"/>
                <w:b/>
                <w:bCs w:val="0"/>
                <w:szCs w:val="21"/>
                <w:lang w:val="en-US"/>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4.50%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
                <w:bCs w:val="0"/>
                <w:szCs w:val="21"/>
              </w:rPr>
            </w:pPr>
            <w:r>
              <w:rPr>
                <w:rFonts w:hint="eastAsia" w:ascii="仿宋" w:hAnsi="仿宋" w:eastAsia="仿宋"/>
                <w:b w:val="0"/>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Cs/>
                <w:szCs w:val="21"/>
              </w:rPr>
            </w:pPr>
            <w:r>
              <w:rPr>
                <w:rFonts w:hint="eastAsia" w:ascii="仿宋" w:hAnsi="仿宋" w:eastAsia="仿宋" w:cs="Cambria"/>
                <w:b/>
                <w:bCs w:val="0"/>
                <w:szCs w:val="21"/>
                <w:lang w:val="en-US" w:eastAsia="zh-CN"/>
              </w:rPr>
              <w:t>估值日：每周五；若</w:t>
            </w:r>
            <w:r>
              <w:rPr>
                <w:rFonts w:hint="eastAsia" w:ascii="仿宋" w:hAnsi="仿宋" w:eastAsia="仿宋" w:cs="Cambria"/>
                <w:b/>
                <w:bCs w:val="0"/>
                <w:szCs w:val="21"/>
              </w:rPr>
              <w:t>周五为非工作日，则周五上1个工作日</w:t>
            </w:r>
            <w:r>
              <w:rPr>
                <w:rFonts w:hint="eastAsia" w:ascii="仿宋" w:hAnsi="仿宋" w:eastAsia="仿宋" w:cs="Cambria"/>
                <w:b/>
                <w:bCs w:val="0"/>
                <w:szCs w:val="21"/>
                <w:lang w:val="en-US" w:eastAsia="zh-CN"/>
              </w:rPr>
              <w:t>为估值日。</w:t>
            </w:r>
          </w:p>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hint="eastAsia" w:ascii="仿宋" w:hAnsi="仿宋" w:eastAsia="仿宋"/>
                <w:bCs/>
                <w:szCs w:val="21"/>
                <w:lang w:val="en-US" w:eastAsia="zh-CN"/>
              </w:rPr>
              <w:t>因达到止盈目标而提前终止本理财产品</w:t>
            </w:r>
            <w:r>
              <w:rPr>
                <w:rFonts w:ascii="仿宋" w:hAnsi="仿宋" w:eastAsia="仿宋"/>
                <w:bCs/>
                <w:szCs w:val="21"/>
              </w:rPr>
              <w:t>的</w:t>
            </w:r>
            <w:r>
              <w:rPr>
                <w:rFonts w:hint="eastAsia" w:ascii="仿宋" w:hAnsi="仿宋" w:eastAsia="仿宋"/>
                <w:bCs/>
                <w:szCs w:val="21"/>
                <w:lang w:eastAsia="zh-CN"/>
              </w:rPr>
              <w:t>（</w:t>
            </w:r>
            <w:r>
              <w:rPr>
                <w:rFonts w:hint="eastAsia" w:ascii="仿宋" w:hAnsi="仿宋" w:eastAsia="仿宋"/>
                <w:bCs/>
                <w:szCs w:val="21"/>
              </w:rPr>
              <w:t>具体详见“</w:t>
            </w:r>
            <w:r>
              <w:rPr>
                <w:rFonts w:hint="eastAsia" w:ascii="仿宋" w:hAnsi="仿宋" w:eastAsia="仿宋"/>
                <w:bCs/>
                <w:szCs w:val="21"/>
                <w:lang w:val="en-US" w:eastAsia="zh-CN"/>
              </w:rPr>
              <w:t>期限</w:t>
            </w:r>
            <w:r>
              <w:rPr>
                <w:rFonts w:hint="eastAsia" w:ascii="仿宋" w:hAnsi="仿宋" w:eastAsia="仿宋"/>
                <w:bCs/>
                <w:szCs w:val="21"/>
              </w:rPr>
              <w:t>”</w:t>
            </w:r>
            <w:r>
              <w:rPr>
                <w:rFonts w:hint="eastAsia" w:ascii="仿宋" w:hAnsi="仿宋" w:eastAsia="仿宋"/>
                <w:bCs/>
                <w:szCs w:val="21"/>
                <w:lang w:eastAsia="zh-CN"/>
              </w:rPr>
              <w:t>）</w:t>
            </w:r>
            <w:r>
              <w:rPr>
                <w:rFonts w:ascii="仿宋" w:hAnsi="仿宋" w:eastAsia="仿宋"/>
                <w:bCs/>
                <w:szCs w:val="21"/>
              </w:rPr>
              <w:t>，在提前终止日前</w:t>
            </w:r>
            <w:r>
              <w:rPr>
                <w:rFonts w:hint="eastAsia" w:ascii="仿宋" w:hAnsi="仿宋" w:eastAsia="仿宋"/>
                <w:bCs/>
                <w:szCs w:val="21"/>
                <w:lang w:val="en-US" w:eastAsia="zh-CN"/>
              </w:rPr>
              <w:t>1</w:t>
            </w:r>
            <w:r>
              <w:rPr>
                <w:rFonts w:ascii="仿宋" w:hAnsi="仿宋" w:eastAsia="仿宋"/>
                <w:bCs/>
                <w:szCs w:val="21"/>
              </w:rPr>
              <w:t>个工作日通过</w:t>
            </w:r>
            <w:r>
              <w:rPr>
                <w:rFonts w:hint="eastAsia" w:ascii="仿宋" w:hAnsi="仿宋" w:eastAsia="仿宋"/>
                <w:bCs/>
                <w:szCs w:val="21"/>
              </w:rPr>
              <w:t>本产品说明书约定的信息披露渠道公告相关信息</w:t>
            </w:r>
            <w:r>
              <w:rPr>
                <w:rFonts w:hint="eastAsia" w:ascii="仿宋" w:hAnsi="仿宋" w:eastAsia="仿宋"/>
                <w:bCs/>
                <w:szCs w:val="21"/>
                <w:lang w:eastAsia="zh-CN"/>
              </w:rPr>
              <w:t>；</w:t>
            </w:r>
            <w:r>
              <w:rPr>
                <w:rFonts w:hint="eastAsia" w:ascii="仿宋" w:hAnsi="仿宋" w:eastAsia="仿宋"/>
                <w:bCs/>
                <w:szCs w:val="21"/>
                <w:lang w:val="en-US" w:eastAsia="zh-CN"/>
              </w:rPr>
              <w:t>因其他原因</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auto"/>
          <w:kern w:val="0"/>
          <w:sz w:val="24"/>
        </w:rPr>
      </w:pPr>
      <w:r>
        <w:rPr>
          <w:rFonts w:hint="eastAsia" w:ascii="仿宋" w:hAnsi="仿宋" w:eastAsia="仿宋" w:cs="宋体"/>
          <w:color w:val="auto"/>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990"/>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ascii="仿宋" w:hAnsi="仿宋" w:eastAsia="仿宋" w:cs="宋体"/>
                <w:color w:val="000000"/>
                <w:kern w:val="0"/>
                <w:sz w:val="24"/>
              </w:rPr>
              <w:t>固定收益类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hint="default" w:eastAsia="仿宋"/>
                <w:kern w:val="0"/>
                <w:sz w:val="24"/>
                <w:lang w:val="en-US" w:eastAsia="zh-CN"/>
              </w:rPr>
            </w:pPr>
            <w:r>
              <w:rPr>
                <w:rFonts w:hint="eastAsia" w:ascii="仿宋" w:hAnsi="仿宋" w:eastAsia="仿宋" w:cs="宋体"/>
                <w:color w:val="000000"/>
                <w:kern w:val="0"/>
                <w:sz w:val="24"/>
                <w:lang w:val="en-US" w:eastAsia="zh-CN"/>
              </w:rPr>
              <w:t>8</w:t>
            </w:r>
            <w:r>
              <w:rPr>
                <w:rFonts w:ascii="仿宋" w:hAnsi="仿宋" w:eastAsia="仿宋" w:cs="宋体"/>
                <w:color w:val="000000"/>
                <w:kern w:val="0"/>
                <w:sz w:val="24"/>
              </w:rPr>
              <w:t>0</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hint="eastAsia" w:ascii="仿宋" w:hAnsi="仿宋" w:eastAsia="仿宋" w:cs="宋体"/>
                <w:color w:val="000000"/>
                <w:kern w:val="0"/>
                <w:sz w:val="24"/>
                <w:lang w:val="en-US" w:eastAsia="zh-CN"/>
              </w:rPr>
              <w:t>2</w:t>
            </w:r>
            <w:r>
              <w:rPr>
                <w:rFonts w:ascii="仿宋" w:hAnsi="仿宋" w:eastAsia="仿宋" w:cs="宋体"/>
                <w:color w:val="000000"/>
                <w:kern w:val="0"/>
                <w:sz w:val="24"/>
              </w:rPr>
              <w:t>0</w:t>
            </w:r>
            <w:r>
              <w:rPr>
                <w:rFonts w:hint="eastAsia" w:ascii="仿宋" w:hAnsi="仿宋" w:eastAsia="仿宋" w:cs="宋体"/>
                <w:color w:val="000000"/>
                <w:kern w:val="0"/>
                <w:sz w:val="24"/>
              </w:rPr>
              <w:t>%</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0" w:firstLineChars="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w:t>
      </w:r>
      <w:r>
        <w:rPr>
          <w:rFonts w:hint="eastAsia" w:ascii="仿宋" w:hAnsi="仿宋" w:eastAsia="仿宋"/>
          <w:sz w:val="24"/>
          <w:lang w:val="en-US" w:eastAsia="zh-CN"/>
        </w:rPr>
        <w:t>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snapToGrid w:val="0"/>
        <w:spacing w:after="156" w:afterLines="50" w:line="276" w:lineRule="auto"/>
        <w:ind w:firstLine="482" w:firstLineChars="200"/>
        <w:contextualSpacing/>
        <w:jc w:val="both"/>
        <w:rPr>
          <w:rFonts w:ascii="Times New Roman" w:eastAsia="黑体" w:cs="Times New Roman"/>
          <w:b/>
          <w:color w:val="auto"/>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6" w:name="_Hlk76300274"/>
      <w:r>
        <w:rPr>
          <w:rFonts w:hint="eastAsia" w:ascii="Times New Roman" w:eastAsia="黑体" w:cs="Times New Roman"/>
          <w:b/>
          <w:color w:val="auto"/>
        </w:rPr>
        <w:t>所投资的资产</w:t>
      </w:r>
      <w:bookmarkEnd w:id="6"/>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hint="eastAsia" w:ascii="Times New Roman" w:eastAsia="黑体" w:cs="Times New Roman"/>
          <w:b/>
          <w:color w:val="auto"/>
        </w:rPr>
        <w:t>华夏理财/代销机构</w:t>
      </w:r>
      <w:bookmarkEnd w:id="7"/>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1"/>
        <w:snapToGrid w:val="0"/>
        <w:spacing w:line="276" w:lineRule="auto"/>
        <w:ind w:firstLine="482" w:firstLineChars="200"/>
        <w:contextualSpacing/>
        <w:jc w:val="both"/>
        <w:rPr>
          <w:rFonts w:hint="eastAsia" w:ascii="Times New Roman" w:eastAsia="黑体" w:cs="Times New Roman"/>
          <w:b/>
          <w:color w:val="auto"/>
        </w:rPr>
      </w:pPr>
      <w:bookmarkStart w:id="8" w:name="_Hlk76300361"/>
      <w:r>
        <w:rPr>
          <w:rFonts w:hint="eastAsia" w:ascii="Times New Roman" w:eastAsia="黑体" w:cs="Times New Roman"/>
          <w:b/>
          <w:color w:val="auto"/>
        </w:rPr>
        <w:t>本产品由于</w:t>
      </w:r>
      <w:r>
        <w:rPr>
          <w:rFonts w:hint="eastAsia" w:ascii="Times New Roman" w:eastAsia="黑体" w:cs="Times New Roman"/>
          <w:b/>
          <w:color w:val="auto"/>
          <w:lang w:val="en-US" w:eastAsia="zh-CN"/>
        </w:rPr>
        <w:t>设立止盈机制</w:t>
      </w:r>
      <w:r>
        <w:rPr>
          <w:rFonts w:hint="eastAsia" w:ascii="Times New Roman" w:eastAsia="黑体" w:cs="Times New Roman"/>
          <w:b/>
          <w:color w:val="auto"/>
        </w:rPr>
        <w:t>，因此可能面临如下特定风险：</w:t>
      </w:r>
    </w:p>
    <w:bookmarkEnd w:id="8"/>
    <w:p>
      <w:pPr>
        <w:pStyle w:val="11"/>
        <w:snapToGrid w:val="0"/>
        <w:spacing w:beforeLines="-2147483648" w:afterLines="-2147483648"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color w:val="auto"/>
        </w:rPr>
        <w:t>若产品于止盈观察期内达到止盈目标收益率而提前终止，由于资产价格波动、资产变现损失等原因，产品实际收益率可能不达止盈目标收益率。</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1"/>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numPr>
          <w:ilvl w:val="-1"/>
          <w:numId w:val="0"/>
        </w:numPr>
        <w:snapToGrid w:val="0"/>
        <w:spacing w:line="276" w:lineRule="auto"/>
        <w:ind w:firstLine="482" w:firstLineChars="200"/>
        <w:contextualSpacing/>
        <w:jc w:val="both"/>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1"/>
        <w:numPr>
          <w:ilvl w:val="-1"/>
          <w:numId w:val="0"/>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华夏理财因达到止盈目标</w:t>
      </w:r>
      <w:r>
        <w:rPr>
          <w:rFonts w:hint="eastAsia" w:ascii="仿宋" w:hAnsi="仿宋" w:eastAsia="仿宋" w:cs="宋体"/>
          <w:kern w:val="0"/>
          <w:sz w:val="24"/>
          <w:lang w:val="en-US" w:eastAsia="zh-CN"/>
        </w:rPr>
        <w:t>决定</w:t>
      </w:r>
      <w:r>
        <w:rPr>
          <w:rFonts w:hint="eastAsia" w:ascii="仿宋" w:hAnsi="仿宋" w:eastAsia="仿宋" w:cs="宋体"/>
          <w:kern w:val="0"/>
          <w:sz w:val="24"/>
        </w:rPr>
        <w:t>提前终止本理财产品，</w:t>
      </w:r>
      <w:r>
        <w:rPr>
          <w:rFonts w:ascii="仿宋" w:hAnsi="仿宋" w:eastAsia="仿宋" w:cs="宋体"/>
          <w:kern w:val="0"/>
          <w:sz w:val="24"/>
        </w:rPr>
        <w:t>将于</w:t>
      </w:r>
      <w:r>
        <w:rPr>
          <w:rFonts w:hint="eastAsia" w:ascii="仿宋" w:hAnsi="仿宋" w:eastAsia="仿宋" w:cs="宋体"/>
          <w:kern w:val="0"/>
          <w:sz w:val="24"/>
        </w:rPr>
        <w:t>提前</w:t>
      </w:r>
      <w:r>
        <w:rPr>
          <w:rFonts w:ascii="仿宋" w:hAnsi="仿宋" w:eastAsia="仿宋" w:cs="宋体"/>
          <w:kern w:val="0"/>
          <w:sz w:val="24"/>
        </w:rPr>
        <w:t>终止日的前</w:t>
      </w:r>
      <w:r>
        <w:rPr>
          <w:rFonts w:hint="eastAsia" w:ascii="仿宋" w:hAnsi="仿宋" w:eastAsia="仿宋" w:cs="宋体"/>
          <w:kern w:val="0"/>
          <w:sz w:val="24"/>
          <w:lang w:val="en-US" w:eastAsia="zh-CN"/>
        </w:rPr>
        <w:t>1</w:t>
      </w:r>
      <w:r>
        <w:rPr>
          <w:rFonts w:ascii="仿宋" w:hAnsi="仿宋" w:eastAsia="仿宋" w:cs="宋体"/>
          <w:kern w:val="0"/>
          <w:sz w:val="24"/>
        </w:rPr>
        <w:t>个工作日</w:t>
      </w:r>
      <w:r>
        <w:rPr>
          <w:rFonts w:hint="eastAsia" w:ascii="仿宋" w:hAnsi="仿宋" w:eastAsia="仿宋" w:cs="宋体"/>
          <w:kern w:val="0"/>
          <w:sz w:val="24"/>
        </w:rPr>
        <w:t>通过</w:t>
      </w:r>
      <w:r>
        <w:rPr>
          <w:rFonts w:hint="eastAsia" w:ascii="仿宋" w:hAnsi="仿宋" w:eastAsia="仿宋" w:cs="宋体"/>
          <w:kern w:val="0"/>
          <w:sz w:val="24"/>
          <w:lang w:eastAsia="zh-CN"/>
        </w:rPr>
        <w:t>本产品说明书约定的</w:t>
      </w:r>
      <w:r>
        <w:rPr>
          <w:rFonts w:hint="eastAsia" w:ascii="仿宋" w:hAnsi="仿宋" w:eastAsia="仿宋" w:cs="宋体"/>
          <w:kern w:val="0"/>
          <w:sz w:val="24"/>
        </w:rPr>
        <w:t>信息披露渠道</w:t>
      </w:r>
      <w:r>
        <w:rPr>
          <w:rFonts w:hint="eastAsia" w:ascii="仿宋" w:hAnsi="仿宋" w:eastAsia="仿宋" w:cs="宋体"/>
          <w:kern w:val="0"/>
          <w:sz w:val="24"/>
          <w:lang w:eastAsia="zh-CN"/>
        </w:rPr>
        <w:t>发布公告</w:t>
      </w:r>
      <w:r>
        <w:rPr>
          <w:rFonts w:hint="eastAsia" w:ascii="仿宋" w:hAnsi="仿宋" w:eastAsia="仿宋" w:cs="宋体"/>
          <w:kern w:val="0"/>
          <w:sz w:val="24"/>
        </w:rPr>
        <w:t>；因其他原因</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hint="eastAsia" w:ascii="仿宋" w:hAnsi="仿宋" w:eastAsia="仿宋" w:cs="宋体"/>
          <w:b/>
          <w:kern w:val="0"/>
          <w:sz w:val="24"/>
          <w:lang w:eastAsia="zh-CN"/>
        </w:rPr>
        <w:t>、</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utoSpaceDE/>
        <w:autoSpaceDN/>
        <w:adjustRightInd w:val="0"/>
        <w:snapToGrid w:val="0"/>
        <w:spacing w:line="276" w:lineRule="auto"/>
        <w:ind w:firstLine="482" w:firstLineChars="200"/>
        <w:contextualSpacing/>
        <w:rPr>
          <w:rFonts w:ascii="Times New Roman" w:hAnsi="Times New Roman" w:eastAsia="黑体" w:cs="Times New Roman"/>
          <w:b/>
          <w:bCs/>
          <w:kern w:val="2"/>
          <w:sz w:val="24"/>
        </w:rPr>
      </w:pPr>
      <w:r>
        <w:rPr>
          <w:rFonts w:ascii="Times New Roman" w:hAnsi="Times New Roman" w:eastAsia="黑体" w:cs="Times New Roman"/>
          <w:b/>
          <w:bCs/>
          <w:kern w:val="2"/>
          <w:sz w:val="24"/>
        </w:rPr>
        <w:t>在本</w:t>
      </w:r>
      <w:r>
        <w:rPr>
          <w:rFonts w:hint="default" w:ascii="Times New Roman" w:hAnsi="Times New Roman" w:eastAsia="黑体" w:cs="Times New Roman"/>
          <w:b/>
          <w:bCs/>
          <w:kern w:val="2"/>
          <w:sz w:val="24"/>
        </w:rPr>
        <w:t>理财</w:t>
      </w:r>
      <w:r>
        <w:rPr>
          <w:rFonts w:ascii="Times New Roman" w:hAnsi="Times New Roman" w:eastAsia="黑体" w:cs="Times New Roman"/>
          <w:b/>
          <w:bCs/>
          <w:kern w:val="2"/>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2"/>
          <w:sz w:val="24"/>
        </w:rPr>
        <w:t>华夏理财有限责任公司官方网站（www.hxwm.com.cn）</w:t>
      </w:r>
      <w:r>
        <w:rPr>
          <w:rFonts w:ascii="Times New Roman" w:hAnsi="Times New Roman" w:eastAsia="黑体" w:cs="Times New Roman"/>
          <w:b/>
          <w:bCs/>
          <w:kern w:val="2"/>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6F40C"/>
    <w:multiLevelType w:val="singleLevel"/>
    <w:tmpl w:val="5906F40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5900"/>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0B5EE9"/>
    <w:rsid w:val="02417756"/>
    <w:rsid w:val="02E40AD0"/>
    <w:rsid w:val="033A4D39"/>
    <w:rsid w:val="034644C7"/>
    <w:rsid w:val="035A3856"/>
    <w:rsid w:val="04196F12"/>
    <w:rsid w:val="04435A9E"/>
    <w:rsid w:val="04950991"/>
    <w:rsid w:val="054B7EFA"/>
    <w:rsid w:val="05565C84"/>
    <w:rsid w:val="05627177"/>
    <w:rsid w:val="05831998"/>
    <w:rsid w:val="05E83A6F"/>
    <w:rsid w:val="060904F4"/>
    <w:rsid w:val="060A409E"/>
    <w:rsid w:val="0610015A"/>
    <w:rsid w:val="06541845"/>
    <w:rsid w:val="066C6455"/>
    <w:rsid w:val="06930C07"/>
    <w:rsid w:val="06A857EB"/>
    <w:rsid w:val="06BC446E"/>
    <w:rsid w:val="06D22738"/>
    <w:rsid w:val="072859C3"/>
    <w:rsid w:val="07853686"/>
    <w:rsid w:val="079A3378"/>
    <w:rsid w:val="07B45D81"/>
    <w:rsid w:val="07C26F1E"/>
    <w:rsid w:val="07C52B3D"/>
    <w:rsid w:val="07D6576F"/>
    <w:rsid w:val="07F1682B"/>
    <w:rsid w:val="08064FC2"/>
    <w:rsid w:val="080D6F41"/>
    <w:rsid w:val="08A87A0E"/>
    <w:rsid w:val="08D300AE"/>
    <w:rsid w:val="09277EEB"/>
    <w:rsid w:val="093108CE"/>
    <w:rsid w:val="096506FA"/>
    <w:rsid w:val="0A01440A"/>
    <w:rsid w:val="0A513B0D"/>
    <w:rsid w:val="0A5478A3"/>
    <w:rsid w:val="0A8B112F"/>
    <w:rsid w:val="0AAD3F14"/>
    <w:rsid w:val="0AF64DE1"/>
    <w:rsid w:val="0B027707"/>
    <w:rsid w:val="0BE65EE6"/>
    <w:rsid w:val="0CE74AB8"/>
    <w:rsid w:val="0CEF258A"/>
    <w:rsid w:val="0D3600BA"/>
    <w:rsid w:val="0DD32259"/>
    <w:rsid w:val="0DD35186"/>
    <w:rsid w:val="0E270073"/>
    <w:rsid w:val="0EF43DB9"/>
    <w:rsid w:val="0F850895"/>
    <w:rsid w:val="0FA50274"/>
    <w:rsid w:val="0FB27142"/>
    <w:rsid w:val="102F133E"/>
    <w:rsid w:val="10563102"/>
    <w:rsid w:val="10956B85"/>
    <w:rsid w:val="10987645"/>
    <w:rsid w:val="10ED247D"/>
    <w:rsid w:val="110764BF"/>
    <w:rsid w:val="113A6DA1"/>
    <w:rsid w:val="114758B1"/>
    <w:rsid w:val="119A5652"/>
    <w:rsid w:val="11BA7B51"/>
    <w:rsid w:val="120F1E2C"/>
    <w:rsid w:val="12540566"/>
    <w:rsid w:val="12946645"/>
    <w:rsid w:val="12D3200B"/>
    <w:rsid w:val="13495D69"/>
    <w:rsid w:val="13872098"/>
    <w:rsid w:val="139C5050"/>
    <w:rsid w:val="13B7767A"/>
    <w:rsid w:val="13B9670D"/>
    <w:rsid w:val="13DE4767"/>
    <w:rsid w:val="143B4088"/>
    <w:rsid w:val="14484DCB"/>
    <w:rsid w:val="14852776"/>
    <w:rsid w:val="14CA39A9"/>
    <w:rsid w:val="14CC403B"/>
    <w:rsid w:val="15140BCE"/>
    <w:rsid w:val="151B2BBC"/>
    <w:rsid w:val="15576ECD"/>
    <w:rsid w:val="1584793E"/>
    <w:rsid w:val="15874EAA"/>
    <w:rsid w:val="15C47445"/>
    <w:rsid w:val="15D24923"/>
    <w:rsid w:val="15DF45C9"/>
    <w:rsid w:val="15E41B70"/>
    <w:rsid w:val="16440A35"/>
    <w:rsid w:val="16577530"/>
    <w:rsid w:val="167255CF"/>
    <w:rsid w:val="16840173"/>
    <w:rsid w:val="16C90EF1"/>
    <w:rsid w:val="16FB6F37"/>
    <w:rsid w:val="17231DE7"/>
    <w:rsid w:val="17D31FDC"/>
    <w:rsid w:val="17D76C2B"/>
    <w:rsid w:val="17F8769D"/>
    <w:rsid w:val="18041AB4"/>
    <w:rsid w:val="18303152"/>
    <w:rsid w:val="18A91C20"/>
    <w:rsid w:val="190F268E"/>
    <w:rsid w:val="191B29BF"/>
    <w:rsid w:val="19287585"/>
    <w:rsid w:val="19610BFF"/>
    <w:rsid w:val="19953307"/>
    <w:rsid w:val="19A07D04"/>
    <w:rsid w:val="1A0925B6"/>
    <w:rsid w:val="1A4B59CE"/>
    <w:rsid w:val="1AB13D5A"/>
    <w:rsid w:val="1B084769"/>
    <w:rsid w:val="1B2C6F2C"/>
    <w:rsid w:val="1B2C7D63"/>
    <w:rsid w:val="1B5D5F33"/>
    <w:rsid w:val="1BA24967"/>
    <w:rsid w:val="1BAF6A57"/>
    <w:rsid w:val="1BCE5D96"/>
    <w:rsid w:val="1BDE2098"/>
    <w:rsid w:val="1BE069CA"/>
    <w:rsid w:val="1C465E86"/>
    <w:rsid w:val="1C726314"/>
    <w:rsid w:val="1CA2437A"/>
    <w:rsid w:val="1CB55A67"/>
    <w:rsid w:val="1CE252F3"/>
    <w:rsid w:val="1D104FDC"/>
    <w:rsid w:val="1D117096"/>
    <w:rsid w:val="1DE516B8"/>
    <w:rsid w:val="1E266894"/>
    <w:rsid w:val="1E433C85"/>
    <w:rsid w:val="1EBB3254"/>
    <w:rsid w:val="1ED877DF"/>
    <w:rsid w:val="1F0B3DFE"/>
    <w:rsid w:val="1F5522A7"/>
    <w:rsid w:val="1F951ECD"/>
    <w:rsid w:val="1FD45CE1"/>
    <w:rsid w:val="1FE23E34"/>
    <w:rsid w:val="1FF0679E"/>
    <w:rsid w:val="20C14C6A"/>
    <w:rsid w:val="21035D38"/>
    <w:rsid w:val="21433609"/>
    <w:rsid w:val="214D162F"/>
    <w:rsid w:val="22171129"/>
    <w:rsid w:val="222D0D62"/>
    <w:rsid w:val="22981651"/>
    <w:rsid w:val="22BD7F3D"/>
    <w:rsid w:val="2350568B"/>
    <w:rsid w:val="237054FE"/>
    <w:rsid w:val="237F35E5"/>
    <w:rsid w:val="23A50D24"/>
    <w:rsid w:val="23C6493C"/>
    <w:rsid w:val="23E44373"/>
    <w:rsid w:val="242806AA"/>
    <w:rsid w:val="24392A65"/>
    <w:rsid w:val="2467066D"/>
    <w:rsid w:val="24940E3B"/>
    <w:rsid w:val="24E91956"/>
    <w:rsid w:val="252E26F1"/>
    <w:rsid w:val="25C3267A"/>
    <w:rsid w:val="25D568B4"/>
    <w:rsid w:val="25F33B9E"/>
    <w:rsid w:val="260C731E"/>
    <w:rsid w:val="26103F21"/>
    <w:rsid w:val="273B7CBB"/>
    <w:rsid w:val="27EA63D1"/>
    <w:rsid w:val="287A5D0E"/>
    <w:rsid w:val="289C222B"/>
    <w:rsid w:val="28B05EE9"/>
    <w:rsid w:val="28D30187"/>
    <w:rsid w:val="28E571A8"/>
    <w:rsid w:val="294C4E21"/>
    <w:rsid w:val="296D4B02"/>
    <w:rsid w:val="29C33612"/>
    <w:rsid w:val="29E2467D"/>
    <w:rsid w:val="2A103412"/>
    <w:rsid w:val="2A1E1418"/>
    <w:rsid w:val="2A283FA1"/>
    <w:rsid w:val="2A476E56"/>
    <w:rsid w:val="2A770C99"/>
    <w:rsid w:val="2BB37730"/>
    <w:rsid w:val="2BBB2833"/>
    <w:rsid w:val="2BC42334"/>
    <w:rsid w:val="2BCC4DCB"/>
    <w:rsid w:val="2BDC5F27"/>
    <w:rsid w:val="2C1011CD"/>
    <w:rsid w:val="2C40390A"/>
    <w:rsid w:val="2C4C703B"/>
    <w:rsid w:val="2C651E52"/>
    <w:rsid w:val="2C9C4ED8"/>
    <w:rsid w:val="2D241337"/>
    <w:rsid w:val="2D753D30"/>
    <w:rsid w:val="2DC02129"/>
    <w:rsid w:val="2E010168"/>
    <w:rsid w:val="2E6A7D66"/>
    <w:rsid w:val="2EA972CC"/>
    <w:rsid w:val="2EC31B75"/>
    <w:rsid w:val="2F2616C7"/>
    <w:rsid w:val="2FE72027"/>
    <w:rsid w:val="2FF53796"/>
    <w:rsid w:val="306A1371"/>
    <w:rsid w:val="3127549C"/>
    <w:rsid w:val="31533557"/>
    <w:rsid w:val="31B41A9A"/>
    <w:rsid w:val="31C723A9"/>
    <w:rsid w:val="31C74937"/>
    <w:rsid w:val="31F02E84"/>
    <w:rsid w:val="32062205"/>
    <w:rsid w:val="322068C9"/>
    <w:rsid w:val="324C0413"/>
    <w:rsid w:val="326170B4"/>
    <w:rsid w:val="328F3B54"/>
    <w:rsid w:val="329A11A0"/>
    <w:rsid w:val="32FF7EB7"/>
    <w:rsid w:val="338D0F40"/>
    <w:rsid w:val="34126396"/>
    <w:rsid w:val="345E593B"/>
    <w:rsid w:val="34605A84"/>
    <w:rsid w:val="346C230B"/>
    <w:rsid w:val="34F13EEA"/>
    <w:rsid w:val="35034F52"/>
    <w:rsid w:val="352C602C"/>
    <w:rsid w:val="35B16527"/>
    <w:rsid w:val="36282F66"/>
    <w:rsid w:val="363546E7"/>
    <w:rsid w:val="36B76A85"/>
    <w:rsid w:val="36B82ADE"/>
    <w:rsid w:val="375F5A6C"/>
    <w:rsid w:val="376879F0"/>
    <w:rsid w:val="376C5753"/>
    <w:rsid w:val="37D00A9F"/>
    <w:rsid w:val="37EC4B4C"/>
    <w:rsid w:val="3856051C"/>
    <w:rsid w:val="387B665C"/>
    <w:rsid w:val="390B04EB"/>
    <w:rsid w:val="39690814"/>
    <w:rsid w:val="39B76C90"/>
    <w:rsid w:val="39C37A55"/>
    <w:rsid w:val="39C53B44"/>
    <w:rsid w:val="39EF39C3"/>
    <w:rsid w:val="3A23092B"/>
    <w:rsid w:val="3A35598B"/>
    <w:rsid w:val="3A595F4B"/>
    <w:rsid w:val="3A6D4753"/>
    <w:rsid w:val="3B4C73CF"/>
    <w:rsid w:val="3B5A576A"/>
    <w:rsid w:val="3BC55932"/>
    <w:rsid w:val="3C2D47FD"/>
    <w:rsid w:val="3C7826C2"/>
    <w:rsid w:val="3C8F2051"/>
    <w:rsid w:val="3C9674B7"/>
    <w:rsid w:val="3CD87A38"/>
    <w:rsid w:val="3D5236AA"/>
    <w:rsid w:val="3D83215E"/>
    <w:rsid w:val="3DFF3A1A"/>
    <w:rsid w:val="3E321828"/>
    <w:rsid w:val="3E725B13"/>
    <w:rsid w:val="3E82732A"/>
    <w:rsid w:val="3E83729F"/>
    <w:rsid w:val="3EA946F7"/>
    <w:rsid w:val="3ED615CF"/>
    <w:rsid w:val="3EEC674A"/>
    <w:rsid w:val="3F134FAC"/>
    <w:rsid w:val="3F4E21EB"/>
    <w:rsid w:val="3F521E11"/>
    <w:rsid w:val="3F721126"/>
    <w:rsid w:val="3F8907F6"/>
    <w:rsid w:val="3F8B7D7F"/>
    <w:rsid w:val="3FDA33E1"/>
    <w:rsid w:val="3FF20B0E"/>
    <w:rsid w:val="40120BF4"/>
    <w:rsid w:val="401C68A9"/>
    <w:rsid w:val="40670EF7"/>
    <w:rsid w:val="40974D22"/>
    <w:rsid w:val="40AB1A12"/>
    <w:rsid w:val="40FD7F94"/>
    <w:rsid w:val="41012626"/>
    <w:rsid w:val="417575F2"/>
    <w:rsid w:val="41BD7655"/>
    <w:rsid w:val="41CC7DB7"/>
    <w:rsid w:val="422F5770"/>
    <w:rsid w:val="42F60353"/>
    <w:rsid w:val="438556A7"/>
    <w:rsid w:val="43A6228A"/>
    <w:rsid w:val="44C622CC"/>
    <w:rsid w:val="44CC2C77"/>
    <w:rsid w:val="4524487F"/>
    <w:rsid w:val="45CC078F"/>
    <w:rsid w:val="466B6F06"/>
    <w:rsid w:val="466C55B9"/>
    <w:rsid w:val="467A4E06"/>
    <w:rsid w:val="46860155"/>
    <w:rsid w:val="476049FD"/>
    <w:rsid w:val="47802A85"/>
    <w:rsid w:val="487C60FD"/>
    <w:rsid w:val="489E098C"/>
    <w:rsid w:val="48B61CC6"/>
    <w:rsid w:val="492A5B50"/>
    <w:rsid w:val="49321AAF"/>
    <w:rsid w:val="493A681C"/>
    <w:rsid w:val="493C2E02"/>
    <w:rsid w:val="49462ED4"/>
    <w:rsid w:val="494D579F"/>
    <w:rsid w:val="498C1FB1"/>
    <w:rsid w:val="499E357D"/>
    <w:rsid w:val="4A255416"/>
    <w:rsid w:val="4A937164"/>
    <w:rsid w:val="4A9750EA"/>
    <w:rsid w:val="4AA40703"/>
    <w:rsid w:val="4B1D70C8"/>
    <w:rsid w:val="4B690413"/>
    <w:rsid w:val="4BB86F47"/>
    <w:rsid w:val="4BF60566"/>
    <w:rsid w:val="4C263A21"/>
    <w:rsid w:val="4C973694"/>
    <w:rsid w:val="4CCE54E6"/>
    <w:rsid w:val="4DEB13DF"/>
    <w:rsid w:val="4E764A03"/>
    <w:rsid w:val="4E7E60A7"/>
    <w:rsid w:val="4ECF12E3"/>
    <w:rsid w:val="4EDD4EDE"/>
    <w:rsid w:val="4EE45C33"/>
    <w:rsid w:val="500C5A60"/>
    <w:rsid w:val="50461117"/>
    <w:rsid w:val="509A5F14"/>
    <w:rsid w:val="51954E8A"/>
    <w:rsid w:val="519B5496"/>
    <w:rsid w:val="51B66CA8"/>
    <w:rsid w:val="51EA5301"/>
    <w:rsid w:val="52667895"/>
    <w:rsid w:val="52884654"/>
    <w:rsid w:val="52B20439"/>
    <w:rsid w:val="52F54900"/>
    <w:rsid w:val="53735224"/>
    <w:rsid w:val="537D24F6"/>
    <w:rsid w:val="5398180D"/>
    <w:rsid w:val="543C05E0"/>
    <w:rsid w:val="54B9651A"/>
    <w:rsid w:val="54F9389F"/>
    <w:rsid w:val="55222910"/>
    <w:rsid w:val="55643FAD"/>
    <w:rsid w:val="559032FC"/>
    <w:rsid w:val="55EF2193"/>
    <w:rsid w:val="560165A7"/>
    <w:rsid w:val="560B3FD6"/>
    <w:rsid w:val="563121A3"/>
    <w:rsid w:val="563A5292"/>
    <w:rsid w:val="5646747A"/>
    <w:rsid w:val="567B0F8C"/>
    <w:rsid w:val="56D476A1"/>
    <w:rsid w:val="57331CEB"/>
    <w:rsid w:val="574328BF"/>
    <w:rsid w:val="584667E1"/>
    <w:rsid w:val="586F79A5"/>
    <w:rsid w:val="5884596F"/>
    <w:rsid w:val="598336AE"/>
    <w:rsid w:val="599B3F0F"/>
    <w:rsid w:val="59A2047A"/>
    <w:rsid w:val="5A41650D"/>
    <w:rsid w:val="5A7852B1"/>
    <w:rsid w:val="5AA97C90"/>
    <w:rsid w:val="5AE4319D"/>
    <w:rsid w:val="5B3B3830"/>
    <w:rsid w:val="5B8B793B"/>
    <w:rsid w:val="5C2658E9"/>
    <w:rsid w:val="5C7E5C8C"/>
    <w:rsid w:val="5C821033"/>
    <w:rsid w:val="5CD5308F"/>
    <w:rsid w:val="5CE90207"/>
    <w:rsid w:val="5E3B759B"/>
    <w:rsid w:val="5E501568"/>
    <w:rsid w:val="5E50611E"/>
    <w:rsid w:val="5EB138AE"/>
    <w:rsid w:val="5EB53035"/>
    <w:rsid w:val="5ED0419C"/>
    <w:rsid w:val="5ED23CC7"/>
    <w:rsid w:val="5EE6353D"/>
    <w:rsid w:val="5F0310B7"/>
    <w:rsid w:val="5F0C287E"/>
    <w:rsid w:val="5F5952B0"/>
    <w:rsid w:val="5FB26B7C"/>
    <w:rsid w:val="5FFA30B6"/>
    <w:rsid w:val="60207A75"/>
    <w:rsid w:val="602E28A2"/>
    <w:rsid w:val="60C0423D"/>
    <w:rsid w:val="60E7450D"/>
    <w:rsid w:val="6166406C"/>
    <w:rsid w:val="618F3AF2"/>
    <w:rsid w:val="61DA68DC"/>
    <w:rsid w:val="61E55C20"/>
    <w:rsid w:val="622708C6"/>
    <w:rsid w:val="62460A47"/>
    <w:rsid w:val="62D974FA"/>
    <w:rsid w:val="62DE6AE7"/>
    <w:rsid w:val="63554C8E"/>
    <w:rsid w:val="63890B77"/>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0E496C"/>
    <w:rsid w:val="68191A65"/>
    <w:rsid w:val="683F6B39"/>
    <w:rsid w:val="68D72303"/>
    <w:rsid w:val="68F60924"/>
    <w:rsid w:val="69572330"/>
    <w:rsid w:val="698C4C9E"/>
    <w:rsid w:val="69E719A0"/>
    <w:rsid w:val="6A211B4F"/>
    <w:rsid w:val="6A5B0FA5"/>
    <w:rsid w:val="6A983C35"/>
    <w:rsid w:val="6AB834FC"/>
    <w:rsid w:val="6AD403F0"/>
    <w:rsid w:val="6B4C2F45"/>
    <w:rsid w:val="6B966680"/>
    <w:rsid w:val="6C161AD0"/>
    <w:rsid w:val="6D157AE9"/>
    <w:rsid w:val="6D2E7D50"/>
    <w:rsid w:val="6DD90E21"/>
    <w:rsid w:val="6DE0162F"/>
    <w:rsid w:val="6DFA3383"/>
    <w:rsid w:val="6E1A49C5"/>
    <w:rsid w:val="6E254EA7"/>
    <w:rsid w:val="6E670CA4"/>
    <w:rsid w:val="6EBB30B7"/>
    <w:rsid w:val="6F44559B"/>
    <w:rsid w:val="6F786BDA"/>
    <w:rsid w:val="709573C6"/>
    <w:rsid w:val="709E2354"/>
    <w:rsid w:val="70B52DDA"/>
    <w:rsid w:val="70E70772"/>
    <w:rsid w:val="71900429"/>
    <w:rsid w:val="719027A5"/>
    <w:rsid w:val="71C9496E"/>
    <w:rsid w:val="71EE76F7"/>
    <w:rsid w:val="725F0CAE"/>
    <w:rsid w:val="72981180"/>
    <w:rsid w:val="729C09F9"/>
    <w:rsid w:val="73155C46"/>
    <w:rsid w:val="7366194C"/>
    <w:rsid w:val="73815DDA"/>
    <w:rsid w:val="73A734CB"/>
    <w:rsid w:val="74062834"/>
    <w:rsid w:val="740D552E"/>
    <w:rsid w:val="74136087"/>
    <w:rsid w:val="74820589"/>
    <w:rsid w:val="74A805D6"/>
    <w:rsid w:val="74A870B6"/>
    <w:rsid w:val="74F17D43"/>
    <w:rsid w:val="74FA0674"/>
    <w:rsid w:val="754F1383"/>
    <w:rsid w:val="75DC198B"/>
    <w:rsid w:val="764A2B58"/>
    <w:rsid w:val="76661B90"/>
    <w:rsid w:val="76770E44"/>
    <w:rsid w:val="77731DCC"/>
    <w:rsid w:val="77B301A9"/>
    <w:rsid w:val="77F43C8B"/>
    <w:rsid w:val="78FB1E09"/>
    <w:rsid w:val="79BB4445"/>
    <w:rsid w:val="79C86531"/>
    <w:rsid w:val="79CC1086"/>
    <w:rsid w:val="79EF28EF"/>
    <w:rsid w:val="7A0E66B3"/>
    <w:rsid w:val="7A0F659F"/>
    <w:rsid w:val="7A300713"/>
    <w:rsid w:val="7A3B7268"/>
    <w:rsid w:val="7AB968E7"/>
    <w:rsid w:val="7AC65BFC"/>
    <w:rsid w:val="7B0735D8"/>
    <w:rsid w:val="7B0F7EA2"/>
    <w:rsid w:val="7B2F3DDD"/>
    <w:rsid w:val="7B380FBB"/>
    <w:rsid w:val="7B440A49"/>
    <w:rsid w:val="7B4B41CD"/>
    <w:rsid w:val="7B5A24C6"/>
    <w:rsid w:val="7C6B7290"/>
    <w:rsid w:val="7CCC696B"/>
    <w:rsid w:val="7CDB4C9F"/>
    <w:rsid w:val="7D016D57"/>
    <w:rsid w:val="7D2B624D"/>
    <w:rsid w:val="7E696AB5"/>
    <w:rsid w:val="7E734104"/>
    <w:rsid w:val="7EA630E7"/>
    <w:rsid w:val="7EB61058"/>
    <w:rsid w:val="7ED004CF"/>
    <w:rsid w:val="7EEC3411"/>
    <w:rsid w:val="7F2D39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7528</Words>
  <Characters>7812</Characters>
  <Lines>112</Lines>
  <Paragraphs>31</Paragraphs>
  <TotalTime>143</TotalTime>
  <ScaleCrop>false</ScaleCrop>
  <LinksUpToDate>false</LinksUpToDate>
  <CharactersWithSpaces>7845</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张玲榕</cp:lastModifiedBy>
  <cp:lastPrinted>2021-07-21T07:06:00Z</cp:lastPrinted>
  <dcterms:modified xsi:type="dcterms:W3CDTF">2025-05-15T01:31:15Z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D8F8BEFED6834A7FB2ABC7C12511B0C2</vt:lpwstr>
  </property>
</Properties>
</file>