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eastAsia="黑体"/>
          <w:bCs/>
          <w:sz w:val="36"/>
          <w:szCs w:val="36"/>
        </w:rPr>
      </w:pPr>
      <w:r>
        <w:rPr>
          <w:rFonts w:hint="eastAsia" w:eastAsia="黑体"/>
          <w:bCs/>
          <w:sz w:val="36"/>
          <w:szCs w:val="36"/>
        </w:rPr>
        <w:t>华夏理财合蓝海汇固定收益类理财产品</w:t>
      </w:r>
      <w:r>
        <w:rPr>
          <w:rFonts w:hint="eastAsia" w:eastAsia="黑体"/>
          <w:bCs/>
          <w:sz w:val="36"/>
          <w:szCs w:val="36"/>
          <w:lang w:val="en-US" w:eastAsia="zh-CN"/>
        </w:rPr>
        <w:t>6</w:t>
      </w:r>
      <w:r>
        <w:rPr>
          <w:rFonts w:hint="eastAsia" w:eastAsia="黑体"/>
          <w:bCs/>
          <w:sz w:val="36"/>
          <w:szCs w:val="36"/>
        </w:rPr>
        <w:t>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9"/>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highlight w:val="none"/>
                <w:u w:val="single"/>
              </w:rPr>
            </w:pPr>
            <w:r>
              <w:rPr>
                <w:rFonts w:hint="eastAsia" w:ascii="黑体" w:hAnsi="黑体" w:eastAsia="黑体"/>
                <w:b/>
                <w:sz w:val="28"/>
                <w:szCs w:val="28"/>
                <w:highlight w:val="none"/>
                <w:u w:val="single"/>
              </w:rPr>
              <w:t>一、理财非存款，产品有风险，投资须谨慎。</w:t>
            </w:r>
          </w:p>
          <w:p>
            <w:pPr>
              <w:adjustRightInd w:val="0"/>
              <w:snapToGrid w:val="0"/>
              <w:spacing w:line="400" w:lineRule="exact"/>
              <w:ind w:left="343" w:right="189" w:rightChars="90"/>
              <w:rPr>
                <w:rFonts w:ascii="黑体" w:hAnsi="黑体" w:eastAsia="黑体"/>
                <w:b/>
                <w:sz w:val="28"/>
                <w:szCs w:val="28"/>
                <w:highlight w:val="none"/>
              </w:rPr>
            </w:pPr>
            <w:r>
              <w:rPr>
                <w:rFonts w:hint="eastAsia" w:ascii="黑体" w:hAnsi="黑体" w:eastAsia="黑体"/>
                <w:b/>
                <w:sz w:val="28"/>
                <w:szCs w:val="28"/>
                <w:highlight w:val="none"/>
                <w:u w:val="single"/>
              </w:rPr>
              <w:t>二、本理财产品为非保本浮动收益净值型理财产品，</w:t>
            </w:r>
            <w:r>
              <w:rPr>
                <w:rFonts w:ascii="黑体" w:hAnsi="黑体" w:eastAsia="黑体"/>
                <w:b/>
                <w:sz w:val="28"/>
                <w:szCs w:val="28"/>
                <w:highlight w:val="none"/>
                <w:u w:val="single"/>
              </w:rPr>
              <w:t>华夏</w:t>
            </w:r>
            <w:r>
              <w:rPr>
                <w:rFonts w:hint="eastAsia" w:ascii="黑体" w:hAnsi="黑体" w:eastAsia="黑体"/>
                <w:b/>
                <w:sz w:val="28"/>
                <w:szCs w:val="28"/>
                <w:highlight w:val="none"/>
                <w:u w:val="single"/>
              </w:rPr>
              <w:t>理财</w:t>
            </w:r>
            <w:r>
              <w:rPr>
                <w:rFonts w:ascii="黑体" w:hAnsi="黑体" w:eastAsia="黑体"/>
                <w:b/>
                <w:sz w:val="28"/>
                <w:szCs w:val="28"/>
                <w:highlight w:val="none"/>
                <w:u w:val="single"/>
              </w:rPr>
              <w:t>有限</w:t>
            </w:r>
            <w:r>
              <w:rPr>
                <w:rFonts w:hint="eastAsia" w:ascii="黑体" w:hAnsi="黑体" w:eastAsia="黑体"/>
                <w:b/>
                <w:sz w:val="28"/>
                <w:szCs w:val="28"/>
                <w:highlight w:val="none"/>
                <w:u w:val="single"/>
              </w:rPr>
              <w:t>责任</w:t>
            </w:r>
            <w:r>
              <w:rPr>
                <w:rFonts w:ascii="黑体" w:hAnsi="黑体" w:eastAsia="黑体"/>
                <w:b/>
                <w:sz w:val="28"/>
                <w:szCs w:val="28"/>
                <w:highlight w:val="none"/>
                <w:u w:val="single"/>
              </w:rPr>
              <w:t>公司（以下简称</w:t>
            </w:r>
            <w:r>
              <w:rPr>
                <w:rFonts w:hint="eastAsia" w:ascii="黑体" w:hAnsi="黑体" w:eastAsia="黑体"/>
                <w:b/>
                <w:sz w:val="28"/>
                <w:szCs w:val="28"/>
                <w:highlight w:val="none"/>
                <w:u w:val="single"/>
              </w:rPr>
              <w:t>“</w:t>
            </w:r>
            <w:r>
              <w:rPr>
                <w:rFonts w:ascii="黑体" w:hAnsi="黑体" w:eastAsia="黑体"/>
                <w:b/>
                <w:sz w:val="28"/>
                <w:szCs w:val="28"/>
                <w:highlight w:val="none"/>
                <w:u w:val="single"/>
              </w:rPr>
              <w:t>华夏</w:t>
            </w:r>
            <w:r>
              <w:rPr>
                <w:rFonts w:hint="eastAsia" w:ascii="黑体" w:hAnsi="黑体" w:eastAsia="黑体"/>
                <w:b/>
                <w:sz w:val="28"/>
                <w:szCs w:val="28"/>
                <w:highlight w:val="none"/>
                <w:u w:val="single"/>
              </w:rPr>
              <w:t>理财”</w:t>
            </w:r>
            <w:r>
              <w:rPr>
                <w:rFonts w:ascii="黑体" w:hAnsi="黑体" w:eastAsia="黑体"/>
                <w:b/>
                <w:sz w:val="28"/>
                <w:szCs w:val="28"/>
                <w:highlight w:val="none"/>
                <w:u w:val="single"/>
              </w:rPr>
              <w:t>）不保证理财产品本金及理财收益</w:t>
            </w:r>
            <w:r>
              <w:rPr>
                <w:rFonts w:hint="eastAsia" w:ascii="黑体" w:hAnsi="黑体" w:eastAsia="黑体"/>
                <w:b/>
                <w:sz w:val="28"/>
                <w:szCs w:val="28"/>
                <w:highlight w:val="none"/>
                <w:u w:val="single"/>
              </w:rPr>
              <w:t>。在本理财产品存续期间，除</w:t>
            </w:r>
            <w:r>
              <w:rPr>
                <w:rFonts w:ascii="黑体" w:hAnsi="黑体" w:eastAsia="黑体"/>
                <w:b/>
                <w:sz w:val="28"/>
                <w:szCs w:val="28"/>
                <w:highlight w:val="none"/>
                <w:u w:val="single"/>
              </w:rPr>
              <w:t>本产品说明书约定的特殊情况</w:t>
            </w:r>
            <w:r>
              <w:rPr>
                <w:rFonts w:hint="eastAsia" w:ascii="黑体" w:hAnsi="黑体" w:eastAsia="黑体"/>
                <w:b/>
                <w:sz w:val="28"/>
                <w:szCs w:val="28"/>
                <w:highlight w:val="none"/>
                <w:u w:val="single"/>
              </w:rPr>
              <w:t>外</w:t>
            </w:r>
            <w:r>
              <w:rPr>
                <w:rFonts w:ascii="黑体" w:hAnsi="黑体" w:eastAsia="黑体"/>
                <w:b/>
                <w:sz w:val="28"/>
                <w:szCs w:val="28"/>
                <w:highlight w:val="none"/>
                <w:u w:val="single"/>
              </w:rPr>
              <w:t>，</w:t>
            </w:r>
            <w:r>
              <w:rPr>
                <w:rFonts w:hint="eastAsia" w:ascii="黑体" w:hAnsi="黑体" w:eastAsia="黑体"/>
                <w:b/>
                <w:sz w:val="28"/>
                <w:szCs w:val="28"/>
                <w:highlight w:val="none"/>
                <w:u w:val="single"/>
              </w:rPr>
              <w:t>投资者不能申购、赎回本理财产品。</w:t>
            </w:r>
            <w:r>
              <w:rPr>
                <w:rFonts w:ascii="黑体" w:hAnsi="黑体" w:eastAsia="黑体"/>
                <w:b/>
                <w:sz w:val="28"/>
                <w:szCs w:val="28"/>
                <w:highlight w:val="none"/>
                <w:u w:val="single"/>
              </w:rPr>
              <w:t>投资者</w:t>
            </w:r>
            <w:r>
              <w:rPr>
                <w:rFonts w:hint="eastAsia" w:ascii="黑体" w:hAnsi="黑体" w:eastAsia="黑体"/>
                <w:b/>
                <w:sz w:val="28"/>
                <w:szCs w:val="28"/>
                <w:highlight w:val="none"/>
                <w:u w:val="single"/>
              </w:rPr>
              <w:t>投资本理财产品所</w:t>
            </w:r>
            <w:r>
              <w:rPr>
                <w:rFonts w:ascii="黑体" w:hAnsi="黑体" w:eastAsia="黑体"/>
                <w:b/>
                <w:sz w:val="28"/>
                <w:szCs w:val="28"/>
                <w:highlight w:val="none"/>
                <w:u w:val="single"/>
              </w:rPr>
              <w:t>面临的风险</w:t>
            </w:r>
            <w:r>
              <w:rPr>
                <w:rFonts w:hint="eastAsia" w:ascii="黑体" w:hAnsi="黑体" w:eastAsia="黑体"/>
                <w:b/>
                <w:sz w:val="28"/>
                <w:szCs w:val="28"/>
                <w:highlight w:val="none"/>
                <w:u w:val="single"/>
              </w:rPr>
              <w:t>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w:t>
            </w:r>
            <w:r>
              <w:rPr>
                <w:rFonts w:ascii="黑体" w:hAnsi="黑体" w:eastAsia="黑体"/>
                <w:b/>
                <w:sz w:val="28"/>
                <w:szCs w:val="28"/>
                <w:highlight w:val="none"/>
                <w:u w:val="single"/>
              </w:rPr>
              <w:t>。投资者应在对风险有充分认识基础上</w:t>
            </w:r>
            <w:r>
              <w:rPr>
                <w:rFonts w:hint="eastAsia" w:ascii="黑体" w:hAnsi="黑体" w:eastAsia="黑体"/>
                <w:b/>
                <w:sz w:val="28"/>
                <w:szCs w:val="28"/>
                <w:highlight w:val="none"/>
                <w:u w:val="single"/>
              </w:rPr>
              <w:t>基于自身的独立判断</w:t>
            </w:r>
            <w:r>
              <w:rPr>
                <w:rFonts w:ascii="黑体" w:hAnsi="黑体" w:eastAsia="黑体"/>
                <w:b/>
                <w:sz w:val="28"/>
                <w:szCs w:val="28"/>
                <w:highlight w:val="none"/>
                <w:u w:val="single"/>
              </w:rPr>
              <w:t>谨慎投资</w:t>
            </w:r>
            <w:r>
              <w:rPr>
                <w:rFonts w:hint="eastAsia" w:ascii="黑体" w:hAnsi="黑体" w:eastAsia="黑体"/>
                <w:b/>
                <w:sz w:val="28"/>
                <w:szCs w:val="28"/>
                <w:highlight w:val="none"/>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highlight w:val="none"/>
                <w:u w:val="single"/>
              </w:rPr>
              <w:t>三、</w:t>
            </w:r>
            <w:r>
              <w:rPr>
                <w:rFonts w:ascii="黑体" w:hAnsi="黑体" w:eastAsia="黑体"/>
                <w:b/>
                <w:sz w:val="28"/>
                <w:szCs w:val="28"/>
                <w:highlight w:val="none"/>
                <w:u w:val="single"/>
              </w:rPr>
              <w:t>华夏</w:t>
            </w:r>
            <w:r>
              <w:rPr>
                <w:rFonts w:hint="eastAsia" w:ascii="黑体" w:hAnsi="黑体" w:eastAsia="黑体"/>
                <w:b/>
                <w:sz w:val="28"/>
                <w:szCs w:val="28"/>
                <w:highlight w:val="none"/>
                <w:u w:val="single"/>
              </w:rPr>
              <w:t>理财</w:t>
            </w:r>
            <w:r>
              <w:rPr>
                <w:rFonts w:ascii="黑体" w:hAnsi="黑体" w:eastAsia="黑体"/>
                <w:b/>
                <w:sz w:val="28"/>
                <w:szCs w:val="28"/>
                <w:highlight w:val="none"/>
                <w:u w:val="single"/>
              </w:rPr>
              <w:t>郑重提示：在购买理财产品前，投资者应</w:t>
            </w:r>
            <w:r>
              <w:rPr>
                <w:rFonts w:hint="eastAsia" w:ascii="黑体" w:hAnsi="黑体" w:eastAsia="黑体"/>
                <w:b/>
                <w:sz w:val="28"/>
                <w:szCs w:val="28"/>
                <w:highlight w:val="none"/>
                <w:u w:val="single"/>
              </w:rPr>
              <w:t>仔细阅读本说明书，</w:t>
            </w:r>
            <w:r>
              <w:rPr>
                <w:rFonts w:ascii="黑体" w:hAnsi="黑体" w:eastAsia="黑体"/>
                <w:b/>
                <w:sz w:val="28"/>
                <w:szCs w:val="28"/>
                <w:highlight w:val="none"/>
                <w:u w:val="single"/>
              </w:rPr>
              <w:t>确保自己完全明白</w:t>
            </w:r>
            <w:r>
              <w:rPr>
                <w:rFonts w:hint="eastAsia" w:ascii="黑体" w:hAnsi="黑体" w:eastAsia="黑体"/>
                <w:b/>
                <w:sz w:val="28"/>
                <w:szCs w:val="28"/>
                <w:highlight w:val="none"/>
                <w:u w:val="single"/>
              </w:rPr>
              <w:t>本</w:t>
            </w:r>
            <w:r>
              <w:rPr>
                <w:rFonts w:ascii="黑体" w:hAnsi="黑体" w:eastAsia="黑体"/>
                <w:b/>
                <w:sz w:val="28"/>
                <w:szCs w:val="28"/>
                <w:highlight w:val="none"/>
                <w:u w:val="single"/>
              </w:rPr>
              <w:t>项投资的性质和所涉及的风险，详细了解和审慎评估</w:t>
            </w:r>
            <w:r>
              <w:rPr>
                <w:rFonts w:hint="eastAsia" w:ascii="黑体" w:hAnsi="黑体" w:eastAsia="黑体"/>
                <w:b/>
                <w:sz w:val="28"/>
                <w:szCs w:val="28"/>
                <w:highlight w:val="none"/>
                <w:u w:val="single"/>
              </w:rPr>
              <w:t>本</w:t>
            </w:r>
            <w:r>
              <w:rPr>
                <w:rFonts w:ascii="黑体" w:hAnsi="黑体" w:eastAsia="黑体"/>
                <w:b/>
                <w:sz w:val="28"/>
                <w:szCs w:val="28"/>
                <w:highlight w:val="none"/>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highlight w:val="none"/>
                <w:u w:val="single"/>
              </w:rPr>
              <w:t>。本理财产品的业绩比较基准</w:t>
            </w:r>
            <w:r>
              <w:rPr>
                <w:rFonts w:hint="eastAsia" w:ascii="黑体" w:hAnsi="黑体" w:eastAsia="黑体"/>
                <w:b/>
                <w:sz w:val="28"/>
                <w:szCs w:val="28"/>
                <w:highlight w:val="none"/>
                <w:u w:val="single"/>
                <w:lang w:eastAsia="zh-CN"/>
              </w:rPr>
              <w:t>（</w:t>
            </w:r>
            <w:r>
              <w:rPr>
                <w:rFonts w:hint="eastAsia" w:ascii="黑体" w:hAnsi="黑体" w:eastAsia="黑体"/>
                <w:b/>
                <w:sz w:val="28"/>
                <w:szCs w:val="28"/>
                <w:highlight w:val="none"/>
                <w:u w:val="single"/>
              </w:rPr>
              <w:t>如有</w:t>
            </w:r>
            <w:r>
              <w:rPr>
                <w:rFonts w:hint="eastAsia" w:ascii="黑体" w:hAnsi="黑体" w:eastAsia="黑体"/>
                <w:b/>
                <w:sz w:val="28"/>
                <w:szCs w:val="28"/>
                <w:highlight w:val="none"/>
                <w:u w:val="single"/>
                <w:lang w:eastAsia="zh-CN"/>
              </w:rPr>
              <w:t>）</w:t>
            </w:r>
            <w:r>
              <w:rPr>
                <w:rFonts w:hint="eastAsia" w:ascii="黑体" w:hAnsi="黑体" w:eastAsia="黑体"/>
                <w:b/>
                <w:sz w:val="28"/>
                <w:szCs w:val="28"/>
                <w:highlight w:val="none"/>
                <w:u w:val="single"/>
              </w:rPr>
              <w:t>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highlight w:val="none"/>
                <w:u w:val="single"/>
                <w:lang w:val="en-US" w:eastAsia="zh-CN"/>
              </w:rPr>
              <w:t>五</w:t>
            </w:r>
            <w:r>
              <w:rPr>
                <w:rFonts w:hint="eastAsia" w:ascii="黑体" w:hAnsi="黑体" w:eastAsia="黑体"/>
                <w:b/>
                <w:sz w:val="28"/>
                <w:szCs w:val="28"/>
                <w:highlight w:val="none"/>
                <w:u w:val="single"/>
              </w:rPr>
              <w:t>、本说明书在法律许可的范围内由华夏理财方负责解释。</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9"/>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华夏理财合蓝海汇固定收益类理财产品</w:t>
            </w:r>
            <w:r>
              <w:rPr>
                <w:rFonts w:hint="eastAsia" w:ascii="仿宋" w:hAnsi="仿宋" w:eastAsia="仿宋"/>
                <w:b/>
                <w:bCs/>
                <w:szCs w:val="21"/>
                <w:lang w:val="en-US" w:eastAsia="zh-CN"/>
              </w:rPr>
              <w:t>6</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简称：“华夏理财合蓝海汇固收封闭式</w:t>
            </w:r>
            <w:r>
              <w:rPr>
                <w:rFonts w:hint="eastAsia" w:ascii="仿宋" w:hAnsi="仿宋" w:eastAsia="仿宋"/>
                <w:b/>
                <w:bCs/>
                <w:szCs w:val="21"/>
                <w:lang w:val="en-US" w:eastAsia="zh-CN"/>
              </w:rPr>
              <w:t>6</w:t>
            </w:r>
            <w:r>
              <w:rPr>
                <w:rFonts w:hint="eastAsia" w:ascii="仿宋" w:hAnsi="仿宋" w:eastAsia="仿宋"/>
                <w:b/>
                <w:bCs/>
                <w:szCs w:val="21"/>
              </w:rPr>
              <w:t>号3</w:t>
            </w:r>
            <w:r>
              <w:rPr>
                <w:rFonts w:hint="eastAsia" w:ascii="仿宋" w:hAnsi="仿宋" w:eastAsia="仿宋"/>
                <w:b/>
                <w:bCs/>
                <w:szCs w:val="21"/>
                <w:lang w:val="en-US" w:eastAsia="zh-CN"/>
              </w:rPr>
              <w:t>94</w:t>
            </w:r>
            <w:r>
              <w:rPr>
                <w:rFonts w:hint="eastAsia" w:ascii="仿宋" w:hAnsi="仿宋" w:eastAsia="仿宋"/>
                <w:b/>
                <w:bCs/>
                <w:szCs w:val="21"/>
              </w:rPr>
              <w:t>天（债权）”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default" w:eastAsia="仿宋"/>
                <w:lang w:val="en-US" w:eastAsia="zh-CN"/>
              </w:rPr>
            </w:pPr>
            <w:r>
              <w:rPr>
                <w:rFonts w:hint="eastAsia" w:ascii="仿宋" w:hAnsi="仿宋" w:eastAsia="仿宋"/>
                <w:bCs/>
                <w:szCs w:val="21"/>
              </w:rPr>
              <w:t>25</w:t>
            </w:r>
            <w:r>
              <w:rPr>
                <w:rFonts w:hint="eastAsia" w:ascii="仿宋" w:hAnsi="仿宋" w:eastAsia="仿宋"/>
                <w:bCs/>
                <w:szCs w:val="21"/>
                <w:lang w:val="en-US" w:eastAsia="zh-CN"/>
              </w:rPr>
              <w:t>8</w:t>
            </w:r>
            <w:r>
              <w:rPr>
                <w:rFonts w:hint="eastAsia" w:ascii="仿宋" w:hAnsi="仿宋" w:eastAsia="仿宋"/>
                <w:bCs/>
                <w:szCs w:val="21"/>
              </w:rPr>
              <w:t>2</w:t>
            </w:r>
            <w:r>
              <w:rPr>
                <w:rFonts w:hint="eastAsia" w:ascii="仿宋" w:hAnsi="仿宋" w:eastAsia="仿宋"/>
                <w:bCs/>
                <w:szCs w:val="21"/>
                <w:lang w:val="en-US" w:eastAsia="zh-CN"/>
              </w:rPr>
              <w:t>1018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rPr>
              <w:t>Z700392500</w:t>
            </w:r>
            <w:r>
              <w:rPr>
                <w:rFonts w:hint="eastAsia" w:ascii="仿宋" w:hAnsi="仿宋" w:eastAsia="仿宋"/>
                <w:bCs/>
                <w:szCs w:val="21"/>
                <w:lang w:val="en-US" w:eastAsia="zh-CN"/>
              </w:rPr>
              <w:t>1141</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lang w:eastAsia="zh-CN"/>
              </w:rPr>
              <w:t>【</w:t>
            </w:r>
            <w:r>
              <w:rPr>
                <w:rFonts w:hint="eastAsia" w:ascii="仿宋" w:hAnsi="仿宋" w:eastAsia="仿宋"/>
                <w:bCs/>
                <w:szCs w:val="21"/>
                <w:u w:val="single"/>
              </w:rPr>
              <w:t>CR2（稳健型）、CR3（平衡型）、CR4（进取型）、CR5（激进型）</w:t>
            </w:r>
            <w:r>
              <w:rPr>
                <w:rFonts w:hint="eastAsia" w:ascii="仿宋" w:hAnsi="仿宋" w:eastAsia="仿宋"/>
                <w:bCs/>
                <w:szCs w:val="21"/>
                <w:u w:val="single"/>
                <w:lang w:eastAsia="zh-CN"/>
              </w:rPr>
              <w:t>】</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p>
            <w:pPr>
              <w:adjustRightInd w:val="0"/>
              <w:snapToGrid w:val="0"/>
              <w:spacing w:line="300" w:lineRule="exact"/>
              <w:ind w:firstLine="420" w:firstLineChars="200"/>
              <w:rPr>
                <w:rFonts w:hint="eastAsia" w:ascii="仿宋" w:hAnsi="仿宋" w:eastAsia="仿宋"/>
                <w:b/>
                <w:bCs/>
                <w:szCs w:val="21"/>
              </w:rPr>
            </w:pPr>
            <w:r>
              <w:rPr>
                <w:rFonts w:ascii="仿宋" w:hAnsi="仿宋" w:eastAsia="仿宋"/>
                <w:bCs/>
                <w:szCs w:val="21"/>
                <w:highlight w:val="none"/>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业绩比较基准为</w:t>
            </w:r>
            <w:r>
              <w:rPr>
                <w:rFonts w:hint="eastAsia" w:ascii="仿宋" w:hAnsi="仿宋" w:eastAsia="仿宋" w:cs="Cambria"/>
                <w:bCs/>
                <w:szCs w:val="21"/>
                <w:lang w:val="en-US" w:eastAsia="zh-CN"/>
              </w:rPr>
              <w:t>2.80%</w:t>
            </w:r>
            <w:r>
              <w:rPr>
                <w:rFonts w:hint="eastAsia" w:ascii="仿宋" w:hAnsi="仿宋" w:eastAsia="仿宋" w:cs="Cambria"/>
                <w:bCs/>
                <w:szCs w:val="21"/>
              </w:rPr>
              <w:t>（年化）。产品全部投资于固定收益类资产，以产品投资于存款、债券类资产仓位55%-100%，非标债权类资产仓位0-45%，组合杠杆率100%-200%为例，参考当前债券类资产收益率、非标债权类资产目标收益率，结合灵活期限组合配置策略并扣除各项费用后，综合测算得出上述业绩比较基准。测算示例仅供参考，具体资产投资比例可根据各类资产的收益水平、流动性特征、信用风险等因素动态调整。测算示例仅供参考，具体资产投资比例可根据各类资产的收益水平、流动性特征、信用风险等因素动态调整。</w:t>
            </w:r>
            <w:bookmarkStart w:id="6" w:name="_GoBack"/>
            <w:bookmarkEnd w:id="6"/>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OLE_LINK2" w:colFirst="1" w:colLast="1"/>
            <w:bookmarkStart w:id="2" w:name="OLE_LINK3" w:colFirst="1" w:colLast="1"/>
            <w:bookmarkStart w:id="3"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10</w:t>
            </w:r>
            <w:r>
              <w:rPr>
                <w:rFonts w:hint="eastAsia" w:ascii="仿宋" w:hAnsi="仿宋" w:eastAsia="仿宋"/>
                <w:bCs/>
                <w:szCs w:val="21"/>
              </w:rPr>
              <w:t>月</w:t>
            </w:r>
            <w:r>
              <w:rPr>
                <w:rFonts w:hint="eastAsia" w:ascii="仿宋" w:hAnsi="仿宋" w:eastAsia="仿宋"/>
                <w:bCs/>
                <w:szCs w:val="21"/>
                <w:lang w:val="en-US" w:eastAsia="zh-CN"/>
              </w:rPr>
              <w:t>21</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10</w:t>
            </w:r>
            <w:r>
              <w:rPr>
                <w:rFonts w:hint="eastAsia" w:ascii="仿宋" w:hAnsi="仿宋" w:eastAsia="仿宋"/>
                <w:bCs/>
                <w:szCs w:val="21"/>
              </w:rPr>
              <w:t>月</w:t>
            </w:r>
            <w:r>
              <w:rPr>
                <w:rFonts w:hint="eastAsia" w:ascii="仿宋" w:hAnsi="仿宋" w:eastAsia="仿宋"/>
                <w:bCs/>
                <w:szCs w:val="21"/>
                <w:lang w:val="en-US" w:eastAsia="zh-CN"/>
              </w:rPr>
              <w:t>27</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10</w:t>
            </w:r>
            <w:r>
              <w:rPr>
                <w:rFonts w:hint="eastAsia" w:ascii="仿宋" w:hAnsi="仿宋" w:eastAsia="仿宋"/>
                <w:bCs/>
                <w:szCs w:val="21"/>
              </w:rPr>
              <w:t>月</w:t>
            </w:r>
            <w:r>
              <w:rPr>
                <w:rFonts w:hint="eastAsia" w:ascii="仿宋" w:hAnsi="仿宋" w:eastAsia="仿宋"/>
                <w:bCs/>
                <w:szCs w:val="21"/>
                <w:lang w:val="en-US" w:eastAsia="zh-CN"/>
              </w:rPr>
              <w:t>28</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394</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6</w:t>
            </w:r>
            <w:r>
              <w:rPr>
                <w:rFonts w:hint="eastAsia" w:ascii="仿宋" w:hAnsi="仿宋" w:eastAsia="仿宋"/>
                <w:bCs/>
                <w:szCs w:val="21"/>
              </w:rPr>
              <w:t>年</w:t>
            </w:r>
            <w:r>
              <w:rPr>
                <w:rFonts w:hint="eastAsia" w:ascii="仿宋" w:hAnsi="仿宋" w:eastAsia="仿宋"/>
                <w:bCs/>
                <w:szCs w:val="21"/>
                <w:lang w:val="en-US" w:eastAsia="zh-CN"/>
              </w:rPr>
              <w:t>11</w:t>
            </w:r>
            <w:r>
              <w:rPr>
                <w:rFonts w:hint="eastAsia" w:ascii="仿宋" w:hAnsi="仿宋" w:eastAsia="仿宋"/>
                <w:bCs/>
                <w:szCs w:val="21"/>
              </w:rPr>
              <w:t>月</w:t>
            </w:r>
            <w:r>
              <w:rPr>
                <w:rFonts w:hint="eastAsia" w:ascii="仿宋" w:hAnsi="仿宋" w:eastAsia="仿宋"/>
                <w:bCs/>
                <w:szCs w:val="21"/>
                <w:lang w:val="en-US" w:eastAsia="zh-CN"/>
              </w:rPr>
              <w:t>26</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w:t>
            </w:r>
            <w:r>
              <w:rPr>
                <w:rFonts w:hint="eastAsia" w:ascii="仿宋" w:hAnsi="仿宋" w:eastAsia="仿宋"/>
                <w:bCs/>
                <w:szCs w:val="21"/>
                <w:lang w:val="en-US" w:eastAsia="zh-CN"/>
              </w:rPr>
              <w:t>上限为2.25亿元，</w:t>
            </w:r>
            <w:r>
              <w:rPr>
                <w:rFonts w:ascii="仿宋" w:hAnsi="仿宋" w:eastAsia="仿宋"/>
                <w:bCs/>
                <w:szCs w:val="21"/>
              </w:rPr>
              <w:t>发行规模下限为</w:t>
            </w:r>
            <w:r>
              <w:rPr>
                <w:rFonts w:hint="eastAsia" w:ascii="仿宋" w:hAnsi="仿宋" w:eastAsia="仿宋"/>
                <w:bCs/>
                <w:szCs w:val="21"/>
                <w:lang w:val="en-US" w:eastAsia="zh-CN"/>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0.00</w:t>
            </w:r>
            <w:r>
              <w:rPr>
                <w:rFonts w:hint="eastAsia" w:ascii="仿宋" w:hAnsi="仿宋" w:eastAsia="仿宋"/>
                <w:b/>
                <w:bCs w:val="0"/>
                <w:szCs w:val="21"/>
                <w:lang w:val="en-US" w:eastAsia="zh-CN"/>
              </w:rPr>
              <w:t>1</w:t>
            </w:r>
            <w:r>
              <w:rPr>
                <w:rFonts w:hint="eastAsia" w:ascii="仿宋" w:hAnsi="仿宋" w:eastAsia="仿宋"/>
                <w:b/>
                <w:bCs w:val="0"/>
                <w:szCs w:val="21"/>
              </w:rPr>
              <w:t>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F=E×【0.00</w:t>
            </w:r>
            <w:r>
              <w:rPr>
                <w:rFonts w:hint="eastAsia" w:ascii="仿宋" w:hAnsi="仿宋" w:eastAsia="仿宋"/>
                <w:b/>
                <w:bCs w:val="0"/>
                <w:szCs w:val="21"/>
                <w:lang w:val="en-US" w:eastAsia="zh-CN"/>
              </w:rPr>
              <w:t>1</w:t>
            </w:r>
            <w:r>
              <w:rPr>
                <w:rFonts w:hint="eastAsia" w:ascii="仿宋" w:hAnsi="仿宋" w:eastAsia="仿宋"/>
                <w:b/>
                <w:bCs w:val="0"/>
                <w:szCs w:val="21"/>
              </w:rPr>
              <w:t>3%】</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
                <w:bCs w:val="0"/>
                <w:szCs w:val="21"/>
              </w:rPr>
            </w:pPr>
            <w:r>
              <w:rPr>
                <w:rFonts w:hint="eastAsia" w:ascii="仿宋" w:hAnsi="仿宋" w:eastAsia="仿宋"/>
                <w:b/>
                <w:bCs w:val="0"/>
                <w:szCs w:val="21"/>
              </w:rPr>
              <w:t>0.45%/年，以前一日资产净值为基数，每日计提。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b/>
                <w:szCs w:val="21"/>
              </w:rPr>
              <w:t>F=E×【</w:t>
            </w:r>
            <w:r>
              <w:rPr>
                <w:rFonts w:hint="eastAsia" w:ascii="仿宋" w:hAnsi="仿宋" w:eastAsia="仿宋"/>
                <w:b/>
                <w:bCs w:val="0"/>
                <w:szCs w:val="21"/>
              </w:rPr>
              <w:t>0.45%</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w:t>
            </w:r>
          </w:p>
          <w:p>
            <w:pPr>
              <w:adjustRightInd w:val="0"/>
              <w:snapToGrid w:val="0"/>
              <w:spacing w:line="300" w:lineRule="exact"/>
              <w:ind w:firstLine="420"/>
              <w:jc w:val="left"/>
              <w:rPr>
                <w:b/>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20</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20</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default" w:ascii="仿宋" w:hAnsi="仿宋" w:eastAsia="仿宋"/>
                <w:b w:val="0"/>
                <w:bCs/>
                <w:szCs w:val="21"/>
                <w:lang w:val="en-US" w:eastAsia="zh-CN"/>
              </w:rPr>
            </w:pPr>
            <w:r>
              <w:rPr>
                <w:rFonts w:hint="eastAsia" w:ascii="仿宋" w:hAnsi="仿宋" w:eastAsia="仿宋"/>
                <w:b w:val="0"/>
                <w:bCs/>
                <w:szCs w:val="21"/>
                <w:lang w:val="en-US" w:eastAsia="zh-CN"/>
              </w:rPr>
              <w:t>超额计提基准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本</w:t>
            </w:r>
            <w:r>
              <w:rPr>
                <w:rFonts w:hint="eastAsia" w:ascii="仿宋" w:hAnsi="仿宋" w:eastAsia="仿宋"/>
                <w:b/>
                <w:bCs w:val="0"/>
                <w:szCs w:val="21"/>
                <w:lang w:val="en-US" w:eastAsia="zh-CN"/>
              </w:rPr>
              <w:t>理财</w:t>
            </w:r>
            <w:r>
              <w:rPr>
                <w:rFonts w:hint="eastAsia" w:ascii="仿宋" w:hAnsi="仿宋" w:eastAsia="仿宋"/>
                <w:b/>
                <w:bCs w:val="0"/>
                <w:szCs w:val="21"/>
              </w:rPr>
              <w:t>产品扣除各项费用（包括销售手续费、托管费、固定管理费及其他费用等）后，年化收益率低于或等于超额计提基准，则管理人不收取超额管理费；超过超额计提基准的部分，</w:t>
            </w:r>
            <w:r>
              <w:rPr>
                <w:rFonts w:hint="eastAsia" w:ascii="仿宋" w:hAnsi="仿宋" w:eastAsia="仿宋"/>
                <w:b/>
                <w:bCs w:val="0"/>
                <w:szCs w:val="21"/>
                <w:lang w:val="en-US" w:eastAsia="zh-CN"/>
              </w:rPr>
              <w:t>10%</w:t>
            </w:r>
            <w:r>
              <w:rPr>
                <w:rFonts w:hint="eastAsia" w:ascii="仿宋" w:hAnsi="仿宋" w:eastAsia="仿宋"/>
                <w:b/>
                <w:bCs w:val="0"/>
                <w:szCs w:val="21"/>
              </w:rPr>
              <w:t>归投资人所有，</w:t>
            </w:r>
            <w:r>
              <w:rPr>
                <w:rFonts w:hint="eastAsia" w:ascii="仿宋" w:hAnsi="仿宋" w:eastAsia="仿宋"/>
                <w:b/>
                <w:bCs w:val="0"/>
                <w:szCs w:val="21"/>
                <w:lang w:val="en-US" w:eastAsia="zh-CN"/>
              </w:rPr>
              <w:t>90%</w:t>
            </w:r>
            <w:r>
              <w:rPr>
                <w:rFonts w:hint="eastAsia" w:ascii="仿宋" w:hAnsi="仿宋" w:eastAsia="仿宋"/>
                <w:b/>
                <w:bCs w:val="0"/>
                <w:szCs w:val="21"/>
              </w:rPr>
              <w:t>作为管理人的超额管理</w:t>
            </w:r>
            <w:r>
              <w:rPr>
                <w:rFonts w:hint="eastAsia" w:ascii="仿宋" w:hAnsi="仿宋" w:eastAsia="仿宋"/>
                <w:b/>
                <w:szCs w:val="21"/>
                <w:highlight w:val="none"/>
              </w:rPr>
              <w:t>费</w:t>
            </w:r>
            <w:r>
              <w:rPr>
                <w:rFonts w:hint="eastAsia" w:ascii="仿宋" w:hAnsi="仿宋" w:eastAsia="仿宋"/>
                <w:b/>
                <w:bCs w:val="0"/>
                <w:szCs w:val="21"/>
              </w:rPr>
              <w:t>。</w:t>
            </w:r>
          </w:p>
          <w:p>
            <w:pPr>
              <w:adjustRightInd w:val="0"/>
              <w:snapToGrid w:val="0"/>
              <w:spacing w:line="300" w:lineRule="exact"/>
              <w:ind w:firstLine="420"/>
              <w:rPr>
                <w:rFonts w:hint="eastAsia" w:ascii="仿宋" w:hAnsi="仿宋" w:eastAsia="仿宋"/>
                <w:b/>
                <w:bCs w:val="0"/>
                <w:szCs w:val="21"/>
                <w:lang w:val="en-US" w:eastAsia="zh-CN"/>
              </w:rPr>
            </w:pPr>
            <w:r>
              <w:rPr>
                <w:rFonts w:hint="eastAsia" w:ascii="仿宋" w:hAnsi="仿宋" w:eastAsia="仿宋"/>
                <w:b/>
                <w:bCs w:val="0"/>
                <w:szCs w:val="21"/>
              </w:rPr>
              <w:t>本理财产品超额计提基准为</w:t>
            </w:r>
            <w:r>
              <w:rPr>
                <w:rFonts w:hint="eastAsia" w:ascii="仿宋" w:hAnsi="仿宋" w:eastAsia="仿宋"/>
                <w:b/>
                <w:bCs w:val="0"/>
                <w:szCs w:val="21"/>
                <w:lang w:val="en-US" w:eastAsia="zh-CN"/>
              </w:rPr>
              <w:t>2.80</w:t>
            </w:r>
            <w:r>
              <w:rPr>
                <w:rFonts w:hint="eastAsia" w:ascii="仿宋" w:hAnsi="仿宋" w:eastAsia="仿宋"/>
                <w:b/>
                <w:bCs w:val="0"/>
                <w:szCs w:val="21"/>
              </w:rPr>
              <w:t>%（年化）</w:t>
            </w:r>
            <w:r>
              <w:rPr>
                <w:rFonts w:hint="eastAsia" w:ascii="仿宋" w:hAnsi="仿宋" w:eastAsia="仿宋"/>
                <w:b/>
                <w:bCs w:val="0"/>
                <w:szCs w:val="21"/>
                <w:lang w:val="en-US" w:eastAsia="zh-CN"/>
              </w:rPr>
              <w:t>。</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计算规则详见</w:t>
            </w:r>
            <w:r>
              <w:rPr>
                <w:rFonts w:hint="eastAsia" w:ascii="仿宋" w:hAnsi="仿宋" w:eastAsia="仿宋"/>
                <w:b/>
                <w:bCs w:val="0"/>
                <w:szCs w:val="21"/>
                <w:lang w:eastAsia="zh-CN"/>
              </w:rPr>
              <w:t>“</w:t>
            </w:r>
            <w:r>
              <w:rPr>
                <w:rFonts w:hint="eastAsia" w:ascii="仿宋" w:hAnsi="仿宋" w:eastAsia="仿宋" w:cs="Cambria"/>
                <w:b/>
                <w:szCs w:val="21"/>
              </w:rPr>
              <w:t>超额管理</w:t>
            </w:r>
            <w:r>
              <w:rPr>
                <w:rFonts w:hint="eastAsia" w:ascii="仿宋" w:hAnsi="仿宋" w:eastAsia="仿宋"/>
                <w:b/>
                <w:bCs w:val="0"/>
                <w:szCs w:val="21"/>
                <w:lang w:eastAsia="zh-CN"/>
              </w:rPr>
              <w:t>费”</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val="0"/>
                <w:bCs/>
                <w:szCs w:val="21"/>
                <w:lang w:val="en-US" w:eastAsia="zh-CN"/>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w:t>
            </w:r>
            <w:r>
              <w:rPr>
                <w:rFonts w:hint="eastAsia" w:ascii="仿宋" w:hAnsi="仿宋" w:eastAsia="仿宋" w:cs="Cambria"/>
                <w:b/>
                <w:szCs w:val="21"/>
                <w:lang w:val="en-US" w:eastAsia="zh-CN"/>
              </w:rPr>
              <w:t>理财</w:t>
            </w:r>
            <w:r>
              <w:rPr>
                <w:rFonts w:hint="eastAsia" w:ascii="仿宋" w:hAnsi="仿宋" w:eastAsia="仿宋" w:cs="Cambria"/>
                <w:b/>
                <w:szCs w:val="21"/>
              </w:rPr>
              <w:t>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超额管理费=（年化收益率-超额计提基准）×当期持有天数÷365×</w:t>
            </w:r>
            <w:r>
              <w:rPr>
                <w:rFonts w:hint="eastAsia" w:ascii="仿宋" w:hAnsi="仿宋" w:eastAsia="仿宋" w:cs="Cambria"/>
                <w:b/>
                <w:szCs w:val="21"/>
                <w:lang w:val="en-US" w:eastAsia="zh-CN"/>
              </w:rPr>
              <w:t>9</w:t>
            </w:r>
            <w:r>
              <w:rPr>
                <w:rFonts w:hint="eastAsia" w:ascii="仿宋" w:hAnsi="仿宋" w:eastAsia="仿宋" w:cs="Cambria"/>
                <w:b/>
                <w:szCs w:val="21"/>
              </w:rPr>
              <w:t>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240" w:lineRule="atLeast"/>
              <w:ind w:right="0" w:firstLine="420" w:firstLineChars="0"/>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0" w:firstLine="420" w:firstLineChars="0"/>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p>
    <w:p>
      <w:pPr>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lang w:val="en-US" w:eastAsia="zh-CN"/>
        </w:rPr>
        <w:t>华夏</w:t>
      </w:r>
      <w:r>
        <w:rPr>
          <w:rFonts w:hint="eastAsia" w:ascii="仿宋" w:hAnsi="仿宋" w:eastAsia="仿宋" w:cs="宋体"/>
          <w:color w:val="000000"/>
          <w:kern w:val="0"/>
          <w:sz w:val="24"/>
        </w:rPr>
        <w:t>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法定代表人：杨书剑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示例或类似表述均不具有法律约束力，不等于预期收益，不代表投资者可能获得的实际收益，亦不构成华夏理财/代销机构对本理财产品的任何收益承诺。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w:t>
      </w:r>
      <w:r>
        <w:rPr>
          <w:rFonts w:hint="eastAsia" w:ascii="仿宋" w:hAnsi="仿宋" w:eastAsia="仿宋"/>
          <w:color w:val="auto"/>
          <w:lang w:val="en-US" w:eastAsia="zh-CN"/>
        </w:rPr>
        <w:t>第三方机构</w:t>
      </w:r>
      <w:r>
        <w:rPr>
          <w:rFonts w:hint="eastAsia" w:ascii="仿宋" w:hAnsi="仿宋" w:eastAsia="仿宋"/>
          <w:color w:val="auto"/>
        </w:rPr>
        <w:t>提供的估值价确定公允价值。若</w:t>
      </w:r>
      <w:r>
        <w:rPr>
          <w:rFonts w:hint="eastAsia" w:ascii="仿宋" w:hAnsi="仿宋" w:eastAsia="仿宋"/>
          <w:color w:val="auto"/>
          <w:lang w:eastAsia="zh-CN"/>
        </w:rPr>
        <w:t>第三方机构</w:t>
      </w:r>
      <w:r>
        <w:rPr>
          <w:rFonts w:hint="eastAsia" w:ascii="仿宋" w:hAnsi="仿宋" w:eastAsia="仿宋"/>
          <w:color w:val="auto"/>
        </w:rPr>
        <w:t>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w:t>
      </w:r>
      <w:r>
        <w:rPr>
          <w:rFonts w:hint="eastAsia" w:ascii="仿宋" w:hAnsi="仿宋" w:eastAsia="仿宋"/>
          <w:color w:val="auto"/>
          <w:lang w:val="en-US" w:eastAsia="zh-CN"/>
        </w:rPr>
        <w:t>第三方机构</w:t>
      </w:r>
      <w:r>
        <w:rPr>
          <w:rFonts w:hint="eastAsia" w:ascii="仿宋" w:hAnsi="仿宋" w:eastAsia="仿宋"/>
          <w:color w:val="auto"/>
        </w:rPr>
        <w:t>提供的估值价确定公允价值。若</w:t>
      </w:r>
      <w:r>
        <w:rPr>
          <w:rFonts w:hint="eastAsia" w:ascii="仿宋" w:hAnsi="仿宋" w:eastAsia="仿宋"/>
          <w:color w:val="auto"/>
          <w:lang w:val="en-US" w:eastAsia="zh-CN"/>
        </w:rPr>
        <w:t>第三方机构</w:t>
      </w:r>
      <w:r>
        <w:rPr>
          <w:rFonts w:hint="eastAsia" w:ascii="仿宋" w:hAnsi="仿宋" w:eastAsia="仿宋"/>
          <w:color w:val="auto"/>
        </w:rPr>
        <w:t>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4" w:name="_Hlk76300274"/>
      <w:r>
        <w:rPr>
          <w:rFonts w:hint="eastAsia" w:ascii="Times New Roman" w:eastAsia="黑体" w:cs="Times New Roman"/>
          <w:b/>
          <w:color w:val="auto"/>
        </w:rPr>
        <w:t>所投资的资产</w:t>
      </w:r>
      <w:bookmarkEnd w:id="4"/>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hint="eastAsia" w:ascii="Times New Roman" w:eastAsia="黑体" w:cs="Times New Roman"/>
          <w:b/>
          <w:color w:val="auto"/>
        </w:rPr>
        <w:t>华夏理财/代销机构</w:t>
      </w:r>
      <w:bookmarkEnd w:id="5"/>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numPr>
          <w:ilvl w:val="0"/>
          <w:numId w:val="2"/>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4"/>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w:t>
      </w: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4"/>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4"/>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4"/>
        <w:numPr>
          <w:ilvl w:val="0"/>
          <w:numId w:val="0"/>
        </w:numPr>
        <w:snapToGrid w:val="0"/>
        <w:spacing w:line="276" w:lineRule="auto"/>
        <w:ind w:firstLine="480" w:firstLineChars="0"/>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bCs w:val="0"/>
          <w:kern w:val="0"/>
          <w:sz w:val="24"/>
          <w:szCs w:val="24"/>
          <w:lang w:val="en-US" w:eastAsia="zh-CN" w:bidi="ar-SA"/>
        </w:rPr>
        <w:t>6</w:t>
      </w:r>
      <w:r>
        <w:rPr>
          <w:rFonts w:hint="eastAsia" w:ascii="Times New Roman" w:hAnsi="Times New Roman" w:eastAsia="黑体" w:cs="Times New Roman"/>
          <w:b/>
          <w:bCs w:val="0"/>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4"/>
        <w:numPr>
          <w:ilvl w:val="0"/>
          <w:numId w:val="0"/>
        </w:numPr>
        <w:snapToGrid w:val="0"/>
        <w:spacing w:line="276" w:lineRule="auto"/>
        <w:ind w:firstLine="480" w:firstLineChars="0"/>
        <w:contextualSpacing/>
        <w:jc w:val="both"/>
        <w:rPr>
          <w:rFonts w:hint="eastAsia" w:ascii="Times New Roman" w:hAnsi="Times New Roman" w:eastAsia="黑体" w:cs="Times New Roman"/>
          <w:b/>
          <w:kern w:val="0"/>
          <w:sz w:val="24"/>
          <w:szCs w:val="24"/>
          <w:lang w:val="en-US" w:eastAsia="zh-CN" w:bidi="ar-SA"/>
        </w:rPr>
      </w:pP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AA69FD"/>
    <w:multiLevelType w:val="singleLevel"/>
    <w:tmpl w:val="63AA69FD"/>
    <w:lvl w:ilvl="0" w:tentative="0">
      <w:start w:val="2"/>
      <w:numFmt w:val="chineseCounting"/>
      <w:suff w:val="nothing"/>
      <w:lvlText w:val="%1、"/>
      <w:lvlJc w:val="left"/>
    </w:lvl>
  </w:abstractNum>
  <w:abstractNum w:abstractNumId="1">
    <w:nsid w:val="64C72109"/>
    <w:multiLevelType w:val="singleLevel"/>
    <w:tmpl w:val="64C72109"/>
    <w:lvl w:ilvl="0" w:tentative="0">
      <w:start w:val="1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3FA4"/>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9734B"/>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17D6"/>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5802"/>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5E11C2"/>
    <w:rsid w:val="018C0355"/>
    <w:rsid w:val="020F48EF"/>
    <w:rsid w:val="02417756"/>
    <w:rsid w:val="025A4312"/>
    <w:rsid w:val="02AB476E"/>
    <w:rsid w:val="02E40AD0"/>
    <w:rsid w:val="02F3137F"/>
    <w:rsid w:val="03030388"/>
    <w:rsid w:val="033919DB"/>
    <w:rsid w:val="033A4D39"/>
    <w:rsid w:val="034644C7"/>
    <w:rsid w:val="036558D1"/>
    <w:rsid w:val="037E60EF"/>
    <w:rsid w:val="03D94B6F"/>
    <w:rsid w:val="03F262A7"/>
    <w:rsid w:val="04196F12"/>
    <w:rsid w:val="04435A9E"/>
    <w:rsid w:val="04653B12"/>
    <w:rsid w:val="04950991"/>
    <w:rsid w:val="04FA47D6"/>
    <w:rsid w:val="054B7EFA"/>
    <w:rsid w:val="054E6434"/>
    <w:rsid w:val="0566652C"/>
    <w:rsid w:val="056E5276"/>
    <w:rsid w:val="05831998"/>
    <w:rsid w:val="05D342DD"/>
    <w:rsid w:val="060A409E"/>
    <w:rsid w:val="0610015A"/>
    <w:rsid w:val="06331B3C"/>
    <w:rsid w:val="06605FED"/>
    <w:rsid w:val="066C6455"/>
    <w:rsid w:val="06930C07"/>
    <w:rsid w:val="06CE1059"/>
    <w:rsid w:val="07001921"/>
    <w:rsid w:val="072859C3"/>
    <w:rsid w:val="07692EB6"/>
    <w:rsid w:val="07853686"/>
    <w:rsid w:val="079A3378"/>
    <w:rsid w:val="07B45D81"/>
    <w:rsid w:val="07C26F1E"/>
    <w:rsid w:val="07C52B3D"/>
    <w:rsid w:val="07D6576F"/>
    <w:rsid w:val="07E51DB9"/>
    <w:rsid w:val="07F1682B"/>
    <w:rsid w:val="08064FC2"/>
    <w:rsid w:val="080D6F41"/>
    <w:rsid w:val="087F1553"/>
    <w:rsid w:val="08A87A0E"/>
    <w:rsid w:val="08BE4307"/>
    <w:rsid w:val="08D300AE"/>
    <w:rsid w:val="09277EEB"/>
    <w:rsid w:val="096506FA"/>
    <w:rsid w:val="096B558A"/>
    <w:rsid w:val="0997730F"/>
    <w:rsid w:val="09B80512"/>
    <w:rsid w:val="0A01440A"/>
    <w:rsid w:val="0A513B0D"/>
    <w:rsid w:val="0A5478A3"/>
    <w:rsid w:val="0A7B7656"/>
    <w:rsid w:val="0A983E05"/>
    <w:rsid w:val="0AB822A5"/>
    <w:rsid w:val="0B2F5153"/>
    <w:rsid w:val="0B3A7B24"/>
    <w:rsid w:val="0B7E3933"/>
    <w:rsid w:val="0BA804BB"/>
    <w:rsid w:val="0C223A75"/>
    <w:rsid w:val="0CB06B5C"/>
    <w:rsid w:val="0CCF6CA3"/>
    <w:rsid w:val="0D3600BA"/>
    <w:rsid w:val="0D6C5F44"/>
    <w:rsid w:val="0DD32259"/>
    <w:rsid w:val="0E0830D2"/>
    <w:rsid w:val="0E4526AE"/>
    <w:rsid w:val="0E73282A"/>
    <w:rsid w:val="0EDC20A0"/>
    <w:rsid w:val="0EF43DB9"/>
    <w:rsid w:val="0F850895"/>
    <w:rsid w:val="0FAD1DC8"/>
    <w:rsid w:val="0FBD0096"/>
    <w:rsid w:val="102F133E"/>
    <w:rsid w:val="104615A6"/>
    <w:rsid w:val="10510955"/>
    <w:rsid w:val="10987645"/>
    <w:rsid w:val="10B272CB"/>
    <w:rsid w:val="10ED247D"/>
    <w:rsid w:val="10FE470B"/>
    <w:rsid w:val="110764BF"/>
    <w:rsid w:val="113A6DA1"/>
    <w:rsid w:val="113D243D"/>
    <w:rsid w:val="114758B1"/>
    <w:rsid w:val="11921C3C"/>
    <w:rsid w:val="119A5652"/>
    <w:rsid w:val="11BA7B51"/>
    <w:rsid w:val="11D770EC"/>
    <w:rsid w:val="12043C55"/>
    <w:rsid w:val="120F1E2C"/>
    <w:rsid w:val="1223280C"/>
    <w:rsid w:val="124E3A24"/>
    <w:rsid w:val="12540566"/>
    <w:rsid w:val="126A0750"/>
    <w:rsid w:val="12946645"/>
    <w:rsid w:val="12D3200B"/>
    <w:rsid w:val="12D80F09"/>
    <w:rsid w:val="13495D69"/>
    <w:rsid w:val="135B79B3"/>
    <w:rsid w:val="13867BD3"/>
    <w:rsid w:val="13AB6DD5"/>
    <w:rsid w:val="13B7767A"/>
    <w:rsid w:val="13B9670D"/>
    <w:rsid w:val="13C94B08"/>
    <w:rsid w:val="13DE4767"/>
    <w:rsid w:val="14436D9F"/>
    <w:rsid w:val="14484DCB"/>
    <w:rsid w:val="14633BDB"/>
    <w:rsid w:val="14852776"/>
    <w:rsid w:val="15140BCE"/>
    <w:rsid w:val="1584793E"/>
    <w:rsid w:val="15874EAA"/>
    <w:rsid w:val="15C47445"/>
    <w:rsid w:val="15DF45C9"/>
    <w:rsid w:val="15E41B70"/>
    <w:rsid w:val="16440A35"/>
    <w:rsid w:val="16577530"/>
    <w:rsid w:val="16640176"/>
    <w:rsid w:val="167255CF"/>
    <w:rsid w:val="16840173"/>
    <w:rsid w:val="16FB6F37"/>
    <w:rsid w:val="173575D5"/>
    <w:rsid w:val="17825A05"/>
    <w:rsid w:val="17A26163"/>
    <w:rsid w:val="17D31FDC"/>
    <w:rsid w:val="17D76C2B"/>
    <w:rsid w:val="17F8769D"/>
    <w:rsid w:val="18041AB4"/>
    <w:rsid w:val="1812072F"/>
    <w:rsid w:val="182B2F3F"/>
    <w:rsid w:val="188A34CF"/>
    <w:rsid w:val="18FE2618"/>
    <w:rsid w:val="190F268E"/>
    <w:rsid w:val="19287585"/>
    <w:rsid w:val="19610BFF"/>
    <w:rsid w:val="19953307"/>
    <w:rsid w:val="19A07D04"/>
    <w:rsid w:val="19AD7003"/>
    <w:rsid w:val="19F86E7F"/>
    <w:rsid w:val="1AAF4AC2"/>
    <w:rsid w:val="1AB13D5A"/>
    <w:rsid w:val="1B2C6F2C"/>
    <w:rsid w:val="1B365748"/>
    <w:rsid w:val="1B4B6074"/>
    <w:rsid w:val="1B5D5F33"/>
    <w:rsid w:val="1B9B57CD"/>
    <w:rsid w:val="1BA24967"/>
    <w:rsid w:val="1BAF6A57"/>
    <w:rsid w:val="1BC23B97"/>
    <w:rsid w:val="1BCE5D96"/>
    <w:rsid w:val="1BD77DA2"/>
    <w:rsid w:val="1BDC4241"/>
    <w:rsid w:val="1BDE2098"/>
    <w:rsid w:val="1BE069CA"/>
    <w:rsid w:val="1BFB2D9C"/>
    <w:rsid w:val="1C465E86"/>
    <w:rsid w:val="1C470F75"/>
    <w:rsid w:val="1C607D7E"/>
    <w:rsid w:val="1C726314"/>
    <w:rsid w:val="1C8B0511"/>
    <w:rsid w:val="1CDB3C40"/>
    <w:rsid w:val="1CE252F3"/>
    <w:rsid w:val="1D0662A6"/>
    <w:rsid w:val="1D104FDC"/>
    <w:rsid w:val="1D117096"/>
    <w:rsid w:val="1D1B764B"/>
    <w:rsid w:val="1D5F0211"/>
    <w:rsid w:val="1DE516B8"/>
    <w:rsid w:val="1E047274"/>
    <w:rsid w:val="1E2F7887"/>
    <w:rsid w:val="1E433C85"/>
    <w:rsid w:val="1E5F64C8"/>
    <w:rsid w:val="1EAB2B1F"/>
    <w:rsid w:val="1ED877DF"/>
    <w:rsid w:val="1F0B3DFE"/>
    <w:rsid w:val="1F5522A7"/>
    <w:rsid w:val="1F9B39A9"/>
    <w:rsid w:val="1FD45CE1"/>
    <w:rsid w:val="1FF41399"/>
    <w:rsid w:val="203B3310"/>
    <w:rsid w:val="208244E5"/>
    <w:rsid w:val="20F111F7"/>
    <w:rsid w:val="20F91BA5"/>
    <w:rsid w:val="212E191A"/>
    <w:rsid w:val="21433609"/>
    <w:rsid w:val="214D162F"/>
    <w:rsid w:val="21684544"/>
    <w:rsid w:val="21DE0D16"/>
    <w:rsid w:val="22171129"/>
    <w:rsid w:val="22245E0F"/>
    <w:rsid w:val="222D0D62"/>
    <w:rsid w:val="22551E62"/>
    <w:rsid w:val="227D729C"/>
    <w:rsid w:val="2350568B"/>
    <w:rsid w:val="237F35E5"/>
    <w:rsid w:val="23A50D24"/>
    <w:rsid w:val="23E44373"/>
    <w:rsid w:val="23F947F3"/>
    <w:rsid w:val="242806AA"/>
    <w:rsid w:val="242C6FD0"/>
    <w:rsid w:val="24392A65"/>
    <w:rsid w:val="2467066D"/>
    <w:rsid w:val="246E4EF8"/>
    <w:rsid w:val="24D6490F"/>
    <w:rsid w:val="24E91956"/>
    <w:rsid w:val="252E26F1"/>
    <w:rsid w:val="25556F4C"/>
    <w:rsid w:val="255C100E"/>
    <w:rsid w:val="25865E86"/>
    <w:rsid w:val="25C3267A"/>
    <w:rsid w:val="25D568B4"/>
    <w:rsid w:val="25EF5F74"/>
    <w:rsid w:val="25F33B9E"/>
    <w:rsid w:val="260C731E"/>
    <w:rsid w:val="260E5AEA"/>
    <w:rsid w:val="26103F21"/>
    <w:rsid w:val="272C04B1"/>
    <w:rsid w:val="274A3F0E"/>
    <w:rsid w:val="27914154"/>
    <w:rsid w:val="27C604DA"/>
    <w:rsid w:val="27DC6AC2"/>
    <w:rsid w:val="27EA63D1"/>
    <w:rsid w:val="28682C0C"/>
    <w:rsid w:val="287A5D0E"/>
    <w:rsid w:val="28B05EE9"/>
    <w:rsid w:val="28D30187"/>
    <w:rsid w:val="28D53151"/>
    <w:rsid w:val="28E571A8"/>
    <w:rsid w:val="28F37DC5"/>
    <w:rsid w:val="29216629"/>
    <w:rsid w:val="294C4E21"/>
    <w:rsid w:val="296D4B02"/>
    <w:rsid w:val="29D46607"/>
    <w:rsid w:val="2A0B3707"/>
    <w:rsid w:val="2A103412"/>
    <w:rsid w:val="2A1E1418"/>
    <w:rsid w:val="2A770C99"/>
    <w:rsid w:val="2A7A5040"/>
    <w:rsid w:val="2AF67748"/>
    <w:rsid w:val="2B120033"/>
    <w:rsid w:val="2BBB2833"/>
    <w:rsid w:val="2BC42334"/>
    <w:rsid w:val="2C1011CD"/>
    <w:rsid w:val="2C374208"/>
    <w:rsid w:val="2C40390A"/>
    <w:rsid w:val="2C4C703B"/>
    <w:rsid w:val="2C5064CD"/>
    <w:rsid w:val="2CCA7340"/>
    <w:rsid w:val="2CE37AF2"/>
    <w:rsid w:val="2D241337"/>
    <w:rsid w:val="2D753D30"/>
    <w:rsid w:val="2DB6436A"/>
    <w:rsid w:val="2DC02129"/>
    <w:rsid w:val="2DD51336"/>
    <w:rsid w:val="2E010168"/>
    <w:rsid w:val="2E016F46"/>
    <w:rsid w:val="2E6A7D66"/>
    <w:rsid w:val="2EA605F1"/>
    <w:rsid w:val="2EA972CC"/>
    <w:rsid w:val="2EC31B75"/>
    <w:rsid w:val="2F3F2EE3"/>
    <w:rsid w:val="2FE72027"/>
    <w:rsid w:val="306A1371"/>
    <w:rsid w:val="306B36D0"/>
    <w:rsid w:val="30BD6A03"/>
    <w:rsid w:val="3127549C"/>
    <w:rsid w:val="313C780A"/>
    <w:rsid w:val="31533557"/>
    <w:rsid w:val="319F6FF6"/>
    <w:rsid w:val="31B41A9A"/>
    <w:rsid w:val="31C74937"/>
    <w:rsid w:val="31F02E84"/>
    <w:rsid w:val="32062205"/>
    <w:rsid w:val="322068C9"/>
    <w:rsid w:val="326170B4"/>
    <w:rsid w:val="328F3B54"/>
    <w:rsid w:val="32933F8F"/>
    <w:rsid w:val="329A11A0"/>
    <w:rsid w:val="329A24F3"/>
    <w:rsid w:val="32E33E0A"/>
    <w:rsid w:val="32FF7EB7"/>
    <w:rsid w:val="33424079"/>
    <w:rsid w:val="335B3B50"/>
    <w:rsid w:val="33A6484B"/>
    <w:rsid w:val="34126396"/>
    <w:rsid w:val="343F1DC8"/>
    <w:rsid w:val="345352E6"/>
    <w:rsid w:val="345E593B"/>
    <w:rsid w:val="34605A84"/>
    <w:rsid w:val="346C230B"/>
    <w:rsid w:val="35034F52"/>
    <w:rsid w:val="352C602C"/>
    <w:rsid w:val="35353A80"/>
    <w:rsid w:val="35A430D6"/>
    <w:rsid w:val="35B16527"/>
    <w:rsid w:val="35B51481"/>
    <w:rsid w:val="35D91AC7"/>
    <w:rsid w:val="366535ED"/>
    <w:rsid w:val="36B76A85"/>
    <w:rsid w:val="36B82ADE"/>
    <w:rsid w:val="36D84DBF"/>
    <w:rsid w:val="372574DE"/>
    <w:rsid w:val="376879F0"/>
    <w:rsid w:val="378F057D"/>
    <w:rsid w:val="379B4B31"/>
    <w:rsid w:val="37C430AA"/>
    <w:rsid w:val="37CD5081"/>
    <w:rsid w:val="37EC4B4C"/>
    <w:rsid w:val="3858774F"/>
    <w:rsid w:val="387B665C"/>
    <w:rsid w:val="396159B3"/>
    <w:rsid w:val="39690814"/>
    <w:rsid w:val="39AE279C"/>
    <w:rsid w:val="39B76C90"/>
    <w:rsid w:val="39C37A55"/>
    <w:rsid w:val="39C53B44"/>
    <w:rsid w:val="39EF39C3"/>
    <w:rsid w:val="3A021304"/>
    <w:rsid w:val="3A23092B"/>
    <w:rsid w:val="3A35598B"/>
    <w:rsid w:val="3A595F4B"/>
    <w:rsid w:val="3A813FE5"/>
    <w:rsid w:val="3A9D0C11"/>
    <w:rsid w:val="3AC24382"/>
    <w:rsid w:val="3AD9578B"/>
    <w:rsid w:val="3B257305"/>
    <w:rsid w:val="3B3F505E"/>
    <w:rsid w:val="3B4C73CF"/>
    <w:rsid w:val="3BC55932"/>
    <w:rsid w:val="3BFA0F67"/>
    <w:rsid w:val="3C2D51C9"/>
    <w:rsid w:val="3C7826C2"/>
    <w:rsid w:val="3C8F2051"/>
    <w:rsid w:val="3C920B4D"/>
    <w:rsid w:val="3CA07403"/>
    <w:rsid w:val="3CD87A38"/>
    <w:rsid w:val="3D763612"/>
    <w:rsid w:val="3D83215E"/>
    <w:rsid w:val="3DF76443"/>
    <w:rsid w:val="3DFF3A1A"/>
    <w:rsid w:val="3E510EFC"/>
    <w:rsid w:val="3E5B1D19"/>
    <w:rsid w:val="3EA946F7"/>
    <w:rsid w:val="3ED615CF"/>
    <w:rsid w:val="3EEC674A"/>
    <w:rsid w:val="3F8907F6"/>
    <w:rsid w:val="3F8B7D7F"/>
    <w:rsid w:val="3FDA33E1"/>
    <w:rsid w:val="3FF20B0E"/>
    <w:rsid w:val="402A08D4"/>
    <w:rsid w:val="40670EF7"/>
    <w:rsid w:val="40682937"/>
    <w:rsid w:val="40974D22"/>
    <w:rsid w:val="40AB1A12"/>
    <w:rsid w:val="40EF3A4A"/>
    <w:rsid w:val="41012626"/>
    <w:rsid w:val="415249F8"/>
    <w:rsid w:val="41563492"/>
    <w:rsid w:val="416236D8"/>
    <w:rsid w:val="417575F2"/>
    <w:rsid w:val="41BD7655"/>
    <w:rsid w:val="41CC7DB7"/>
    <w:rsid w:val="423179A5"/>
    <w:rsid w:val="42771BBE"/>
    <w:rsid w:val="42C36006"/>
    <w:rsid w:val="42CD30A6"/>
    <w:rsid w:val="42CF029B"/>
    <w:rsid w:val="42F60353"/>
    <w:rsid w:val="438556A7"/>
    <w:rsid w:val="43A6228A"/>
    <w:rsid w:val="446369C0"/>
    <w:rsid w:val="449B7167"/>
    <w:rsid w:val="44CC2C77"/>
    <w:rsid w:val="4524487F"/>
    <w:rsid w:val="45C239E1"/>
    <w:rsid w:val="45CC078F"/>
    <w:rsid w:val="466B6F06"/>
    <w:rsid w:val="46860155"/>
    <w:rsid w:val="471C5122"/>
    <w:rsid w:val="473C7E58"/>
    <w:rsid w:val="476049FD"/>
    <w:rsid w:val="47802A85"/>
    <w:rsid w:val="47933B86"/>
    <w:rsid w:val="48140BCB"/>
    <w:rsid w:val="481C3DAF"/>
    <w:rsid w:val="48487C68"/>
    <w:rsid w:val="487C60FD"/>
    <w:rsid w:val="489B2425"/>
    <w:rsid w:val="489E098C"/>
    <w:rsid w:val="48B61CC6"/>
    <w:rsid w:val="48E45B65"/>
    <w:rsid w:val="48E87129"/>
    <w:rsid w:val="492A5B50"/>
    <w:rsid w:val="49321AAF"/>
    <w:rsid w:val="493A681C"/>
    <w:rsid w:val="493C2E02"/>
    <w:rsid w:val="494C0FE7"/>
    <w:rsid w:val="494D579F"/>
    <w:rsid w:val="4965762F"/>
    <w:rsid w:val="498C1FB1"/>
    <w:rsid w:val="4A255416"/>
    <w:rsid w:val="4A295537"/>
    <w:rsid w:val="4A937164"/>
    <w:rsid w:val="4A9750EA"/>
    <w:rsid w:val="4AA40703"/>
    <w:rsid w:val="4AB52EDF"/>
    <w:rsid w:val="4AF936AE"/>
    <w:rsid w:val="4B1D70C8"/>
    <w:rsid w:val="4B690413"/>
    <w:rsid w:val="4B924FD0"/>
    <w:rsid w:val="4BB86F47"/>
    <w:rsid w:val="4BF60566"/>
    <w:rsid w:val="4C263A21"/>
    <w:rsid w:val="4C4C2439"/>
    <w:rsid w:val="4C802F77"/>
    <w:rsid w:val="4C81111A"/>
    <w:rsid w:val="4C973694"/>
    <w:rsid w:val="4CCE54E6"/>
    <w:rsid w:val="4D5D4C67"/>
    <w:rsid w:val="4D9A2B3C"/>
    <w:rsid w:val="4DD04BB2"/>
    <w:rsid w:val="4E105C1A"/>
    <w:rsid w:val="4E4D03ED"/>
    <w:rsid w:val="4E7C7A4F"/>
    <w:rsid w:val="4EDD4EDE"/>
    <w:rsid w:val="4EE45C33"/>
    <w:rsid w:val="4EED4C04"/>
    <w:rsid w:val="4F323CFA"/>
    <w:rsid w:val="4FB777D7"/>
    <w:rsid w:val="4FB84693"/>
    <w:rsid w:val="4FC908A2"/>
    <w:rsid w:val="50081263"/>
    <w:rsid w:val="500C5A60"/>
    <w:rsid w:val="50461117"/>
    <w:rsid w:val="509A5F14"/>
    <w:rsid w:val="50A50E08"/>
    <w:rsid w:val="50C33072"/>
    <w:rsid w:val="50D96154"/>
    <w:rsid w:val="515769F5"/>
    <w:rsid w:val="51844BB9"/>
    <w:rsid w:val="518667AD"/>
    <w:rsid w:val="51954E8A"/>
    <w:rsid w:val="519B5496"/>
    <w:rsid w:val="51C724FA"/>
    <w:rsid w:val="51C81042"/>
    <w:rsid w:val="523D68E9"/>
    <w:rsid w:val="52667895"/>
    <w:rsid w:val="52B20439"/>
    <w:rsid w:val="52B95D52"/>
    <w:rsid w:val="53080EFD"/>
    <w:rsid w:val="5341023D"/>
    <w:rsid w:val="53735224"/>
    <w:rsid w:val="537D24F6"/>
    <w:rsid w:val="53A260CE"/>
    <w:rsid w:val="54194509"/>
    <w:rsid w:val="542B039A"/>
    <w:rsid w:val="542C519E"/>
    <w:rsid w:val="543C05E0"/>
    <w:rsid w:val="54B9651A"/>
    <w:rsid w:val="54F9389F"/>
    <w:rsid w:val="55222910"/>
    <w:rsid w:val="5556068C"/>
    <w:rsid w:val="55643FAD"/>
    <w:rsid w:val="559032FC"/>
    <w:rsid w:val="55E27377"/>
    <w:rsid w:val="55EF2193"/>
    <w:rsid w:val="560165A7"/>
    <w:rsid w:val="560B3FD6"/>
    <w:rsid w:val="56195379"/>
    <w:rsid w:val="562A6467"/>
    <w:rsid w:val="563121A3"/>
    <w:rsid w:val="563A5292"/>
    <w:rsid w:val="5646747A"/>
    <w:rsid w:val="565C1C2A"/>
    <w:rsid w:val="56723C2B"/>
    <w:rsid w:val="567B0F8C"/>
    <w:rsid w:val="56D476A1"/>
    <w:rsid w:val="574328BF"/>
    <w:rsid w:val="57EF3397"/>
    <w:rsid w:val="584667E1"/>
    <w:rsid w:val="5884596F"/>
    <w:rsid w:val="58E1781D"/>
    <w:rsid w:val="597162CE"/>
    <w:rsid w:val="598336AE"/>
    <w:rsid w:val="599B3F0F"/>
    <w:rsid w:val="59A2047A"/>
    <w:rsid w:val="5A41650D"/>
    <w:rsid w:val="5A4960B6"/>
    <w:rsid w:val="5A4C5C31"/>
    <w:rsid w:val="5A7852B1"/>
    <w:rsid w:val="5A9A631A"/>
    <w:rsid w:val="5AA97C90"/>
    <w:rsid w:val="5AE4319D"/>
    <w:rsid w:val="5AF35808"/>
    <w:rsid w:val="5B2B6EDA"/>
    <w:rsid w:val="5BAE0CE2"/>
    <w:rsid w:val="5BF37EFC"/>
    <w:rsid w:val="5C7E5C8C"/>
    <w:rsid w:val="5CE90207"/>
    <w:rsid w:val="5CEA4265"/>
    <w:rsid w:val="5D2B5865"/>
    <w:rsid w:val="5DAA0B36"/>
    <w:rsid w:val="5E3B759B"/>
    <w:rsid w:val="5E501568"/>
    <w:rsid w:val="5E50611E"/>
    <w:rsid w:val="5EB138AE"/>
    <w:rsid w:val="5EB53035"/>
    <w:rsid w:val="5ED23CC7"/>
    <w:rsid w:val="5EE6353D"/>
    <w:rsid w:val="5EE7053E"/>
    <w:rsid w:val="5F0310B7"/>
    <w:rsid w:val="5F0C287E"/>
    <w:rsid w:val="5F125F0A"/>
    <w:rsid w:val="5F1655AE"/>
    <w:rsid w:val="5F55505C"/>
    <w:rsid w:val="5F5952B0"/>
    <w:rsid w:val="5FE12DAA"/>
    <w:rsid w:val="602E28A2"/>
    <w:rsid w:val="60C0423D"/>
    <w:rsid w:val="60E05058"/>
    <w:rsid w:val="60E7450D"/>
    <w:rsid w:val="611F69AA"/>
    <w:rsid w:val="613528A2"/>
    <w:rsid w:val="6166406C"/>
    <w:rsid w:val="618F3AF2"/>
    <w:rsid w:val="61DA68DC"/>
    <w:rsid w:val="61E142B8"/>
    <w:rsid w:val="61FC1FED"/>
    <w:rsid w:val="622708C6"/>
    <w:rsid w:val="62460A47"/>
    <w:rsid w:val="63554C8E"/>
    <w:rsid w:val="63890B77"/>
    <w:rsid w:val="63970830"/>
    <w:rsid w:val="639D1EC4"/>
    <w:rsid w:val="63A13700"/>
    <w:rsid w:val="63D100AF"/>
    <w:rsid w:val="63DA03E2"/>
    <w:rsid w:val="64541B77"/>
    <w:rsid w:val="64667487"/>
    <w:rsid w:val="647664A0"/>
    <w:rsid w:val="649A0FD6"/>
    <w:rsid w:val="64E9282A"/>
    <w:rsid w:val="653B039A"/>
    <w:rsid w:val="65C63D9B"/>
    <w:rsid w:val="65E27827"/>
    <w:rsid w:val="65E9134C"/>
    <w:rsid w:val="65F16B35"/>
    <w:rsid w:val="66103AAA"/>
    <w:rsid w:val="667640C4"/>
    <w:rsid w:val="66DC24A5"/>
    <w:rsid w:val="66DF3B52"/>
    <w:rsid w:val="672963E0"/>
    <w:rsid w:val="67363836"/>
    <w:rsid w:val="675A4556"/>
    <w:rsid w:val="675C47D1"/>
    <w:rsid w:val="675E5725"/>
    <w:rsid w:val="679271B5"/>
    <w:rsid w:val="67936D67"/>
    <w:rsid w:val="67A01A11"/>
    <w:rsid w:val="67AE1BA6"/>
    <w:rsid w:val="67CA5556"/>
    <w:rsid w:val="68191A65"/>
    <w:rsid w:val="681D37A3"/>
    <w:rsid w:val="68481A97"/>
    <w:rsid w:val="68665F04"/>
    <w:rsid w:val="68F60924"/>
    <w:rsid w:val="69572330"/>
    <w:rsid w:val="695C0218"/>
    <w:rsid w:val="698C4C9E"/>
    <w:rsid w:val="69E719A0"/>
    <w:rsid w:val="69F546A4"/>
    <w:rsid w:val="6A5B0FA5"/>
    <w:rsid w:val="6A983C35"/>
    <w:rsid w:val="6AAC3F8C"/>
    <w:rsid w:val="6B4C2F45"/>
    <w:rsid w:val="6B547AE4"/>
    <w:rsid w:val="6B557219"/>
    <w:rsid w:val="6B966680"/>
    <w:rsid w:val="6BFC0964"/>
    <w:rsid w:val="6BFE44B9"/>
    <w:rsid w:val="6C00646D"/>
    <w:rsid w:val="6C026743"/>
    <w:rsid w:val="6C161AD0"/>
    <w:rsid w:val="6C481134"/>
    <w:rsid w:val="6D157AE9"/>
    <w:rsid w:val="6D2C2EC2"/>
    <w:rsid w:val="6D2E7D50"/>
    <w:rsid w:val="6D6B10A9"/>
    <w:rsid w:val="6D6D5995"/>
    <w:rsid w:val="6D9938C6"/>
    <w:rsid w:val="6DD90E21"/>
    <w:rsid w:val="6DE0162F"/>
    <w:rsid w:val="6DFA3383"/>
    <w:rsid w:val="6E062488"/>
    <w:rsid w:val="6E1A49C5"/>
    <w:rsid w:val="6E254EA7"/>
    <w:rsid w:val="6E4B2AEB"/>
    <w:rsid w:val="6EBA3C47"/>
    <w:rsid w:val="6EBB30B7"/>
    <w:rsid w:val="6EDD7336"/>
    <w:rsid w:val="6F191C5C"/>
    <w:rsid w:val="6F44586C"/>
    <w:rsid w:val="6F463DFE"/>
    <w:rsid w:val="6F571B7E"/>
    <w:rsid w:val="6F786BDA"/>
    <w:rsid w:val="6FA72F94"/>
    <w:rsid w:val="6FD6294A"/>
    <w:rsid w:val="7008422B"/>
    <w:rsid w:val="70113542"/>
    <w:rsid w:val="70851CBD"/>
    <w:rsid w:val="709573C6"/>
    <w:rsid w:val="709E2354"/>
    <w:rsid w:val="70C35292"/>
    <w:rsid w:val="70E70772"/>
    <w:rsid w:val="716A0EC8"/>
    <w:rsid w:val="717D4A37"/>
    <w:rsid w:val="718F50E7"/>
    <w:rsid w:val="71900429"/>
    <w:rsid w:val="719027A5"/>
    <w:rsid w:val="71997FEE"/>
    <w:rsid w:val="71C9496E"/>
    <w:rsid w:val="71EE76F7"/>
    <w:rsid w:val="725F0CAE"/>
    <w:rsid w:val="72981180"/>
    <w:rsid w:val="729C09F9"/>
    <w:rsid w:val="72BD3BD8"/>
    <w:rsid w:val="73001A15"/>
    <w:rsid w:val="73155C46"/>
    <w:rsid w:val="7366194C"/>
    <w:rsid w:val="737329B0"/>
    <w:rsid w:val="737416FC"/>
    <w:rsid w:val="74062834"/>
    <w:rsid w:val="740D552E"/>
    <w:rsid w:val="74136087"/>
    <w:rsid w:val="743B625A"/>
    <w:rsid w:val="7443680B"/>
    <w:rsid w:val="745500EB"/>
    <w:rsid w:val="74726249"/>
    <w:rsid w:val="7480197C"/>
    <w:rsid w:val="74837F17"/>
    <w:rsid w:val="74A805D6"/>
    <w:rsid w:val="74A870B6"/>
    <w:rsid w:val="74EC6D1E"/>
    <w:rsid w:val="74FA0674"/>
    <w:rsid w:val="75385547"/>
    <w:rsid w:val="754F1383"/>
    <w:rsid w:val="75984731"/>
    <w:rsid w:val="75B75E07"/>
    <w:rsid w:val="75B75F4A"/>
    <w:rsid w:val="75DC198B"/>
    <w:rsid w:val="75E25A77"/>
    <w:rsid w:val="762A07F6"/>
    <w:rsid w:val="76496A51"/>
    <w:rsid w:val="764A2B58"/>
    <w:rsid w:val="765A2274"/>
    <w:rsid w:val="76661B90"/>
    <w:rsid w:val="771F5D7B"/>
    <w:rsid w:val="77307E87"/>
    <w:rsid w:val="77731DCC"/>
    <w:rsid w:val="77B301A9"/>
    <w:rsid w:val="77BE7190"/>
    <w:rsid w:val="77D83AB0"/>
    <w:rsid w:val="77ED043F"/>
    <w:rsid w:val="77F43C8B"/>
    <w:rsid w:val="77FA47E4"/>
    <w:rsid w:val="782E6C40"/>
    <w:rsid w:val="788F4980"/>
    <w:rsid w:val="78C706B5"/>
    <w:rsid w:val="78F759E0"/>
    <w:rsid w:val="78FB1E09"/>
    <w:rsid w:val="79077C3B"/>
    <w:rsid w:val="79802062"/>
    <w:rsid w:val="79BB4445"/>
    <w:rsid w:val="79CB33E9"/>
    <w:rsid w:val="79CC1086"/>
    <w:rsid w:val="79EF28EF"/>
    <w:rsid w:val="7A0E66B3"/>
    <w:rsid w:val="7A300713"/>
    <w:rsid w:val="7A3B7268"/>
    <w:rsid w:val="7A4444F5"/>
    <w:rsid w:val="7AB968E7"/>
    <w:rsid w:val="7AC65BFC"/>
    <w:rsid w:val="7AD512BD"/>
    <w:rsid w:val="7AF921D7"/>
    <w:rsid w:val="7B0735D8"/>
    <w:rsid w:val="7B0F7EA2"/>
    <w:rsid w:val="7B1012D5"/>
    <w:rsid w:val="7B2F3DDD"/>
    <w:rsid w:val="7B4B41CD"/>
    <w:rsid w:val="7B5A24C6"/>
    <w:rsid w:val="7B6F7E14"/>
    <w:rsid w:val="7BB45C41"/>
    <w:rsid w:val="7BEC5FB3"/>
    <w:rsid w:val="7C584135"/>
    <w:rsid w:val="7C651F72"/>
    <w:rsid w:val="7C6F2735"/>
    <w:rsid w:val="7CDB4C9F"/>
    <w:rsid w:val="7CED3660"/>
    <w:rsid w:val="7D016D57"/>
    <w:rsid w:val="7D2B624D"/>
    <w:rsid w:val="7DC33AA0"/>
    <w:rsid w:val="7E401480"/>
    <w:rsid w:val="7EA630E7"/>
    <w:rsid w:val="7EB61058"/>
    <w:rsid w:val="7ED004CF"/>
    <w:rsid w:val="7ED53BE9"/>
    <w:rsid w:val="7F28519A"/>
    <w:rsid w:val="7F691199"/>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Normal (Web)"/>
    <w:basedOn w:val="1"/>
    <w:qFormat/>
    <w:uiPriority w:val="0"/>
    <w:pPr>
      <w:spacing w:beforeAutospacing="1" w:afterAutospacing="1"/>
      <w:jc w:val="left"/>
    </w:pPr>
    <w:rPr>
      <w:kern w:val="0"/>
      <w:sz w:val="24"/>
    </w:rPr>
  </w:style>
  <w:style w:type="paragraph" w:styleId="8">
    <w:name w:val="annotation subject"/>
    <w:basedOn w:val="2"/>
    <w:next w:val="2"/>
    <w:link w:val="17"/>
    <w:qFormat/>
    <w:uiPriority w:val="0"/>
    <w:rPr>
      <w:b/>
      <w:bCs/>
    </w:rPr>
  </w:style>
  <w:style w:type="character" w:styleId="11">
    <w:name w:val="FollowedHyperlink"/>
    <w:qFormat/>
    <w:uiPriority w:val="0"/>
    <w:rPr>
      <w:color w:val="000000"/>
      <w:u w:val="none"/>
    </w:rPr>
  </w:style>
  <w:style w:type="character" w:styleId="12">
    <w:name w:val="Hyperlink"/>
    <w:qFormat/>
    <w:uiPriority w:val="0"/>
    <w:rPr>
      <w:color w:val="000000"/>
      <w:u w:val="none"/>
    </w:rPr>
  </w:style>
  <w:style w:type="character" w:styleId="13">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2"/>
    <w:qFormat/>
    <w:uiPriority w:val="0"/>
    <w:rPr>
      <w:kern w:val="2"/>
      <w:sz w:val="21"/>
      <w:szCs w:val="24"/>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18</Pages>
  <Words>17484</Words>
  <Characters>18010</Characters>
  <Lines>112</Lines>
  <Paragraphs>31</Paragraphs>
  <TotalTime>6</TotalTime>
  <ScaleCrop>false</ScaleCrop>
  <LinksUpToDate>false</LinksUpToDate>
  <CharactersWithSpaces>18162</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马宁</cp:lastModifiedBy>
  <cp:lastPrinted>2021-07-21T07:06:00Z</cp:lastPrinted>
  <dcterms:modified xsi:type="dcterms:W3CDTF">2025-10-13T11:18:35Z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AABFD6ACA3EB4657B5186AEC0B9A73DC</vt:lpwstr>
  </property>
</Properties>
</file>